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9FF2" w14:textId="734EAA78" w:rsidR="003436C2" w:rsidRPr="00BA0C6D" w:rsidRDefault="003436C2" w:rsidP="002B5C09">
      <w:pPr>
        <w:spacing w:after="0" w:line="276" w:lineRule="auto"/>
        <w:jc w:val="center"/>
        <w:rPr>
          <w:rFonts w:ascii="Times New Roman" w:hAnsi="Times New Roman" w:cs="Times New Roman"/>
          <w:b/>
          <w:bCs/>
        </w:rPr>
      </w:pPr>
      <w:r>
        <w:rPr>
          <w:rFonts w:ascii="Times New Roman" w:hAnsi="Times New Roman" w:cs="Times New Roman"/>
          <w:b/>
          <w:bCs/>
        </w:rPr>
        <w:t xml:space="preserve">Intra-Codex Confessional Stratification in the Bratislava Lyceal Library Exemplar of </w:t>
      </w:r>
      <w:r>
        <w:rPr>
          <w:rFonts w:ascii="Times New Roman" w:hAnsi="Times New Roman" w:cs="Times New Roman"/>
          <w:b/>
          <w:bCs/>
          <w:i/>
          <w:iCs/>
        </w:rPr>
        <w:t>Agenda Česká</w:t>
      </w:r>
      <w:r>
        <w:rPr>
          <w:rFonts w:ascii="Times New Roman" w:hAnsi="Times New Roman" w:cs="Times New Roman"/>
          <w:b/>
          <w:bCs/>
        </w:rPr>
        <w:t xml:space="preserve"> 1581 and </w:t>
      </w:r>
      <w:r>
        <w:rPr>
          <w:rFonts w:ascii="Times New Roman" w:hAnsi="Times New Roman" w:cs="Times New Roman"/>
          <w:b/>
          <w:bCs/>
          <w:i/>
          <w:iCs/>
        </w:rPr>
        <w:t>Bystrická agenda</w:t>
      </w:r>
      <w:r>
        <w:rPr>
          <w:rFonts w:ascii="Times New Roman" w:hAnsi="Times New Roman" w:cs="Times New Roman"/>
          <w:b/>
          <w:bCs/>
        </w:rPr>
        <w:t xml:space="preserve"> 1585 as a Template for </w:t>
      </w:r>
      <w:r>
        <w:rPr>
          <w:rFonts w:ascii="Times New Roman" w:hAnsi="Times New Roman" w:cs="Times New Roman"/>
          <w:b/>
          <w:bCs/>
          <w:i/>
          <w:iCs/>
        </w:rPr>
        <w:t>The Cithara Sanctorum</w:t>
      </w:r>
      <w:r>
        <w:rPr>
          <w:rFonts w:ascii="Times New Roman" w:hAnsi="Times New Roman" w:cs="Times New Roman"/>
          <w:b/>
          <w:bCs/>
        </w:rPr>
        <w:t xml:space="preserve"> (1636)</w:t>
      </w:r>
    </w:p>
    <w:p w14:paraId="05F6EA09" w14:textId="77777777" w:rsidR="002B5C09" w:rsidRPr="00BA0C6D" w:rsidRDefault="002B5C09" w:rsidP="002B5C09">
      <w:pPr>
        <w:spacing w:after="0" w:line="276" w:lineRule="auto"/>
        <w:jc w:val="center"/>
        <w:rPr>
          <w:rFonts w:ascii="Times New Roman" w:hAnsi="Times New Roman" w:cs="Times New Roman"/>
          <w:b/>
          <w:bCs/>
        </w:rPr>
      </w:pPr>
    </w:p>
    <w:p w14:paraId="35305D0C" w14:textId="3A1FD035" w:rsidR="00CB7963" w:rsidRPr="00BA0C6D" w:rsidRDefault="00CB7963" w:rsidP="00CB7963">
      <w:pPr>
        <w:spacing w:after="0" w:line="276" w:lineRule="auto"/>
        <w:jc w:val="center"/>
        <w:rPr>
          <w:rFonts w:ascii="Times New Roman" w:hAnsi="Times New Roman" w:cs="Times New Roman"/>
          <w:b/>
          <w:bCs/>
        </w:rPr>
      </w:pPr>
      <w:r>
        <w:rPr>
          <w:rFonts w:ascii="Times New Roman" w:hAnsi="Times New Roman" w:cs="Times New Roman"/>
          <w:b/>
          <w:bCs/>
        </w:rPr>
        <w:t xml:space="preserve">Vnútorná konfesionálna stratifikácia kódexu: bratislavský lyceálny exemplár </w:t>
      </w:r>
      <w:r>
        <w:rPr>
          <w:rFonts w:ascii="Times New Roman" w:hAnsi="Times New Roman" w:cs="Times New Roman"/>
          <w:b/>
          <w:bCs/>
          <w:i/>
          <w:iCs/>
        </w:rPr>
        <w:t xml:space="preserve">Agendy českej </w:t>
      </w:r>
      <w:r>
        <w:rPr>
          <w:rFonts w:ascii="Times New Roman" w:hAnsi="Times New Roman" w:cs="Times New Roman"/>
          <w:b/>
          <w:bCs/>
        </w:rPr>
        <w:t xml:space="preserve">1581 a </w:t>
      </w:r>
      <w:r>
        <w:rPr>
          <w:rFonts w:ascii="Times New Roman" w:hAnsi="Times New Roman" w:cs="Times New Roman"/>
          <w:b/>
          <w:bCs/>
          <w:i/>
          <w:iCs/>
        </w:rPr>
        <w:t>Bystrickej agendy</w:t>
      </w:r>
      <w:r>
        <w:rPr>
          <w:rFonts w:ascii="Times New Roman" w:hAnsi="Times New Roman" w:cs="Times New Roman"/>
          <w:b/>
          <w:bCs/>
        </w:rPr>
        <w:t xml:space="preserve"> 1585 ako predobraz </w:t>
      </w:r>
      <w:r>
        <w:rPr>
          <w:rFonts w:ascii="Times New Roman" w:hAnsi="Times New Roman" w:cs="Times New Roman"/>
          <w:b/>
          <w:bCs/>
          <w:i/>
          <w:iCs/>
        </w:rPr>
        <w:t>Cithary Sanctorum</w:t>
      </w:r>
      <w:r>
        <w:rPr>
          <w:rFonts w:ascii="Times New Roman" w:hAnsi="Times New Roman" w:cs="Times New Roman"/>
          <w:b/>
          <w:bCs/>
        </w:rPr>
        <w:t xml:space="preserve"> (1636)</w:t>
      </w:r>
    </w:p>
    <w:p w14:paraId="28DCAEF3" w14:textId="77777777" w:rsidR="00CB7963" w:rsidRPr="00BA0C6D" w:rsidRDefault="00CB7963" w:rsidP="002B5C09">
      <w:pPr>
        <w:spacing w:after="0" w:line="276" w:lineRule="auto"/>
        <w:jc w:val="center"/>
        <w:rPr>
          <w:rFonts w:ascii="Times New Roman" w:hAnsi="Times New Roman" w:cs="Times New Roman"/>
        </w:rPr>
      </w:pPr>
    </w:p>
    <w:p w14:paraId="765DD401" w14:textId="57A9551F" w:rsidR="00875153" w:rsidRPr="007B1148" w:rsidRDefault="003436C2" w:rsidP="002B5C09">
      <w:pPr>
        <w:spacing w:after="0" w:line="276" w:lineRule="auto"/>
        <w:jc w:val="center"/>
        <w:rPr>
          <w:rFonts w:ascii="Times New Roman" w:hAnsi="Times New Roman" w:cs="Times New Roman"/>
        </w:rPr>
      </w:pPr>
      <w:r>
        <w:rPr>
          <w:rFonts w:ascii="Times New Roman" w:hAnsi="Times New Roman" w:cs="Times New Roman"/>
        </w:rPr>
        <w:t>Michal Valčo</w:t>
      </w:r>
    </w:p>
    <w:p w14:paraId="64A08FF5" w14:textId="77777777" w:rsidR="000316A5" w:rsidRPr="007B1148" w:rsidRDefault="000316A5" w:rsidP="002B5C09">
      <w:pPr>
        <w:spacing w:after="0" w:line="276" w:lineRule="auto"/>
        <w:jc w:val="center"/>
        <w:rPr>
          <w:rFonts w:ascii="Times New Roman" w:hAnsi="Times New Roman" w:cs="Times New Roman"/>
        </w:rPr>
      </w:pPr>
    </w:p>
    <w:p w14:paraId="3213827B" w14:textId="77777777" w:rsidR="00C47477" w:rsidRDefault="000316A5" w:rsidP="000316A5">
      <w:pPr>
        <w:spacing w:after="0" w:line="276" w:lineRule="auto"/>
        <w:jc w:val="center"/>
        <w:rPr>
          <w:rFonts w:ascii="Times New Roman" w:hAnsi="Times New Roman" w:cs="Times New Roman"/>
          <w:lang w:val="en-GB"/>
        </w:rPr>
      </w:pPr>
      <w:r>
        <w:rPr>
          <w:rFonts w:ascii="Times New Roman" w:hAnsi="Times New Roman" w:cs="Times New Roman"/>
          <w:lang w:val="en-GB"/>
        </w:rPr>
        <w:t xml:space="preserve">Evangelical Lutheran Theological Faculty, </w:t>
      </w:r>
    </w:p>
    <w:p w14:paraId="39F799FC" w14:textId="7A4B33EA" w:rsidR="000316A5" w:rsidRPr="000316A5" w:rsidRDefault="000316A5" w:rsidP="000316A5">
      <w:pPr>
        <w:spacing w:after="0" w:line="276" w:lineRule="auto"/>
        <w:jc w:val="center"/>
        <w:rPr>
          <w:rFonts w:ascii="Times New Roman" w:hAnsi="Times New Roman" w:cs="Times New Roman"/>
          <w:lang w:val="en-GB"/>
        </w:rPr>
      </w:pPr>
      <w:r>
        <w:rPr>
          <w:rFonts w:ascii="Times New Roman" w:hAnsi="Times New Roman" w:cs="Times New Roman"/>
          <w:lang w:val="en-GB"/>
        </w:rPr>
        <w:t>Comenius University in Bratislava</w:t>
      </w:r>
    </w:p>
    <w:p w14:paraId="6ADB20C7" w14:textId="35576715" w:rsidR="000316A5" w:rsidRPr="000316A5" w:rsidRDefault="000316A5" w:rsidP="000316A5">
      <w:pPr>
        <w:spacing w:after="0" w:line="276" w:lineRule="auto"/>
        <w:jc w:val="center"/>
        <w:rPr>
          <w:rFonts w:ascii="Times New Roman" w:hAnsi="Times New Roman" w:cs="Times New Roman"/>
          <w:lang w:val="en-GB"/>
        </w:rPr>
      </w:pPr>
      <w:r>
        <w:rPr>
          <w:rFonts w:ascii="Times New Roman" w:hAnsi="Times New Roman" w:cs="Times New Roman"/>
          <w:i/>
          <w:iCs/>
          <w:lang w:val="en-GB"/>
        </w:rPr>
        <w:t>Email</w:t>
      </w:r>
      <w:r>
        <w:rPr>
          <w:rFonts w:ascii="Times New Roman" w:hAnsi="Times New Roman" w:cs="Times New Roman"/>
          <w:i/>
          <w:iCs/>
        </w:rPr>
        <w:t>:</w:t>
      </w:r>
      <w:r>
        <w:rPr>
          <w:rFonts w:ascii="Times New Roman" w:hAnsi="Times New Roman" w:cs="Times New Roman"/>
          <w:i/>
          <w:iCs/>
          <w:lang w:val="en-GB"/>
        </w:rPr>
        <w:t xml:space="preserve"> michal.valco@uniba.sk</w:t>
      </w:r>
    </w:p>
    <w:p w14:paraId="73855007" w14:textId="7AF73F7A" w:rsidR="000316A5" w:rsidRPr="000316A5" w:rsidRDefault="000316A5" w:rsidP="000316A5">
      <w:pPr>
        <w:spacing w:after="0" w:line="276" w:lineRule="auto"/>
        <w:jc w:val="center"/>
        <w:rPr>
          <w:rFonts w:ascii="Times New Roman" w:hAnsi="Times New Roman" w:cs="Times New Roman"/>
          <w:i/>
          <w:iCs/>
          <w:lang w:val="en-GB"/>
        </w:rPr>
      </w:pPr>
      <w:r>
        <w:rPr>
          <w:rFonts w:ascii="Times New Roman" w:hAnsi="Times New Roman" w:cs="Times New Roman"/>
          <w:i/>
          <w:iCs/>
          <w:lang w:val="en-GB"/>
        </w:rPr>
        <w:t>ORCID: 0000-0002-4730-5739</w:t>
      </w:r>
    </w:p>
    <w:p w14:paraId="1F7C5198" w14:textId="77777777" w:rsidR="00D97C68" w:rsidRPr="00D97C68" w:rsidRDefault="00D97C68" w:rsidP="002B5C09">
      <w:pPr>
        <w:spacing w:after="0" w:line="276" w:lineRule="auto"/>
        <w:jc w:val="center"/>
        <w:rPr>
          <w:rFonts w:ascii="Times New Roman" w:hAnsi="Times New Roman" w:cs="Times New Roman"/>
          <w:b/>
          <w:bCs/>
          <w:lang w:val="en-GB"/>
        </w:rPr>
      </w:pPr>
    </w:p>
    <w:p w14:paraId="0240051B" w14:textId="77777777" w:rsidR="00F747BB" w:rsidRPr="009D4D44" w:rsidRDefault="00F747BB" w:rsidP="002B5C09">
      <w:pPr>
        <w:spacing w:after="0" w:line="276" w:lineRule="auto"/>
        <w:rPr>
          <w:rFonts w:ascii="Times New Roman" w:hAnsi="Times New Roman" w:cs="Times New Roman"/>
          <w:b/>
          <w:bCs/>
          <w:lang w:val="en-GB"/>
        </w:rPr>
      </w:pPr>
    </w:p>
    <w:p w14:paraId="7ECD5CA5" w14:textId="77777777" w:rsidR="00F747BB" w:rsidRPr="00BA0C6D" w:rsidRDefault="00F747BB" w:rsidP="00F747BB">
      <w:pPr>
        <w:spacing w:after="0" w:line="276" w:lineRule="auto"/>
        <w:rPr>
          <w:rFonts w:ascii="Times New Roman" w:hAnsi="Times New Roman" w:cs="Times New Roman"/>
          <w:b/>
          <w:bCs/>
          <w:lang w:val="de-DE"/>
        </w:rPr>
      </w:pPr>
      <w:r>
        <w:rPr>
          <w:rFonts w:ascii="Times New Roman" w:hAnsi="Times New Roman" w:cs="Times New Roman"/>
          <w:b/>
          <w:bCs/>
          <w:lang w:val="de-DE"/>
        </w:rPr>
        <w:t>Zusammenfassung</w:t>
      </w:r>
    </w:p>
    <w:p w14:paraId="27682B51" w14:textId="084E77BA" w:rsidR="00F747BB" w:rsidRPr="007C4402" w:rsidRDefault="008B2CC5" w:rsidP="00F747BB">
      <w:pPr>
        <w:spacing w:after="0" w:line="276" w:lineRule="auto"/>
        <w:rPr>
          <w:rFonts w:ascii="Times New Roman" w:hAnsi="Times New Roman" w:cs="Times New Roman"/>
          <w:lang w:val="de-DE"/>
        </w:rPr>
      </w:pPr>
      <w:r>
        <w:rPr>
          <w:rFonts w:ascii="Times New Roman" w:hAnsi="Times New Roman" w:cs="Times New Roman"/>
          <w:lang w:val="de-DE"/>
        </w:rPr>
        <w:t xml:space="preserve">Die jüngere Forschung zum slowakisch-lutherischen Gesangbuch </w:t>
      </w:r>
      <w:r>
        <w:rPr>
          <w:rFonts w:ascii="Times New Roman" w:hAnsi="Times New Roman" w:cs="Times New Roman"/>
          <w:i/>
          <w:iCs/>
          <w:lang w:val="de-DE"/>
        </w:rPr>
        <w:t>Cithara Sanctorum</w:t>
      </w:r>
      <w:r>
        <w:rPr>
          <w:rFonts w:ascii="Times New Roman" w:hAnsi="Times New Roman" w:cs="Times New Roman"/>
          <w:lang w:val="de-DE"/>
        </w:rPr>
        <w:t xml:space="preserve"> (1636) hat das Standardbild der “Lutheranisierung” — verstanden als die konfessionelle Schärfung, die Tranoscius bei der grenzüberschreitenden Übernahme tschechisch-reformatorischen Liedguts in den slowakisch-lutherischen Gebrauch vollzog — durch zwei wesentliche Differenzierungen verfeinert, die Adriana Grešová-Sekelská in ihren Studien zur </w:t>
      </w:r>
      <w:r>
        <w:rPr>
          <w:rFonts w:ascii="Times New Roman" w:hAnsi="Times New Roman" w:cs="Times New Roman"/>
          <w:i/>
          <w:iCs/>
          <w:lang w:val="de-DE"/>
        </w:rPr>
        <w:t>Cithara Sanctorum</w:t>
      </w:r>
      <w:r>
        <w:rPr>
          <w:rFonts w:ascii="Times New Roman" w:hAnsi="Times New Roman" w:cs="Times New Roman"/>
          <w:lang w:val="de-DE"/>
        </w:rPr>
        <w:t xml:space="preserve"> vorgelegt hat: durch die Quantifizierung des Quellenmaterials, das zu etwa der Hälfte utraquistischer Provenienz ist, und durch die Kartierung von Tranoscius' differenzierter Bearbeitungsstrategie, die in konfessionell neutralen Rubriken zurückhaltend blieb und in den eucharistisch, mariologisch und ekklesiologisch gewichteten Bereichen entschieden eingriff. Der vorliegende Aufsatz fügt diesem Bild einen komplementären Befund auf kleinerem Maßstab hinzu. Das Bratislavaer Exemplar der Lyzealbibliothek der Slowakischen Akademie der Wissenschaften bewahrt die gedruckte </w:t>
      </w:r>
      <w:r>
        <w:rPr>
          <w:rFonts w:ascii="Times New Roman" w:hAnsi="Times New Roman" w:cs="Times New Roman"/>
          <w:i/>
          <w:iCs/>
          <w:lang w:val="de-DE"/>
        </w:rPr>
        <w:t>Agenda Česká</w:t>
      </w:r>
      <w:r>
        <w:rPr>
          <w:rFonts w:ascii="Times New Roman" w:hAnsi="Times New Roman" w:cs="Times New Roman"/>
          <w:lang w:val="de-DE"/>
        </w:rPr>
        <w:t xml:space="preserve"> 1581 zusammen mit der handschriftlichen </w:t>
      </w:r>
      <w:r>
        <w:rPr>
          <w:rFonts w:ascii="Times New Roman" w:hAnsi="Times New Roman" w:cs="Times New Roman"/>
          <w:i/>
          <w:iCs/>
          <w:lang w:val="de-DE"/>
        </w:rPr>
        <w:t>Bystrická agenda</w:t>
      </w:r>
      <w:r>
        <w:rPr>
          <w:rFonts w:ascii="Times New Roman" w:hAnsi="Times New Roman" w:cs="Times New Roman"/>
          <w:lang w:val="de-DE"/>
        </w:rPr>
        <w:t xml:space="preserve"> 1585 in einem einzigen Kodex, den die zeitgenössischen Benutzer beim Binden bewusst zusammengestellt haben. Peter Benkas kritische Edition von 2024 (</w:t>
      </w:r>
      <w:r>
        <w:rPr>
          <w:rFonts w:ascii="Times New Roman" w:hAnsi="Times New Roman" w:cs="Times New Roman"/>
          <w:i/>
          <w:iCs/>
          <w:lang w:val="de-DE"/>
        </w:rPr>
        <w:t>Monumenta Linguae Slovacae</w:t>
      </w:r>
      <w:r>
        <w:rPr>
          <w:rFonts w:ascii="Times New Roman" w:hAnsi="Times New Roman" w:cs="Times New Roman"/>
          <w:lang w:val="de-DE"/>
        </w:rPr>
        <w:t xml:space="preserve"> X) hat beide Zeugen erstmals philologisch zugänglich gemacht. Im Vergleich gelesen weisen die beiden Zeugen eine konfessionelle Stratifikation innerhalb des lutherischen Horizonts selbst auf. Der gedruckte tschechische Agendentext arbeitet in einem mäßigen tschechisch-lutherischen Register: Er bezeichnet die eucharistischen Elemente als “tělo a krev” ohne die qualifizierenden Adjektive “pravý” und “substanciálny”, die den polemisch zugespitzten lutherischen Diskurs in der Folge der Konkordienformel (1577) kennzeichneten, und gründet das würdige Empfangen im Glauben an die Einsetzungsworte. Das vier Jahre später entstandene slowakische handschriftliche Supplement schärft dieselbe Theologie durch die explizite Aufnahme der lutherischen </w:t>
      </w:r>
      <w:r>
        <w:rPr>
          <w:rFonts w:ascii="Times New Roman" w:hAnsi="Times New Roman" w:cs="Times New Roman"/>
          <w:i/>
          <w:iCs/>
          <w:lang w:val="de-DE"/>
        </w:rPr>
        <w:t>manducatio impiorum</w:t>
      </w:r>
      <w:r>
        <w:rPr>
          <w:rFonts w:ascii="Times New Roman" w:hAnsi="Times New Roman" w:cs="Times New Roman"/>
          <w:lang w:val="de-DE"/>
        </w:rPr>
        <w:t xml:space="preserve">: Die Unwürdigen empfangen Leib und Blut Christi “ne k spasenij, ale k zatraczenij wěčnemu”. Diese Formel markiert die schärfste konfessionelle Bruchlinie zwischen lutherischer und reformierter Eucharistielehre und galt im Kontext der nach 1577 konsolidierten lutherischen Disziplinarkultur als diagnostisches Kriterium zur Identifizierung kryptocalvinistischer Tendenzen unter dem nominell lutherischen Klerus. Die Verschärfung vollzieht sich nicht an der konfessionsübergreifenden Grenze, sondern </w:t>
      </w:r>
      <w:r>
        <w:rPr>
          <w:rFonts w:ascii="Times New Roman" w:hAnsi="Times New Roman" w:cs="Times New Roman"/>
          <w:lang w:val="de-DE"/>
        </w:rPr>
        <w:lastRenderedPageBreak/>
        <w:t xml:space="preserve">innerhalb des lutherischen Horizonts selbst — vom mäßigen tschechischen Druckregister mit utraquistischem liturgischem Residuum hin zu einem schärferen oberungarisch-lutherischen Handschriftenregister. Für die Lutheranisierungsthese ergibt sich daraus, dass konfessionelle Schärfung ein Phänomen der Registerverschiebung ist, das auf der Ebene eines einzelnen physischen Kodex beobachtbar wird, und nicht ausschließlich ein Phänomen konfessionsübergreifender Übertragung. Der hier verfolgte </w:t>
      </w:r>
      <w:r>
        <w:rPr>
          <w:rFonts w:ascii="Times New Roman" w:hAnsi="Times New Roman" w:cs="Times New Roman"/>
          <w:i/>
          <w:iCs/>
          <w:lang w:val="de-DE"/>
        </w:rPr>
        <w:t>lex orandi</w:t>
      </w:r>
      <w:r>
        <w:rPr>
          <w:rFonts w:ascii="Times New Roman" w:hAnsi="Times New Roman" w:cs="Times New Roman"/>
          <w:lang w:val="de-DE"/>
        </w:rPr>
        <w:t>-Zugang macht diese Stratifikation analytisch zugänglich auf einer Ebene, auf der normative Bekenntnisdokumente nichts mehr zu sagen haben.</w:t>
      </w:r>
    </w:p>
    <w:p w14:paraId="62528230" w14:textId="77777777" w:rsidR="00F747BB" w:rsidRPr="00BA0C6D" w:rsidRDefault="00F747BB" w:rsidP="00F747BB">
      <w:pPr>
        <w:spacing w:after="0" w:line="276" w:lineRule="auto"/>
        <w:rPr>
          <w:rFonts w:ascii="Times New Roman" w:hAnsi="Times New Roman" w:cs="Times New Roman"/>
          <w:b/>
          <w:bCs/>
          <w:lang w:val="de-DE"/>
        </w:rPr>
      </w:pPr>
    </w:p>
    <w:p w14:paraId="12595B62" w14:textId="6045804B" w:rsidR="00F747BB" w:rsidRPr="00BA0C6D" w:rsidRDefault="00F747BB" w:rsidP="00F747BB">
      <w:pPr>
        <w:spacing w:after="0" w:line="276" w:lineRule="auto"/>
        <w:rPr>
          <w:rFonts w:ascii="Times New Roman" w:hAnsi="Times New Roman" w:cs="Times New Roman"/>
          <w:lang w:val="de-DE"/>
        </w:rPr>
      </w:pPr>
      <w:r>
        <w:rPr>
          <w:rFonts w:ascii="Times New Roman" w:hAnsi="Times New Roman" w:cs="Times New Roman"/>
          <w:b/>
          <w:bCs/>
          <w:lang w:val="de-DE"/>
        </w:rPr>
        <w:t>Schlüsselwörter:</w:t>
      </w:r>
      <w:r>
        <w:rPr>
          <w:rFonts w:ascii="Times New Roman" w:hAnsi="Times New Roman" w:cs="Times New Roman"/>
          <w:lang w:val="de-DE"/>
        </w:rPr>
        <w:t xml:space="preserve"> </w:t>
      </w:r>
      <w:r>
        <w:rPr>
          <w:rFonts w:ascii="Times New Roman" w:hAnsi="Times New Roman" w:cs="Times New Roman"/>
          <w:i/>
          <w:iCs/>
          <w:lang w:val="de-DE"/>
        </w:rPr>
        <w:t>Cithara Sanctorum</w:t>
      </w:r>
      <w:r>
        <w:rPr>
          <w:rFonts w:ascii="Times New Roman" w:hAnsi="Times New Roman" w:cs="Times New Roman"/>
          <w:lang w:val="de-DE"/>
        </w:rPr>
        <w:t xml:space="preserve">, Tranoscius, </w:t>
      </w:r>
      <w:r>
        <w:rPr>
          <w:rFonts w:ascii="Times New Roman" w:hAnsi="Times New Roman" w:cs="Times New Roman"/>
          <w:i/>
          <w:iCs/>
          <w:lang w:val="de-DE"/>
        </w:rPr>
        <w:t>Agenda Česká</w:t>
      </w:r>
      <w:r>
        <w:rPr>
          <w:rFonts w:ascii="Times New Roman" w:hAnsi="Times New Roman" w:cs="Times New Roman"/>
          <w:lang w:val="de-DE"/>
        </w:rPr>
        <w:t xml:space="preserve">, </w:t>
      </w:r>
      <w:r>
        <w:rPr>
          <w:rFonts w:ascii="Times New Roman" w:hAnsi="Times New Roman" w:cs="Times New Roman"/>
          <w:i/>
          <w:iCs/>
          <w:lang w:val="de-DE"/>
        </w:rPr>
        <w:t>Bystrická agenda</w:t>
      </w:r>
      <w:r>
        <w:rPr>
          <w:rFonts w:ascii="Times New Roman" w:hAnsi="Times New Roman" w:cs="Times New Roman"/>
          <w:lang w:val="de-DE"/>
        </w:rPr>
        <w:t xml:space="preserve">, Banská Bystrica, </w:t>
      </w:r>
      <w:r>
        <w:rPr>
          <w:rFonts w:ascii="Times New Roman" w:hAnsi="Times New Roman" w:cs="Times New Roman"/>
          <w:i/>
          <w:iCs/>
          <w:lang w:val="de-DE"/>
        </w:rPr>
        <w:t>manducatio impiorum</w:t>
      </w:r>
      <w:r>
        <w:rPr>
          <w:rFonts w:ascii="Times New Roman" w:hAnsi="Times New Roman" w:cs="Times New Roman"/>
          <w:lang w:val="de-DE"/>
        </w:rPr>
        <w:t xml:space="preserve">, </w:t>
      </w:r>
      <w:r>
        <w:rPr>
          <w:rFonts w:ascii="Times New Roman" w:hAnsi="Times New Roman" w:cs="Times New Roman"/>
          <w:i/>
          <w:iCs/>
          <w:lang w:val="de-DE"/>
        </w:rPr>
        <w:t>lex orandi lex credendi</w:t>
      </w:r>
      <w:r>
        <w:rPr>
          <w:rFonts w:ascii="Times New Roman" w:hAnsi="Times New Roman" w:cs="Times New Roman"/>
          <w:lang w:val="de-DE"/>
        </w:rPr>
        <w:t>, Reformationshymnologie, intra-codiziale Stratifikation, Konfessionalisierung.</w:t>
      </w:r>
    </w:p>
    <w:p w14:paraId="30426946" w14:textId="77777777" w:rsidR="00F747BB" w:rsidRPr="00BA0C6D" w:rsidRDefault="00F747BB" w:rsidP="002B5C09">
      <w:pPr>
        <w:spacing w:after="0" w:line="276" w:lineRule="auto"/>
        <w:rPr>
          <w:rFonts w:ascii="Times New Roman" w:hAnsi="Times New Roman" w:cs="Times New Roman"/>
          <w:b/>
          <w:bCs/>
          <w:lang w:val="de-DE"/>
        </w:rPr>
      </w:pPr>
    </w:p>
    <w:p w14:paraId="31D982A3" w14:textId="44102A99" w:rsidR="003436C2" w:rsidRPr="00BA0C6D" w:rsidRDefault="003436C2" w:rsidP="002B5C09">
      <w:pPr>
        <w:spacing w:after="0" w:line="276" w:lineRule="auto"/>
        <w:rPr>
          <w:rFonts w:ascii="Times New Roman" w:hAnsi="Times New Roman" w:cs="Times New Roman"/>
          <w:b/>
          <w:bCs/>
        </w:rPr>
      </w:pPr>
      <w:r>
        <w:rPr>
          <w:rFonts w:ascii="Times New Roman" w:hAnsi="Times New Roman" w:cs="Times New Roman"/>
          <w:b/>
          <w:bCs/>
        </w:rPr>
        <w:t>Abstract</w:t>
      </w:r>
    </w:p>
    <w:p w14:paraId="007564E3" w14:textId="373C6352"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Recent scholarship on the Slovak Lutheran </w:t>
      </w:r>
      <w:r>
        <w:rPr>
          <w:rFonts w:ascii="Times New Roman" w:hAnsi="Times New Roman" w:cs="Times New Roman"/>
          <w:i/>
          <w:iCs/>
        </w:rPr>
        <w:t>Cithara Sanctorum</w:t>
      </w:r>
      <w:r>
        <w:rPr>
          <w:rFonts w:ascii="Times New Roman" w:hAnsi="Times New Roman" w:cs="Times New Roman"/>
        </w:rPr>
        <w:t xml:space="preserve"> (1636) refines the standard “Lutheranisation” account of Tranovský’s hymnal by quantifying the source mix and mapping his differential editorial strategy. This paper builds on this strategy but offers a complementary finding at smaller scale. The Bratislava Lyceal Library exemplar of </w:t>
      </w:r>
      <w:r>
        <w:rPr>
          <w:rFonts w:ascii="Times New Roman" w:hAnsi="Times New Roman" w:cs="Times New Roman"/>
          <w:i/>
          <w:iCs/>
        </w:rPr>
        <w:t>Agenda Česká</w:t>
      </w:r>
      <w:r>
        <w:rPr>
          <w:rFonts w:ascii="Times New Roman" w:hAnsi="Times New Roman" w:cs="Times New Roman"/>
        </w:rPr>
        <w:t xml:space="preserve"> 1581 + </w:t>
      </w:r>
      <w:r>
        <w:rPr>
          <w:rFonts w:ascii="Times New Roman" w:hAnsi="Times New Roman" w:cs="Times New Roman"/>
          <w:i/>
          <w:iCs/>
        </w:rPr>
        <w:t>Bystrická agenda</w:t>
      </w:r>
      <w:r>
        <w:rPr>
          <w:rFonts w:ascii="Times New Roman" w:hAnsi="Times New Roman" w:cs="Times New Roman"/>
        </w:rPr>
        <w:t xml:space="preserve"> 1585 — preserved bound together in a single physical codex and edited critically for the first time by Peter Benka in 2024 — exhibits a confessional stratification within the Lutheran orbit itself. The printed Czech </w:t>
      </w:r>
      <w:r>
        <w:rPr>
          <w:rFonts w:ascii="Times New Roman" w:hAnsi="Times New Roman" w:cs="Times New Roman"/>
          <w:i/>
          <w:iCs/>
        </w:rPr>
        <w:t>Agenda Česká</w:t>
      </w:r>
      <w:r>
        <w:rPr>
          <w:rFonts w:ascii="Times New Roman" w:hAnsi="Times New Roman" w:cs="Times New Roman"/>
        </w:rPr>
        <w:t xml:space="preserve"> uses a moderate Eucharistic register — “tělo a krev” without the qualifying “pravý” or “substanciálny” adjectives that characterised polemically sharpened Lutheran discourse, and grounds worthy reception in faith in the words of institution. The manuscript Slovak supplement, written four years later, sharpens the same theology with explicit Lutheran manducatio impiorum: the unworthy receive the body and blood “ne k spasenij, ale k zatraczenij wěčnemu”. The intensification operates not at the cross-confessional boundary but within the Lutheran orbit itself, from a moderate Czech printed register with Utraquist liturgical residue towards a sharper Upper-Hungarian Lutheran manuscript register. The implication for the Lutheranisation thesis is that confessional sharpening is a phenomenon of register shift, observable at the granularity of a single physical codex, not exclusively a phenomenon of cross-confessional transfer.</w:t>
      </w:r>
      <w:r>
        <w:rPr>
          <w:rStyle w:val="FootnoteReference"/>
          <w:rFonts w:ascii="Times New Roman" w:hAnsi="Times New Roman" w:cs="Times New Roman"/>
        </w:rPr>
        <w:footnoteReference w:id="1"/>
      </w:r>
    </w:p>
    <w:p w14:paraId="18B9BF71" w14:textId="77777777" w:rsidR="00EA0474" w:rsidRPr="00BA0C6D" w:rsidRDefault="00EA0474" w:rsidP="002B5C09">
      <w:pPr>
        <w:spacing w:after="0" w:line="276" w:lineRule="auto"/>
        <w:rPr>
          <w:rFonts w:ascii="Times New Roman" w:hAnsi="Times New Roman" w:cs="Times New Roman"/>
          <w:b/>
          <w:bCs/>
        </w:rPr>
      </w:pPr>
    </w:p>
    <w:p w14:paraId="32ABF863" w14:textId="06131101"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w:t>
      </w:r>
      <w:r>
        <w:rPr>
          <w:rFonts w:ascii="Times New Roman" w:hAnsi="Times New Roman" w:cs="Times New Roman"/>
          <w:i/>
          <w:iCs/>
        </w:rPr>
        <w:t>Cithara Sanctorum</w:t>
      </w:r>
      <w:r>
        <w:rPr>
          <w:rFonts w:ascii="Times New Roman" w:hAnsi="Times New Roman" w:cs="Times New Roman"/>
        </w:rPr>
        <w:t xml:space="preserve">, Tranovský, </w:t>
      </w:r>
      <w:r>
        <w:rPr>
          <w:rFonts w:ascii="Times New Roman" w:hAnsi="Times New Roman" w:cs="Times New Roman"/>
          <w:i/>
          <w:iCs/>
        </w:rPr>
        <w:t>Agenda Česká</w:t>
      </w:r>
      <w:r>
        <w:rPr>
          <w:rFonts w:ascii="Times New Roman" w:hAnsi="Times New Roman" w:cs="Times New Roman"/>
        </w:rPr>
        <w:t xml:space="preserve">, Bystrická agenda, Banská Bystrica, </w:t>
      </w:r>
      <w:r>
        <w:rPr>
          <w:rFonts w:ascii="Times New Roman" w:hAnsi="Times New Roman" w:cs="Times New Roman"/>
          <w:i/>
          <w:iCs/>
        </w:rPr>
        <w:t>manducatio impiorum</w:t>
      </w:r>
      <w:r>
        <w:rPr>
          <w:rFonts w:ascii="Times New Roman" w:hAnsi="Times New Roman" w:cs="Times New Roman"/>
        </w:rPr>
        <w:t xml:space="preserve">, </w:t>
      </w:r>
      <w:r>
        <w:rPr>
          <w:rFonts w:ascii="Times New Roman" w:hAnsi="Times New Roman" w:cs="Times New Roman"/>
          <w:i/>
          <w:iCs/>
        </w:rPr>
        <w:t>lex orandi lex credendi</w:t>
      </w:r>
      <w:r>
        <w:rPr>
          <w:rFonts w:ascii="Times New Roman" w:hAnsi="Times New Roman" w:cs="Times New Roman"/>
        </w:rPr>
        <w:t>, Reformation hymnology, intra-codex stratification, confessionalisation.</w:t>
      </w:r>
    </w:p>
    <w:p w14:paraId="2683D763" w14:textId="77777777" w:rsidR="00EA0474" w:rsidRPr="00BA0C6D" w:rsidRDefault="00EA0474" w:rsidP="002B5C09">
      <w:pPr>
        <w:spacing w:after="0" w:line="276" w:lineRule="auto"/>
        <w:rPr>
          <w:rFonts w:ascii="Times New Roman" w:hAnsi="Times New Roman" w:cs="Times New Roman"/>
          <w:lang w:val="sk-SK"/>
        </w:rPr>
      </w:pPr>
    </w:p>
    <w:p w14:paraId="134A9B9F" w14:textId="1D47C865" w:rsidR="003F3A04" w:rsidRPr="00BA0C6D" w:rsidRDefault="003F3A04" w:rsidP="002B5C09">
      <w:pPr>
        <w:spacing w:after="0" w:line="276" w:lineRule="auto"/>
        <w:rPr>
          <w:rFonts w:ascii="Times New Roman" w:hAnsi="Times New Roman" w:cs="Times New Roman"/>
          <w:lang w:val="sk-SK"/>
        </w:rPr>
      </w:pPr>
      <w:r>
        <w:rPr>
          <w:rFonts w:ascii="Times New Roman" w:hAnsi="Times New Roman" w:cs="Times New Roman"/>
          <w:b/>
          <w:bCs/>
          <w:lang w:val="sk-SK"/>
        </w:rPr>
        <w:t>Abstrakt</w:t>
      </w:r>
      <w:r>
        <w:rPr>
          <w:rFonts w:ascii="Times New Roman" w:hAnsi="Times New Roman" w:cs="Times New Roman"/>
          <w:lang w:val="sk-SK"/>
        </w:rPr>
        <w:t>:</w:t>
      </w:r>
    </w:p>
    <w:p w14:paraId="7328577B" w14:textId="4F1A410A" w:rsidR="00FC604A" w:rsidRPr="00BA0C6D" w:rsidRDefault="00FC604A" w:rsidP="00FC604A">
      <w:pPr>
        <w:spacing w:after="0" w:line="276" w:lineRule="auto"/>
        <w:rPr>
          <w:rFonts w:ascii="Times New Roman" w:hAnsi="Times New Roman" w:cs="Times New Roman"/>
          <w:lang w:val="sk-SK"/>
        </w:rPr>
      </w:pPr>
      <w:r>
        <w:rPr>
          <w:rFonts w:ascii="Times New Roman" w:hAnsi="Times New Roman" w:cs="Times New Roman"/>
          <w:lang w:val="sk-SK"/>
        </w:rPr>
        <w:t xml:space="preserve">Súčasný výskum slovenského evanjelického spevníka </w:t>
      </w:r>
      <w:r>
        <w:rPr>
          <w:rFonts w:ascii="Times New Roman" w:hAnsi="Times New Roman" w:cs="Times New Roman"/>
          <w:i/>
          <w:iCs/>
          <w:lang w:val="sk-SK"/>
        </w:rPr>
        <w:t>Cithara Sanctorum</w:t>
      </w:r>
      <w:r>
        <w:rPr>
          <w:rFonts w:ascii="Times New Roman" w:hAnsi="Times New Roman" w:cs="Times New Roman"/>
          <w:lang w:val="sk-SK"/>
        </w:rPr>
        <w:t xml:space="preserve"> (1636) spresňuje štandardný „luteranizačný“ výklad </w:t>
      </w:r>
      <w:r>
        <w:rPr>
          <w:rFonts w:ascii="Times New Roman" w:hAnsi="Times New Roman" w:cs="Times New Roman"/>
          <w:i/>
          <w:iCs/>
          <w:lang w:val="sk-SK"/>
        </w:rPr>
        <w:t>Tranovského kancionála</w:t>
      </w:r>
      <w:r>
        <w:rPr>
          <w:rFonts w:ascii="Times New Roman" w:hAnsi="Times New Roman" w:cs="Times New Roman"/>
          <w:lang w:val="sk-SK"/>
        </w:rPr>
        <w:t xml:space="preserve"> kvantifikáciou zloženia prameňov a zmapovaním jeho diferencovanej editorskej stratégie. Tento článok stavia na výsledkoch tohto prístupu, no prináša komplementárny nález v menšom meradle. </w:t>
      </w:r>
      <w:r>
        <w:rPr>
          <w:rFonts w:ascii="Times New Roman" w:hAnsi="Times New Roman" w:cs="Times New Roman"/>
          <w:lang w:val="sk-SK"/>
        </w:rPr>
        <w:lastRenderedPageBreak/>
        <w:t xml:space="preserve">Bratislavský lyceálny exemplár </w:t>
      </w:r>
      <w:r>
        <w:rPr>
          <w:rFonts w:ascii="Times New Roman" w:hAnsi="Times New Roman" w:cs="Times New Roman"/>
          <w:i/>
          <w:iCs/>
          <w:lang w:val="sk-SK"/>
        </w:rPr>
        <w:t>Agendy českej</w:t>
      </w:r>
      <w:r>
        <w:rPr>
          <w:rFonts w:ascii="Times New Roman" w:hAnsi="Times New Roman" w:cs="Times New Roman"/>
          <w:lang w:val="sk-SK"/>
        </w:rPr>
        <w:t xml:space="preserve"> 1581 + </w:t>
      </w:r>
      <w:r>
        <w:rPr>
          <w:rFonts w:ascii="Times New Roman" w:hAnsi="Times New Roman" w:cs="Times New Roman"/>
          <w:i/>
          <w:iCs/>
          <w:lang w:val="sk-SK"/>
        </w:rPr>
        <w:t>Bystrickej agendy</w:t>
      </w:r>
      <w:r>
        <w:rPr>
          <w:rFonts w:ascii="Times New Roman" w:hAnsi="Times New Roman" w:cs="Times New Roman"/>
          <w:lang w:val="sk-SK"/>
        </w:rPr>
        <w:t xml:space="preserve"> 1585 — uchovaný zviazaný v jedinom fyzickom kódexe a po prvý raz kriticky vydaný Petrom Benkom v roku 2024 — vykazuje konfesionálnu stratifikáciu v rámci samotného luteránskeho horizontu. Tlačená </w:t>
      </w:r>
      <w:r>
        <w:rPr>
          <w:rFonts w:ascii="Times New Roman" w:hAnsi="Times New Roman" w:cs="Times New Roman"/>
          <w:i/>
          <w:iCs/>
          <w:lang w:val="sk-SK"/>
        </w:rPr>
        <w:t>Agenda česká</w:t>
      </w:r>
      <w:r>
        <w:rPr>
          <w:rFonts w:ascii="Times New Roman" w:hAnsi="Times New Roman" w:cs="Times New Roman"/>
          <w:lang w:val="sk-SK"/>
        </w:rPr>
        <w:t xml:space="preserve"> používa miernejší eucharistický register: výraz „tělo a krev“ bez kvalifikujúcich prívlastkov „pravý“ či „substanciálny“, ktoré charakterizovali polemicky vyhrotený luteránsky diskurz, pričom hodné prijímanie zakladá na viere v slová ustanovenia. Slovenský rukopisný doplnok, napísaný o štyri roky neskôr, vyostruje tú istú teológiu explicitnou luteránskou </w:t>
      </w:r>
      <w:r>
        <w:rPr>
          <w:rFonts w:ascii="Times New Roman" w:hAnsi="Times New Roman" w:cs="Times New Roman"/>
          <w:i/>
          <w:iCs/>
          <w:lang w:val="sk-SK"/>
        </w:rPr>
        <w:t>manducatio impiorum</w:t>
      </w:r>
      <w:r>
        <w:rPr>
          <w:rFonts w:ascii="Times New Roman" w:hAnsi="Times New Roman" w:cs="Times New Roman"/>
          <w:lang w:val="sk-SK"/>
        </w:rPr>
        <w:t>: nehodní prijímajú telo a krv „ne k spasenij, ale k zatraczenij wěčnemu“. Vyostrenie sa neudeje na medzikonfesionálnej hranici, ale vnútri samotného luteránskeho horizontu (teda v evanjelickom prostredí). Inak povedané, pozorujeme tu pohyb od miernejšieho českého tlačeného registra s utrakvistickým liturgickým pozostatkom smerom k ostrejšiemu hornouhorskému luteránskemu rukopisnému registru. Pre tézu luteranizácie z toho vyplýva, že konfesionálne vyostrenie je nielen fenoménom medzikonfesionálneho prenosu, ale tiež fenoménom posunu registra pozorovateľným práve na úrovni tohto konkrétneho fyzického kódexu.</w:t>
      </w:r>
    </w:p>
    <w:p w14:paraId="23836FFC" w14:textId="77777777" w:rsidR="00EF4FA6" w:rsidRPr="00BA0C6D" w:rsidRDefault="00EF4FA6" w:rsidP="00FC604A">
      <w:pPr>
        <w:spacing w:after="0" w:line="276" w:lineRule="auto"/>
        <w:rPr>
          <w:rFonts w:ascii="Times New Roman" w:hAnsi="Times New Roman" w:cs="Times New Roman"/>
          <w:b/>
          <w:bCs/>
          <w:lang w:val="sk-SK"/>
        </w:rPr>
      </w:pPr>
    </w:p>
    <w:p w14:paraId="6DB1071C" w14:textId="560EDBF4" w:rsidR="00FC604A" w:rsidRPr="00BA0C6D" w:rsidRDefault="00FC604A" w:rsidP="00FC604A">
      <w:pPr>
        <w:spacing w:after="0" w:line="276" w:lineRule="auto"/>
        <w:rPr>
          <w:rFonts w:ascii="Times New Roman" w:hAnsi="Times New Roman" w:cs="Times New Roman"/>
          <w:lang w:val="sk-SK"/>
        </w:rPr>
      </w:pPr>
      <w:r>
        <w:rPr>
          <w:rFonts w:ascii="Times New Roman" w:hAnsi="Times New Roman" w:cs="Times New Roman"/>
          <w:b/>
          <w:bCs/>
          <w:lang w:val="sk-SK"/>
        </w:rPr>
        <w:t>Kľúčové slová:</w:t>
      </w:r>
      <w:r>
        <w:rPr>
          <w:rFonts w:ascii="Times New Roman" w:hAnsi="Times New Roman" w:cs="Times New Roman"/>
          <w:lang w:val="sk-SK"/>
        </w:rPr>
        <w:t xml:space="preserve"> </w:t>
      </w:r>
      <w:r>
        <w:rPr>
          <w:rFonts w:ascii="Times New Roman" w:hAnsi="Times New Roman" w:cs="Times New Roman"/>
          <w:i/>
          <w:iCs/>
          <w:lang w:val="sk-SK"/>
        </w:rPr>
        <w:t>Cithara Sanctorum</w:t>
      </w:r>
      <w:r>
        <w:rPr>
          <w:rFonts w:ascii="Times New Roman" w:hAnsi="Times New Roman" w:cs="Times New Roman"/>
          <w:lang w:val="sk-SK"/>
        </w:rPr>
        <w:t xml:space="preserve">, Tranovský, </w:t>
      </w:r>
      <w:r>
        <w:rPr>
          <w:rFonts w:ascii="Times New Roman" w:hAnsi="Times New Roman" w:cs="Times New Roman"/>
          <w:i/>
          <w:iCs/>
          <w:lang w:val="sk-SK"/>
        </w:rPr>
        <w:t>Agenda česká</w:t>
      </w:r>
      <w:r>
        <w:rPr>
          <w:rFonts w:ascii="Times New Roman" w:hAnsi="Times New Roman" w:cs="Times New Roman"/>
          <w:lang w:val="sk-SK"/>
        </w:rPr>
        <w:t xml:space="preserve">, </w:t>
      </w:r>
      <w:r>
        <w:rPr>
          <w:rFonts w:ascii="Times New Roman" w:hAnsi="Times New Roman" w:cs="Times New Roman"/>
          <w:i/>
          <w:iCs/>
          <w:lang w:val="sk-SK"/>
        </w:rPr>
        <w:t>Bystrická agenda</w:t>
      </w:r>
      <w:r>
        <w:rPr>
          <w:rFonts w:ascii="Times New Roman" w:hAnsi="Times New Roman" w:cs="Times New Roman"/>
          <w:lang w:val="sk-SK"/>
        </w:rPr>
        <w:t xml:space="preserve">, Banská Bystrica, </w:t>
      </w:r>
      <w:r>
        <w:rPr>
          <w:rFonts w:ascii="Times New Roman" w:hAnsi="Times New Roman" w:cs="Times New Roman"/>
          <w:i/>
          <w:iCs/>
          <w:lang w:val="sk-SK"/>
        </w:rPr>
        <w:t>manducatio impiorum</w:t>
      </w:r>
      <w:r>
        <w:rPr>
          <w:rFonts w:ascii="Times New Roman" w:hAnsi="Times New Roman" w:cs="Times New Roman"/>
          <w:lang w:val="sk-SK"/>
        </w:rPr>
        <w:t xml:space="preserve">, </w:t>
      </w:r>
      <w:r>
        <w:rPr>
          <w:rFonts w:ascii="Times New Roman" w:hAnsi="Times New Roman" w:cs="Times New Roman"/>
          <w:i/>
          <w:iCs/>
          <w:lang w:val="sk-SK"/>
        </w:rPr>
        <w:t>lex orandi lex credendi</w:t>
      </w:r>
      <w:r>
        <w:rPr>
          <w:rFonts w:ascii="Times New Roman" w:hAnsi="Times New Roman" w:cs="Times New Roman"/>
          <w:lang w:val="sk-SK"/>
        </w:rPr>
        <w:t>, reformačná hymnológia, vnútrokódexová stratifikácia, konfesionalizácia.</w:t>
      </w:r>
    </w:p>
    <w:p w14:paraId="12350663" w14:textId="77777777" w:rsidR="0012764F" w:rsidRPr="00BA0C6D" w:rsidRDefault="0012764F" w:rsidP="002B5C09">
      <w:pPr>
        <w:spacing w:after="0" w:line="276" w:lineRule="auto"/>
        <w:rPr>
          <w:rFonts w:ascii="Times New Roman" w:hAnsi="Times New Roman" w:cs="Times New Roman"/>
          <w:lang w:val="sk-SK"/>
        </w:rPr>
      </w:pPr>
    </w:p>
    <w:p w14:paraId="700249AF" w14:textId="77777777" w:rsidR="003F3A04" w:rsidRPr="00BA0C6D" w:rsidRDefault="003F3A04" w:rsidP="002B5C09">
      <w:pPr>
        <w:spacing w:after="0" w:line="276" w:lineRule="auto"/>
        <w:rPr>
          <w:rFonts w:ascii="Times New Roman" w:hAnsi="Times New Roman" w:cs="Times New Roman"/>
          <w:lang w:val="sk-SK"/>
        </w:rPr>
      </w:pPr>
    </w:p>
    <w:p w14:paraId="53BFF022" w14:textId="40167622" w:rsidR="003436C2" w:rsidRPr="00BA0C6D" w:rsidRDefault="0075098D" w:rsidP="002B5C09">
      <w:pPr>
        <w:spacing w:after="0" w:line="276" w:lineRule="auto"/>
        <w:rPr>
          <w:rFonts w:ascii="Times New Roman" w:hAnsi="Times New Roman" w:cs="Times New Roman"/>
          <w:b/>
          <w:bCs/>
        </w:rPr>
      </w:pPr>
      <w:r>
        <w:rPr>
          <w:rFonts w:ascii="Times New Roman" w:hAnsi="Times New Roman" w:cs="Times New Roman"/>
          <w:b/>
          <w:bCs/>
        </w:rPr>
        <w:t>1. Introduction</w:t>
      </w:r>
    </w:p>
    <w:p w14:paraId="056C368A" w14:textId="312726CE"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standard account of Juraj Tranovský’s </w:t>
      </w:r>
      <w:r>
        <w:rPr>
          <w:rFonts w:ascii="Times New Roman" w:hAnsi="Times New Roman" w:cs="Times New Roman"/>
          <w:i/>
          <w:iCs/>
        </w:rPr>
        <w:t>Cithara Sanctorum</w:t>
      </w:r>
      <w:r>
        <w:rPr>
          <w:rFonts w:ascii="Times New Roman" w:hAnsi="Times New Roman" w:cs="Times New Roman"/>
        </w:rPr>
        <w:t xml:space="preserve"> (Levoča, 1636), the foundational Slovak Lutheran hymnal of the early modern period and the principal vehicle through which Czech-Reformation hymnody entered Slovak Lutheran worship for the next three centuries, treats it as the receptor of a confessional sharpening that Tranovský performed on the materials he absorbed.</w:t>
      </w:r>
      <w:r>
        <w:rPr>
          <w:rStyle w:val="FootnoteReference"/>
          <w:rFonts w:ascii="Times New Roman" w:hAnsi="Times New Roman" w:cs="Times New Roman"/>
        </w:rPr>
        <w:footnoteReference w:id="2"/>
      </w:r>
      <w:r>
        <w:rPr>
          <w:rFonts w:ascii="Times New Roman" w:hAnsi="Times New Roman" w:cs="Times New Roman"/>
        </w:rPr>
        <w:t xml:space="preserve"> The Czech and Moravian sources from which Tranovský drew were heterogeneous in their confessional provenance: Utraquist kancionáls, Brethren hymnody from the Šamotulský and Ivančický editions, and Lutheran translations made within the Czech-speaking lands during the previous century. Tranovský’s editorial work was the work of integration. He selected, modified, sometimes silently corrected, and on occasion replaced what he found, in order to produce a single hymnological corpus that could serve a confessionally Lutheran community on the eastern frontier of the Habsburg lands. Recent scholarship has refined this picture in important ways: Adriana Grešová-Sekelská has quantified the older Czech repertoire absorbed into the </w:t>
      </w:r>
      <w:r>
        <w:rPr>
          <w:rFonts w:ascii="Times New Roman" w:hAnsi="Times New Roman" w:cs="Times New Roman"/>
          <w:i/>
          <w:iCs/>
        </w:rPr>
        <w:t>Cithara Sanctorum</w:t>
      </w:r>
      <w:r>
        <w:rPr>
          <w:rFonts w:ascii="Times New Roman" w:hAnsi="Times New Roman" w:cs="Times New Roman"/>
        </w:rPr>
        <w:t xml:space="preserve"> and shown that approximately half of it is Utraquist in origin, a far larger proportion than the older hymnological tradition which tended to assume Brethren primacy had recognised.</w:t>
      </w:r>
      <w:r>
        <w:rPr>
          <w:rStyle w:val="FootnoteReference"/>
          <w:rFonts w:ascii="Times New Roman" w:hAnsi="Times New Roman" w:cs="Times New Roman"/>
        </w:rPr>
        <w:footnoteReference w:id="3"/>
      </w:r>
      <w:r>
        <w:rPr>
          <w:rFonts w:ascii="Times New Roman" w:hAnsi="Times New Roman" w:cs="Times New Roman"/>
        </w:rPr>
        <w:t xml:space="preserve"> She has also mapped Tranovský’s differential editorial strategy: he was hands-off in confessionally neutral rubrics (the doxologies, the morning and evening hymns, the </w:t>
      </w:r>
      <w:r>
        <w:rPr>
          <w:rFonts w:ascii="Times New Roman" w:hAnsi="Times New Roman" w:cs="Times New Roman"/>
        </w:rPr>
        <w:lastRenderedPageBreak/>
        <w:t>catechetical settings), and heavily interventionist in the Eucharistic, Marian, and ecclesiological sections, where the cross-confessional source material carried theological weight that an Augsburg-Lutheran compiler had to handle with care.</w:t>
      </w:r>
      <w:r>
        <w:rPr>
          <w:rStyle w:val="FootnoteReference"/>
          <w:rFonts w:ascii="Times New Roman" w:hAnsi="Times New Roman" w:cs="Times New Roman"/>
        </w:rPr>
        <w:footnoteReference w:id="4"/>
      </w:r>
      <w:r>
        <w:rPr>
          <w:rFonts w:ascii="Times New Roman" w:hAnsi="Times New Roman" w:cs="Times New Roman"/>
        </w:rPr>
        <w:t xml:space="preserve"> Peter Benka’s critical edition (2024) of the </w:t>
      </w:r>
      <w:r>
        <w:rPr>
          <w:rFonts w:ascii="Times New Roman" w:hAnsi="Times New Roman" w:cs="Times New Roman"/>
          <w:i/>
          <w:iCs/>
        </w:rPr>
        <w:t>Agenda Česká</w:t>
      </w:r>
      <w:r>
        <w:rPr>
          <w:rFonts w:ascii="Times New Roman" w:hAnsi="Times New Roman" w:cs="Times New Roman"/>
        </w:rPr>
        <w:t xml:space="preserve"> 1581 together with the manuscript </w:t>
      </w:r>
      <w:r>
        <w:rPr>
          <w:rFonts w:ascii="Times New Roman" w:hAnsi="Times New Roman" w:cs="Times New Roman"/>
          <w:i/>
          <w:iCs/>
        </w:rPr>
        <w:t>Bystrická agenda</w:t>
      </w:r>
      <w:r>
        <w:rPr>
          <w:rFonts w:ascii="Times New Roman" w:hAnsi="Times New Roman" w:cs="Times New Roman"/>
        </w:rPr>
        <w:t xml:space="preserve"> 1585, published as volume X of the </w:t>
      </w:r>
      <w:r>
        <w:rPr>
          <w:rFonts w:ascii="Times New Roman" w:hAnsi="Times New Roman" w:cs="Times New Roman"/>
          <w:i/>
          <w:iCs/>
        </w:rPr>
        <w:t>Monumenta Linguae Slovacae</w:t>
      </w:r>
      <w:r>
        <w:rPr>
          <w:rFonts w:ascii="Times New Roman" w:hAnsi="Times New Roman" w:cs="Times New Roman"/>
        </w:rPr>
        <w:t xml:space="preserve"> series, has for the first time given scholars a fully edited witness to the liturgical environment in which the Slovak Lutheran reception of Czech-Reformation worship took place.</w:t>
      </w:r>
      <w:r>
        <w:rPr>
          <w:rStyle w:val="FootnoteReference"/>
          <w:rFonts w:ascii="Times New Roman" w:hAnsi="Times New Roman" w:cs="Times New Roman"/>
        </w:rPr>
        <w:footnoteReference w:id="5"/>
      </w:r>
      <w:r>
        <w:rPr>
          <w:rFonts w:ascii="Times New Roman" w:hAnsi="Times New Roman" w:cs="Times New Roman"/>
        </w:rPr>
        <w:t xml:space="preserve"> </w:t>
      </w:r>
    </w:p>
    <w:p w14:paraId="2374F066" w14:textId="68BDFE45"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These three contributions, namely Vajda’s foundational survey, Grešová-Sekelská’s quantification of the source mix and her mapping of Tranovský’s editorial differential, and Benka’s critical edition of the immediate liturgical context, have each kept the focus on cross-confessional transfer. The interesting confessional movement, on this account, occurs at the moment when material </w:t>
      </w:r>
      <w:r>
        <w:rPr>
          <w:rFonts w:ascii="Times New Roman" w:hAnsi="Times New Roman" w:cs="Times New Roman"/>
          <w:i/>
          <w:iCs/>
        </w:rPr>
        <w:t>crosses</w:t>
      </w:r>
      <w:r>
        <w:rPr>
          <w:rFonts w:ascii="Times New Roman" w:hAnsi="Times New Roman" w:cs="Times New Roman"/>
        </w:rPr>
        <w:t xml:space="preserve"> between confessional traditions: from Utraquist or Brethren source into Slovak Lutheran reception, where Tranovský performs the work of theological filtering. The </w:t>
      </w:r>
      <w:r>
        <w:rPr>
          <w:rFonts w:ascii="Times New Roman" w:hAnsi="Times New Roman" w:cs="Times New Roman"/>
          <w:i/>
          <w:iCs/>
        </w:rPr>
        <w:t>Cithara Sanctorum</w:t>
      </w:r>
      <w:r>
        <w:rPr>
          <w:rFonts w:ascii="Times New Roman" w:hAnsi="Times New Roman" w:cs="Times New Roman"/>
        </w:rPr>
        <w:t xml:space="preserve"> is the destination; the cross-confessional transfer is the event; the filtering is the action.</w:t>
      </w:r>
    </w:p>
    <w:p w14:paraId="58374F99" w14:textId="7A505618" w:rsidR="003436C2" w:rsidRPr="00BA0C6D" w:rsidRDefault="00444D8E" w:rsidP="002B5C09">
      <w:pPr>
        <w:spacing w:after="0" w:line="276" w:lineRule="auto"/>
        <w:rPr>
          <w:rFonts w:ascii="Times New Roman" w:hAnsi="Times New Roman" w:cs="Times New Roman"/>
        </w:rPr>
      </w:pPr>
      <w:r>
        <w:rPr>
          <w:rFonts w:ascii="Times New Roman" w:hAnsi="Times New Roman" w:cs="Times New Roman"/>
        </w:rPr>
        <w:t xml:space="preserve">My paper offers a complementary finding at smaller scale. The Bratislava Lyceal Library exemplar of the </w:t>
      </w:r>
      <w:r>
        <w:rPr>
          <w:rFonts w:ascii="Times New Roman" w:hAnsi="Times New Roman" w:cs="Times New Roman"/>
          <w:i/>
          <w:iCs/>
        </w:rPr>
        <w:t>Agenda Česká</w:t>
      </w:r>
      <w:r>
        <w:rPr>
          <w:rFonts w:ascii="Times New Roman" w:hAnsi="Times New Roman" w:cs="Times New Roman"/>
        </w:rPr>
        <w:t xml:space="preserve"> 1581, administered today by the Central Library of the Slovak Academy of Sciences, preserves the printed </w:t>
      </w:r>
      <w:r>
        <w:rPr>
          <w:rFonts w:ascii="Times New Roman" w:hAnsi="Times New Roman" w:cs="Times New Roman"/>
          <w:i/>
          <w:iCs/>
        </w:rPr>
        <w:t>Czech agenda</w:t>
      </w:r>
      <w:r>
        <w:rPr>
          <w:rFonts w:ascii="Times New Roman" w:hAnsi="Times New Roman" w:cs="Times New Roman"/>
        </w:rPr>
        <w:t xml:space="preserve"> bound together with its manuscript Slovak supplement, the </w:t>
      </w:r>
      <w:r>
        <w:rPr>
          <w:rFonts w:ascii="Times New Roman" w:hAnsi="Times New Roman" w:cs="Times New Roman"/>
          <w:i/>
          <w:iCs/>
        </w:rPr>
        <w:t>Bystrická agenda</w:t>
      </w:r>
      <w:r>
        <w:rPr>
          <w:rFonts w:ascii="Times New Roman" w:hAnsi="Times New Roman" w:cs="Times New Roman"/>
        </w:rPr>
        <w:t xml:space="preserve"> of 1585, in a single physical codex. Benka’s critical edition is the first scholarly work to have published both witnesses together, with full apparatus, in their codicological co-presence as the early users had bound them. Read against each other (and not, as is more usual, in isolation), it is worth noticing that the two witnesses exhibit a confessional stratification </w:t>
      </w:r>
      <w:r>
        <w:rPr>
          <w:rFonts w:ascii="Times New Roman" w:hAnsi="Times New Roman" w:cs="Times New Roman"/>
          <w:i/>
          <w:iCs/>
        </w:rPr>
        <w:t>within the Lutheran orbit itself</w:t>
      </w:r>
      <w:r>
        <w:rPr>
          <w:rFonts w:ascii="Times New Roman" w:hAnsi="Times New Roman" w:cs="Times New Roman"/>
        </w:rPr>
        <w:t xml:space="preserve">. The printed Czech </w:t>
      </w:r>
      <w:r>
        <w:rPr>
          <w:rFonts w:ascii="Times New Roman" w:hAnsi="Times New Roman" w:cs="Times New Roman"/>
          <w:i/>
          <w:iCs/>
        </w:rPr>
        <w:t>Agenda Česká</w:t>
      </w:r>
      <w:r>
        <w:rPr>
          <w:rFonts w:ascii="Times New Roman" w:hAnsi="Times New Roman" w:cs="Times New Roman"/>
        </w:rPr>
        <w:t xml:space="preserve"> 1581 operates in a moderate Czech-Lutheran register: it uses identificatory language for the Eucharistic elements (“tělo a krev”) but without the qualifying adjectives (“pravý”, “substanciálny”) that characterised polemically sharpened Lutheran anti-Reformed discourse in the wake of the </w:t>
      </w:r>
      <w:r>
        <w:rPr>
          <w:rFonts w:ascii="Times New Roman" w:hAnsi="Times New Roman" w:cs="Times New Roman"/>
          <w:i/>
          <w:iCs/>
        </w:rPr>
        <w:t>Formula of Concord</w:t>
      </w:r>
      <w:r>
        <w:rPr>
          <w:rFonts w:ascii="Times New Roman" w:hAnsi="Times New Roman" w:cs="Times New Roman"/>
        </w:rPr>
        <w:t xml:space="preserve"> (1577); it grounds worthy reception in faith in the words of institution rather than in any specifically articulated metaphysical doctrine of the mode of presence; and it is silent on the </w:t>
      </w:r>
      <w:r>
        <w:rPr>
          <w:rFonts w:ascii="Times New Roman" w:hAnsi="Times New Roman" w:cs="Times New Roman"/>
          <w:i/>
          <w:iCs/>
        </w:rPr>
        <w:t>manducatio impiorum</w:t>
      </w:r>
      <w:r>
        <w:rPr>
          <w:rFonts w:ascii="Times New Roman" w:hAnsi="Times New Roman" w:cs="Times New Roman"/>
        </w:rPr>
        <w:t xml:space="preserve">, i.e. the teaching that the unworthy also truly receive Christ’s body and blood, to their condemnation, which the </w:t>
      </w:r>
      <w:r>
        <w:rPr>
          <w:rFonts w:ascii="Times New Roman" w:hAnsi="Times New Roman" w:cs="Times New Roman"/>
          <w:i/>
          <w:iCs/>
        </w:rPr>
        <w:t>Formula of Concord</w:t>
      </w:r>
      <w:r>
        <w:rPr>
          <w:rFonts w:ascii="Times New Roman" w:hAnsi="Times New Roman" w:cs="Times New Roman"/>
        </w:rPr>
        <w:t xml:space="preserve"> had just made the boundary marker between Lutheran and Reformed Eucharistic theology. The manuscript Slovak supplement, written approximately four years later by an unknown hand for local use in the mining-town environment of Banská Bystrica and its surroundings, sharpens the same theology in precisely the dimensions where the printed agenda had remained moderate. The </w:t>
      </w:r>
      <w:r>
        <w:rPr>
          <w:rFonts w:ascii="Times New Roman" w:hAnsi="Times New Roman" w:cs="Times New Roman"/>
          <w:i/>
          <w:iCs/>
        </w:rPr>
        <w:t>Bystrická agenda</w:t>
      </w:r>
      <w:r>
        <w:rPr>
          <w:rFonts w:ascii="Times New Roman" w:hAnsi="Times New Roman" w:cs="Times New Roman"/>
        </w:rPr>
        <w:t xml:space="preserve"> introduces explicit </w:t>
      </w:r>
      <w:r>
        <w:rPr>
          <w:rFonts w:ascii="Times New Roman" w:hAnsi="Times New Roman" w:cs="Times New Roman"/>
          <w:i/>
          <w:iCs/>
        </w:rPr>
        <w:t>manducatio impiorum</w:t>
      </w:r>
      <w:r>
        <w:rPr>
          <w:rFonts w:ascii="Times New Roman" w:hAnsi="Times New Roman" w:cs="Times New Roman"/>
        </w:rPr>
        <w:t xml:space="preserve"> language: communicants receive the body and blood of the Son of God, the worthy </w:t>
      </w:r>
      <w:r>
        <w:rPr>
          <w:rFonts w:ascii="Times New Roman" w:hAnsi="Times New Roman" w:cs="Times New Roman"/>
        </w:rPr>
        <w:lastRenderedPageBreak/>
        <w:t>“k spasenij” (for salvation), the unworthy “ne k spasenij, ale k zatraczenij wěčnemu” (not for salvation, but for eternal damnation).</w:t>
      </w:r>
      <w:r>
        <w:rPr>
          <w:rStyle w:val="FootnoteReference"/>
          <w:rFonts w:ascii="Times New Roman" w:hAnsi="Times New Roman" w:cs="Times New Roman"/>
        </w:rPr>
        <w:footnoteReference w:id="6"/>
      </w:r>
      <w:r>
        <w:rPr>
          <w:rFonts w:ascii="Times New Roman" w:hAnsi="Times New Roman" w:cs="Times New Roman"/>
        </w:rPr>
        <w:t xml:space="preserve"> </w:t>
      </w:r>
    </w:p>
    <w:p w14:paraId="5CF5728D" w14:textId="02A575C4" w:rsidR="003436C2" w:rsidRPr="00BA0C6D" w:rsidRDefault="00056DE3" w:rsidP="002B5C09">
      <w:pPr>
        <w:spacing w:after="0" w:line="276" w:lineRule="auto"/>
        <w:rPr>
          <w:rFonts w:ascii="Times New Roman" w:hAnsi="Times New Roman" w:cs="Times New Roman"/>
        </w:rPr>
      </w:pPr>
      <w:r>
        <w:rPr>
          <w:rFonts w:ascii="Times New Roman" w:hAnsi="Times New Roman" w:cs="Times New Roman"/>
        </w:rPr>
        <w:t xml:space="preserve">Again, what is peculiar about this is that the intensification operates not at the cross-confessional boundary. After all, both witnesses are Lutheran-aligned, the </w:t>
      </w:r>
      <w:r>
        <w:rPr>
          <w:rFonts w:ascii="Times New Roman" w:hAnsi="Times New Roman" w:cs="Times New Roman"/>
          <w:i/>
          <w:iCs/>
        </w:rPr>
        <w:t>Agenda Česká</w:t>
      </w:r>
      <w:r>
        <w:rPr>
          <w:rFonts w:ascii="Times New Roman" w:hAnsi="Times New Roman" w:cs="Times New Roman"/>
        </w:rPr>
        <w:t xml:space="preserve">’s preface declares </w:t>
      </w:r>
      <w:r>
        <w:rPr>
          <w:rFonts w:ascii="Times New Roman" w:hAnsi="Times New Roman" w:cs="Times New Roman"/>
          <w:i/>
          <w:iCs/>
        </w:rPr>
        <w:t>Augsburg Confession</w:t>
      </w:r>
      <w:r>
        <w:rPr>
          <w:rFonts w:ascii="Times New Roman" w:hAnsi="Times New Roman" w:cs="Times New Roman"/>
        </w:rPr>
        <w:t xml:space="preserve"> alignment explicitly. Rather, it operates within the Lutheran orbit itself. From a moderate Czech printed register, with traces of Utraquist liturgical residue carried over into the Czech translation of the source German agendas, to a sharper Upper-Hungarian Lutheran manuscript register four years later. From a printed text intended for broad Czech-language pastoral use to a hand-written supplement intended for local use in the Banská Bystrica mining-town milieu. From a 1581 register to a 1585 register, across the years in which the </w:t>
      </w:r>
      <w:r>
        <w:rPr>
          <w:rFonts w:ascii="Times New Roman" w:hAnsi="Times New Roman" w:cs="Times New Roman"/>
          <w:i/>
          <w:iCs/>
        </w:rPr>
        <w:t>Formula of Concord</w:t>
      </w:r>
      <w:r>
        <w:rPr>
          <w:rFonts w:ascii="Times New Roman" w:hAnsi="Times New Roman" w:cs="Times New Roman"/>
        </w:rPr>
        <w:t xml:space="preserve"> (1577) was disseminating across the Lutheran territories and the anti-crypto-Calvinist policing of contemporary Lutheran clergy was intensifying.</w:t>
      </w:r>
    </w:p>
    <w:p w14:paraId="4F38807C" w14:textId="14AE553F"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implication for the Lutheranisation thesis, this paper argues, is that confessional sharpening is not exclusively a phenomenon of cross-confessional transfer (Brethren or Utraquist source → Slovak Lutheran </w:t>
      </w:r>
      <w:r>
        <w:rPr>
          <w:rFonts w:ascii="Times New Roman" w:hAnsi="Times New Roman" w:cs="Times New Roman"/>
          <w:i/>
          <w:iCs/>
        </w:rPr>
        <w:t>Cithara Sanctorum</w:t>
      </w:r>
      <w:r>
        <w:rPr>
          <w:rFonts w:ascii="Times New Roman" w:hAnsi="Times New Roman" w:cs="Times New Roman"/>
        </w:rPr>
        <w:t xml:space="preserve"> via Tranovský’s editorial hand) but also a phenomenon of intra-confessional register shift, observable at the granularity of a single physical codex bound together by its early users. The </w:t>
      </w:r>
      <w:r>
        <w:rPr>
          <w:rFonts w:ascii="Times New Roman" w:hAnsi="Times New Roman" w:cs="Times New Roman"/>
          <w:i/>
          <w:iCs/>
        </w:rPr>
        <w:t>Cithara Sanctorum</w:t>
      </w:r>
      <w:r>
        <w:rPr>
          <w:rFonts w:ascii="Times New Roman" w:hAnsi="Times New Roman" w:cs="Times New Roman"/>
        </w:rPr>
        <w:t xml:space="preserve">’s editorial Lutheranisation in 1636 sits in continuity with the manuscript supplementation that had already been intensifying the Czech printed Lutheran register a half-century earlier in the same broader Slovak Lutheran liturgical landscape. Read as a continuum, the AC 1581 → BA 1585 → CS 1636 trajectory traces a single direction of confessional consolidation. What changes across the three texts is not so much the doctrinal substance. After all, all three are Lutheran-aligned by the standards of their authors and their intended users. Rather, what changes is the polemical sharpness with which the doctrinal substance is articulated. In other words, </w:t>
      </w:r>
      <w:r>
        <w:rPr>
          <w:rFonts w:ascii="Times New Roman" w:hAnsi="Times New Roman" w:cs="Times New Roman"/>
          <w:i/>
          <w:iCs/>
        </w:rPr>
        <w:t>Lex orandi</w:t>
      </w:r>
      <w:r>
        <w:rPr>
          <w:rFonts w:ascii="Times New Roman" w:hAnsi="Times New Roman" w:cs="Times New Roman"/>
        </w:rPr>
        <w:t xml:space="preserve">, in the milieu out of which the </w:t>
      </w:r>
      <w:r>
        <w:rPr>
          <w:rFonts w:ascii="Times New Roman" w:hAnsi="Times New Roman" w:cs="Times New Roman"/>
          <w:i/>
          <w:iCs/>
        </w:rPr>
        <w:t>Cithara Sanctorum</w:t>
      </w:r>
      <w:r>
        <w:rPr>
          <w:rFonts w:ascii="Times New Roman" w:hAnsi="Times New Roman" w:cs="Times New Roman"/>
        </w:rPr>
        <w:t xml:space="preserve"> eventually emerged, was not a static record of confession but an active site of confessional work. Things were more dynamic than one might assume at first glance.</w:t>
      </w:r>
    </w:p>
    <w:p w14:paraId="45A5F927" w14:textId="5D5A92F9"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paper proceeds as follows. Section 2 introduces the codex and its scholarly framing: the Bratislava Lyceal Library exemplar, the editorial situation as Benka has reconstructed it, and the historical context of the mining-town Reformation in which both witnesses were used. Sections 3 and 4 read the </w:t>
      </w:r>
      <w:r>
        <w:rPr>
          <w:rFonts w:ascii="Times New Roman" w:hAnsi="Times New Roman" w:cs="Times New Roman"/>
          <w:i/>
          <w:iCs/>
        </w:rPr>
        <w:t>Agenda Česká</w:t>
      </w:r>
      <w:r>
        <w:rPr>
          <w:rFonts w:ascii="Times New Roman" w:hAnsi="Times New Roman" w:cs="Times New Roman"/>
        </w:rPr>
        <w:t xml:space="preserve"> and the </w:t>
      </w:r>
      <w:r>
        <w:rPr>
          <w:rFonts w:ascii="Times New Roman" w:hAnsi="Times New Roman" w:cs="Times New Roman"/>
          <w:i/>
          <w:iCs/>
        </w:rPr>
        <w:t>Bystrická agenda</w:t>
      </w:r>
      <w:r>
        <w:rPr>
          <w:rFonts w:ascii="Times New Roman" w:hAnsi="Times New Roman" w:cs="Times New Roman"/>
        </w:rPr>
        <w:t xml:space="preserve"> respectively, focusing on their Eucharistic articulations and drawing on Benka’s verbatim quotations and analytical observations. Section 5 reads the stratification theologically, locating it within the Formula-of-Concord period’s disciplinary expectations of confessional precision. Section 6 returns to the broader Lutheranisation thesis and registers a brief but consequential observation about the </w:t>
      </w:r>
      <w:r>
        <w:rPr>
          <w:rFonts w:ascii="Times New Roman" w:hAnsi="Times New Roman" w:cs="Times New Roman"/>
          <w:i/>
          <w:iCs/>
        </w:rPr>
        <w:t>Confessio Bohemica</w:t>
      </w:r>
      <w:r>
        <w:rPr>
          <w:rFonts w:ascii="Times New Roman" w:hAnsi="Times New Roman" w:cs="Times New Roman"/>
        </w:rPr>
        <w:t xml:space="preserve"> of 1575, the trans-confessional document whose own register has been similarly misread in a parallel direction. Part 7 concludes.</w:t>
      </w:r>
    </w:p>
    <w:p w14:paraId="6B6174E5" w14:textId="77777777" w:rsidR="00263422" w:rsidRPr="00BA0C6D" w:rsidRDefault="00263422" w:rsidP="002B5C09">
      <w:pPr>
        <w:spacing w:after="0" w:line="276" w:lineRule="auto"/>
        <w:rPr>
          <w:rFonts w:ascii="Times New Roman" w:hAnsi="Times New Roman" w:cs="Times New Roman"/>
        </w:rPr>
      </w:pPr>
    </w:p>
    <w:p w14:paraId="0B541A6C" w14:textId="5A0B6A19" w:rsidR="003436C2" w:rsidRPr="00BA0C6D" w:rsidRDefault="0075098D" w:rsidP="002B5C09">
      <w:pPr>
        <w:spacing w:after="0" w:line="276" w:lineRule="auto"/>
        <w:rPr>
          <w:rFonts w:ascii="Times New Roman" w:hAnsi="Times New Roman" w:cs="Times New Roman"/>
          <w:b/>
          <w:bCs/>
        </w:rPr>
      </w:pPr>
      <w:r>
        <w:rPr>
          <w:rFonts w:ascii="Times New Roman" w:hAnsi="Times New Roman" w:cs="Times New Roman"/>
          <w:b/>
          <w:bCs/>
        </w:rPr>
        <w:t>2. The codex and its scholarly framing</w:t>
      </w:r>
    </w:p>
    <w:p w14:paraId="34865F20" w14:textId="359704CE"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lastRenderedPageBreak/>
        <w:t xml:space="preserve">The Bratislava Lyceal Library, also known as the </w:t>
      </w:r>
      <w:r>
        <w:rPr>
          <w:rFonts w:ascii="Times New Roman" w:hAnsi="Times New Roman" w:cs="Times New Roman"/>
          <w:i/>
          <w:iCs/>
        </w:rPr>
        <w:t>Lyceálna knižnica</w:t>
      </w:r>
      <w:r>
        <w:rPr>
          <w:rFonts w:ascii="Times New Roman" w:hAnsi="Times New Roman" w:cs="Times New Roman"/>
        </w:rPr>
        <w:t xml:space="preserve"> in the historic Lutheran lyceum of the city, today administered by the Central Library of the Slovak Academy of Sciences (Ústredná knižnica SAV), preserves a copy of the </w:t>
      </w:r>
      <w:r>
        <w:rPr>
          <w:rFonts w:ascii="Times New Roman" w:hAnsi="Times New Roman" w:cs="Times New Roman"/>
          <w:i/>
          <w:iCs/>
        </w:rPr>
        <w:t>Agenda Česká</w:t>
      </w:r>
      <w:r>
        <w:rPr>
          <w:rFonts w:ascii="Times New Roman" w:hAnsi="Times New Roman" w:cs="Times New Roman"/>
        </w:rPr>
        <w:t xml:space="preserve"> of 1581 bound together with a manuscript supplement, the </w:t>
      </w:r>
      <w:r>
        <w:rPr>
          <w:rFonts w:ascii="Times New Roman" w:hAnsi="Times New Roman" w:cs="Times New Roman"/>
          <w:i/>
          <w:iCs/>
        </w:rPr>
        <w:t>Bystrická agenda</w:t>
      </w:r>
      <w:r>
        <w:rPr>
          <w:rFonts w:ascii="Times New Roman" w:hAnsi="Times New Roman" w:cs="Times New Roman"/>
        </w:rPr>
        <w:t xml:space="preserve"> of 1585. The print and the manuscript are not codicologically twins: they were produced separately, four years apart, and brought together by the early users of the codex who recognised them as belonging to a single liturgical use. The print itself is a translation into Czech of liturgical orders compiled from German Lutheran agendas — primarily Wittenberg, Brandenburg, and Württemberg — assembled for the use of clergy who had been ordained in Wittenberg but who served Czech-speaking populations in territories that had passed through the religious experience of the Hussite revolution and its long Utraquist aftermath.</w:t>
      </w:r>
      <w:r>
        <w:rPr>
          <w:rStyle w:val="FootnoteReference"/>
          <w:rFonts w:ascii="Times New Roman" w:hAnsi="Times New Roman" w:cs="Times New Roman"/>
        </w:rPr>
        <w:footnoteReference w:id="7"/>
      </w:r>
      <w:r>
        <w:rPr>
          <w:rFonts w:ascii="Times New Roman" w:hAnsi="Times New Roman" w:cs="Times New Roman"/>
        </w:rPr>
        <w:t xml:space="preserve"> The preface to the printed </w:t>
      </w:r>
      <w:r>
        <w:rPr>
          <w:rFonts w:ascii="Times New Roman" w:hAnsi="Times New Roman" w:cs="Times New Roman"/>
          <w:i/>
          <w:iCs/>
        </w:rPr>
        <w:t>Agenda Česká</w:t>
      </w:r>
      <w:r>
        <w:rPr>
          <w:rFonts w:ascii="Times New Roman" w:hAnsi="Times New Roman" w:cs="Times New Roman"/>
        </w:rPr>
        <w:t xml:space="preserve"> declares its alignment with the </w:t>
      </w:r>
      <w:r>
        <w:rPr>
          <w:rFonts w:ascii="Times New Roman" w:hAnsi="Times New Roman" w:cs="Times New Roman"/>
          <w:i/>
          <w:iCs/>
        </w:rPr>
        <w:t>Augsburg Confession</w:t>
      </w:r>
      <w:r>
        <w:rPr>
          <w:rFonts w:ascii="Times New Roman" w:hAnsi="Times New Roman" w:cs="Times New Roman"/>
        </w:rPr>
        <w:t xml:space="preserve"> and the three ecumenical creeds (Apostolicum, Nicenum, Athanasianum) explicitly; it claims doctrinal unity (“not even the smallest article”, in Benka’s reading of the preface) among the clergy whose pastoral practice it was to standardise, while acknowledging that ceremonial diversity was the practical problem the agenda sought to resolve.</w:t>
      </w:r>
      <w:r>
        <w:rPr>
          <w:rStyle w:val="FootnoteReference"/>
          <w:rFonts w:ascii="Times New Roman" w:hAnsi="Times New Roman" w:cs="Times New Roman"/>
        </w:rPr>
        <w:footnoteReference w:id="8"/>
      </w:r>
      <w:r>
        <w:rPr>
          <w:rFonts w:ascii="Times New Roman" w:hAnsi="Times New Roman" w:cs="Times New Roman"/>
        </w:rPr>
        <w:t xml:space="preserve"> The print was therefore not a neutral instrument. Quite to the contrary: it was a confessionally identified Lutheran liturgical order, expressed in Czech, for the use of a clergy whose institutional formation was Wittenberg-ordained and whose pastoral remit included a population whose religious memory still carried Utraquist liturgical sensibilities.</w:t>
      </w:r>
    </w:p>
    <w:p w14:paraId="21FC29D1" w14:textId="2CAD93E1"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manuscript </w:t>
      </w:r>
      <w:r>
        <w:rPr>
          <w:rFonts w:ascii="Times New Roman" w:hAnsi="Times New Roman" w:cs="Times New Roman"/>
          <w:i/>
          <w:iCs/>
        </w:rPr>
        <w:t>Bystrická agenda</w:t>
      </w:r>
      <w:r>
        <w:rPr>
          <w:rFonts w:ascii="Times New Roman" w:hAnsi="Times New Roman" w:cs="Times New Roman"/>
        </w:rPr>
        <w:t xml:space="preserve"> is something else. It is a supplement, not a substitute. Its scribe — anonymous, but evidently working within the same Lutheran liturgical-pastoral world as the printed agenda’s compilers — assumes the printed agenda and writes alongside it, supplying material for confession and Eucharistic preparation, marriage, and funerals.</w:t>
      </w:r>
      <w:r>
        <w:rPr>
          <w:rStyle w:val="FootnoteReference"/>
          <w:rFonts w:ascii="Times New Roman" w:hAnsi="Times New Roman" w:cs="Times New Roman"/>
        </w:rPr>
        <w:footnoteReference w:id="9"/>
      </w:r>
      <w:hyperlink r:id="rId8" w:anchor="fn9" w:history="1"/>
      <w:r>
        <w:rPr>
          <w:rFonts w:ascii="Times New Roman" w:hAnsi="Times New Roman" w:cs="Times New Roman"/>
        </w:rPr>
        <w:t xml:space="preserve"> It is in the Slovak vernacular of the mining towns rather than the Czech of the printed agenda. It is hand-written rather than printed, with the implication that it was produced for local use rather than for the wider distribution that print enabled. It is dated four years later than the print, which means that it was composed during the period when the disciplinary effects of the Formula of Concord (1577) were still consolidating across the Lutheran territories and when, as Benka documents from the contemporary anti-crypto-Calvinist literature, denial of </w:t>
      </w:r>
      <w:r>
        <w:rPr>
          <w:rFonts w:ascii="Times New Roman" w:hAnsi="Times New Roman" w:cs="Times New Roman"/>
          <w:i/>
          <w:iCs/>
        </w:rPr>
        <w:t>manducatio impiorum</w:t>
      </w:r>
      <w:r>
        <w:rPr>
          <w:rFonts w:ascii="Times New Roman" w:hAnsi="Times New Roman" w:cs="Times New Roman"/>
        </w:rPr>
        <w:t xml:space="preserve"> was being explicitly listed as a marker for the identification of hidden Calvinists within otherwise Lutheran-aligned clergy.</w:t>
      </w:r>
      <w:r>
        <w:rPr>
          <w:rStyle w:val="FootnoteReference"/>
          <w:rFonts w:ascii="Times New Roman" w:hAnsi="Times New Roman" w:cs="Times New Roman"/>
        </w:rPr>
        <w:footnoteReference w:id="10"/>
      </w:r>
      <w:r>
        <w:rPr>
          <w:rFonts w:ascii="Times New Roman" w:hAnsi="Times New Roman" w:cs="Times New Roman"/>
        </w:rPr>
        <w:t xml:space="preserve"> The supplement was made in this </w:t>
      </w:r>
      <w:r>
        <w:rPr>
          <w:rFonts w:ascii="Times New Roman" w:hAnsi="Times New Roman" w:cs="Times New Roman"/>
        </w:rPr>
        <w:lastRenderedPageBreak/>
        <w:t>disciplinary atmosphere. It is and should be read as a local document responding to a regional theological climate.</w:t>
      </w:r>
    </w:p>
    <w:p w14:paraId="61DCEC93" w14:textId="4457D05B"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What matters for this paper is that the early users of the Bratislava codex bound the print and the manuscript together. The act of binding is the codicological encoding of a theological judgement: that these two witnesses belonged to one another, that they served a single liturgical practice, that the supplement was meant to be read alongside, and not against, the printed agenda. Read in isolation, (as both witnesses were ordinarily read in earlier scholarship, when they had been catalogued separately and consulted for separate purposes), the print’s moderate register and the manuscript’s sharper register would each have been taken as freestanding documents of their respective confessional moments. Read together, as the binding records the early users’ practice of reading them, they become something else. What we see here is a witness to a confessional movement </w:t>
      </w:r>
      <w:r>
        <w:rPr>
          <w:rFonts w:ascii="Times New Roman" w:hAnsi="Times New Roman" w:cs="Times New Roman"/>
          <w:i/>
          <w:iCs/>
        </w:rPr>
        <w:t>within</w:t>
      </w:r>
      <w:r>
        <w:rPr>
          <w:rFonts w:ascii="Times New Roman" w:hAnsi="Times New Roman" w:cs="Times New Roman"/>
        </w:rPr>
        <w:t xml:space="preserve"> a single liturgical use, across the four years that separate the print from the manuscript supplement. I claim that this small detail carries significant implications that have long been overlooked.</w:t>
      </w:r>
    </w:p>
    <w:p w14:paraId="736C9F56" w14:textId="389ADA01"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historical context of the mining-town Reformation in which both witnesses were used must be sketched briefly. The seven Upper-Hungarian mining towns (Banská Bystrica, Banská Štiavnica, Kremnica, Ľubietová, Pukanec, Nová Baňa, Banská Belá) had embraced the Lutheran Reformation in stages from the 1520s onwards, in a process whose pace and form was conditioned by the towns’ privileged legal status, their German-speaking patriciate, and their wealth from copper and silver extraction. By the late 1550s the towns were under direct royal pressure to give an account of their religious practice; in 1559 they composed the </w:t>
      </w:r>
      <w:r>
        <w:rPr>
          <w:rFonts w:ascii="Times New Roman" w:hAnsi="Times New Roman" w:cs="Times New Roman"/>
          <w:i/>
          <w:iCs/>
        </w:rPr>
        <w:t>Confessio Heptapolitana</w:t>
      </w:r>
      <w:r>
        <w:rPr>
          <w:rFonts w:ascii="Times New Roman" w:hAnsi="Times New Roman" w:cs="Times New Roman"/>
        </w:rPr>
        <w:t xml:space="preserve">, the seven-towns confession, modelled on the Pentapolitana (1549) of the five eastern royal cities and aligned with the </w:t>
      </w:r>
      <w:r>
        <w:rPr>
          <w:rFonts w:ascii="Times New Roman" w:hAnsi="Times New Roman" w:cs="Times New Roman"/>
          <w:i/>
          <w:iCs/>
        </w:rPr>
        <w:t>Augsburg Confession</w:t>
      </w:r>
      <w:r>
        <w:rPr>
          <w:rFonts w:ascii="Times New Roman" w:hAnsi="Times New Roman" w:cs="Times New Roman"/>
        </w:rPr>
        <w:t>.</w:t>
      </w:r>
      <w:r>
        <w:rPr>
          <w:rStyle w:val="FootnoteReference"/>
          <w:rFonts w:ascii="Times New Roman" w:hAnsi="Times New Roman" w:cs="Times New Roman"/>
        </w:rPr>
        <w:footnoteReference w:id="11"/>
      </w:r>
      <w:r>
        <w:rPr>
          <w:rFonts w:ascii="Times New Roman" w:hAnsi="Times New Roman" w:cs="Times New Roman"/>
        </w:rPr>
        <w:t xml:space="preserve"> By the 1570s and 1580s, when the </w:t>
      </w:r>
      <w:r>
        <w:rPr>
          <w:rFonts w:ascii="Times New Roman" w:hAnsi="Times New Roman" w:cs="Times New Roman"/>
          <w:i/>
          <w:iCs/>
        </w:rPr>
        <w:t>Agenda Česká</w:t>
      </w:r>
      <w:r>
        <w:rPr>
          <w:rFonts w:ascii="Times New Roman" w:hAnsi="Times New Roman" w:cs="Times New Roman"/>
        </w:rPr>
        <w:t xml:space="preserve"> was printed and the </w:t>
      </w:r>
      <w:r>
        <w:rPr>
          <w:rFonts w:ascii="Times New Roman" w:hAnsi="Times New Roman" w:cs="Times New Roman"/>
          <w:i/>
          <w:iCs/>
        </w:rPr>
        <w:t>Bystrická agenda</w:t>
      </w:r>
      <w:r>
        <w:rPr>
          <w:rFonts w:ascii="Times New Roman" w:hAnsi="Times New Roman" w:cs="Times New Roman"/>
        </w:rPr>
        <w:t xml:space="preserve"> was composed, the mining towns’ Lutheran identity was institutionally settled, but the confessional disciplinary atmosphere had intensified considerably. The 1548 Pressburg Diet, contrary to a long-standing protestant historiographical assumption, had not tolerated the </w:t>
      </w:r>
      <w:r>
        <w:rPr>
          <w:rFonts w:ascii="Times New Roman" w:hAnsi="Times New Roman" w:cs="Times New Roman"/>
          <w:i/>
          <w:iCs/>
        </w:rPr>
        <w:t>Augsburg Confession</w:t>
      </w:r>
      <w:r>
        <w:rPr>
          <w:rFonts w:ascii="Times New Roman" w:hAnsi="Times New Roman" w:cs="Times New Roman"/>
        </w:rPr>
        <w:t xml:space="preserve">; as Zoltán Csepregi has convincingly argued, the diet’s measures were aimed at </w:t>
      </w:r>
      <w:r>
        <w:rPr>
          <w:rFonts w:ascii="Times New Roman" w:hAnsi="Times New Roman" w:cs="Times New Roman"/>
          <w:i/>
          <w:iCs/>
        </w:rPr>
        <w:t>reformatio catholica</w:t>
      </w:r>
      <w:r>
        <w:rPr>
          <w:rFonts w:ascii="Times New Roman" w:hAnsi="Times New Roman" w:cs="Times New Roman"/>
        </w:rPr>
        <w:t>, the restoration of Catholic worship, with anabaptists and “sacramentarians” explicitly named as heretics to be expelled and Lutheran clergy left to defend their orthodoxy under sustained pressure.</w:t>
      </w:r>
      <w:r>
        <w:rPr>
          <w:rStyle w:val="FootnoteReference"/>
          <w:rFonts w:ascii="Times New Roman" w:hAnsi="Times New Roman" w:cs="Times New Roman"/>
        </w:rPr>
        <w:footnoteReference w:id="12"/>
      </w:r>
      <w:r>
        <w:rPr>
          <w:rFonts w:ascii="Times New Roman" w:hAnsi="Times New Roman" w:cs="Times New Roman"/>
        </w:rPr>
        <w:t xml:space="preserve"> The 1558 mining-town synod and subsequent agreements pursued ceremonial uniformity while preserving “Christian freedom” in adiaphora. The 1580 regulations and the </w:t>
      </w:r>
      <w:r>
        <w:rPr>
          <w:rFonts w:ascii="Times New Roman" w:hAnsi="Times New Roman" w:cs="Times New Roman"/>
          <w:i/>
          <w:iCs/>
        </w:rPr>
        <w:t>Bystrická agenda</w:t>
      </w:r>
      <w:r>
        <w:rPr>
          <w:rFonts w:ascii="Times New Roman" w:hAnsi="Times New Roman" w:cs="Times New Roman"/>
        </w:rPr>
        <w:t xml:space="preserve">’s own treatment of the relationship between confession </w:t>
      </w:r>
      <w:r>
        <w:rPr>
          <w:rFonts w:ascii="Times New Roman" w:hAnsi="Times New Roman" w:cs="Times New Roman"/>
        </w:rPr>
        <w:lastRenderedPageBreak/>
        <w:t>and Eucharist link private confession to worthy reception of the Lord’s Supper, which in this disciplinary atmosphere served the double confessional function of distinguishing Lutheran practice from both Catholic obligatory confession and Reformed elimination of private confession.</w:t>
      </w:r>
      <w:r>
        <w:rPr>
          <w:rStyle w:val="FootnoteReference"/>
          <w:rFonts w:ascii="Times New Roman" w:hAnsi="Times New Roman" w:cs="Times New Roman"/>
        </w:rPr>
        <w:footnoteReference w:id="13"/>
      </w:r>
      <w:r>
        <w:rPr>
          <w:rFonts w:ascii="Times New Roman" w:hAnsi="Times New Roman" w:cs="Times New Roman"/>
        </w:rPr>
        <w:t xml:space="preserve"> </w:t>
      </w:r>
    </w:p>
    <w:p w14:paraId="2929A193" w14:textId="138F9A29"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The codex is therefore not a neutral physical object. It plays a more active function. It is, in fact, a witness (and, in Benka’s edition, a finally readable witness) to a moment in the consolidation of Lutheran confessional identity in the Upper-Hungarian mining-town milieu. It is in this milieu where a Czech-language printed agenda translated from German Lutheran sources met a Slovak-language manuscript supplement composed locally four years later under intensifying disciplinary pressure. The print and the supplement together form a single liturgical use, bound by their early users into a single codex; read against each other, they exhibit a confessional movement that is invisible if either is read alone. The chapters that follow examine that movement in the dimension where it is most clearly visible: the rite of the Lord’s Supper.</w:t>
      </w:r>
    </w:p>
    <w:p w14:paraId="75720D95" w14:textId="77777777" w:rsidR="007101EA" w:rsidRPr="00BA0C6D" w:rsidRDefault="007101EA" w:rsidP="002B5C09">
      <w:pPr>
        <w:spacing w:after="0" w:line="276" w:lineRule="auto"/>
        <w:rPr>
          <w:rFonts w:ascii="Times New Roman" w:hAnsi="Times New Roman" w:cs="Times New Roman"/>
        </w:rPr>
      </w:pPr>
    </w:p>
    <w:p w14:paraId="509D433B" w14:textId="693416FE" w:rsidR="003436C2" w:rsidRPr="00BA0C6D" w:rsidRDefault="007101EA" w:rsidP="002B5C09">
      <w:pPr>
        <w:spacing w:after="0" w:line="276" w:lineRule="auto"/>
        <w:rPr>
          <w:rFonts w:ascii="Times New Roman" w:hAnsi="Times New Roman" w:cs="Times New Roman"/>
          <w:b/>
          <w:bCs/>
        </w:rPr>
      </w:pPr>
      <w:r>
        <w:rPr>
          <w:rFonts w:ascii="Times New Roman" w:hAnsi="Times New Roman" w:cs="Times New Roman"/>
          <w:b/>
          <w:bCs/>
        </w:rPr>
        <w:t xml:space="preserve">3. The printed Czech register: </w:t>
      </w:r>
      <w:r>
        <w:rPr>
          <w:rFonts w:ascii="Times New Roman" w:hAnsi="Times New Roman" w:cs="Times New Roman"/>
          <w:b/>
          <w:bCs/>
          <w:i/>
          <w:iCs/>
        </w:rPr>
        <w:t>Agenda Česká</w:t>
      </w:r>
      <w:r>
        <w:rPr>
          <w:rFonts w:ascii="Times New Roman" w:hAnsi="Times New Roman" w:cs="Times New Roman"/>
          <w:b/>
          <w:bCs/>
        </w:rPr>
        <w:t xml:space="preserve"> 1581</w:t>
      </w:r>
    </w:p>
    <w:p w14:paraId="3C29026E" w14:textId="6FE1D9E2"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Eucharistic rite of the </w:t>
      </w:r>
      <w:r>
        <w:rPr>
          <w:rFonts w:ascii="Times New Roman" w:hAnsi="Times New Roman" w:cs="Times New Roman"/>
          <w:i/>
          <w:iCs/>
        </w:rPr>
        <w:t>Agenda Česká</w:t>
      </w:r>
      <w:r>
        <w:rPr>
          <w:rFonts w:ascii="Times New Roman" w:hAnsi="Times New Roman" w:cs="Times New Roman"/>
        </w:rPr>
        <w:t xml:space="preserve"> occupies pp. 131 – 150 of Benka’s edition; it is titled “Pořádek Msse weliké, kterýžby při posluhowánij Welebné Swátosti Wečeře Páně se zachowáwati měl” — “Order of the Great Mass, to be observed when administering the Venerable Sacrament of the Lord’s Supper”.</w:t>
      </w:r>
      <w:r>
        <w:rPr>
          <w:rStyle w:val="FootnoteReference"/>
          <w:rFonts w:ascii="Times New Roman" w:hAnsi="Times New Roman" w:cs="Times New Roman"/>
        </w:rPr>
        <w:footnoteReference w:id="14"/>
      </w:r>
      <w:r>
        <w:rPr>
          <w:rFonts w:ascii="Times New Roman" w:hAnsi="Times New Roman" w:cs="Times New Roman"/>
        </w:rPr>
        <w:t xml:space="preserve"> The structural inheritance is unmistakably Lutheran: the rite preserves the framework of Luther’s </w:t>
      </w:r>
      <w:r>
        <w:rPr>
          <w:rFonts w:ascii="Times New Roman" w:hAnsi="Times New Roman" w:cs="Times New Roman"/>
          <w:i/>
          <w:iCs/>
        </w:rPr>
        <w:t>Formula Missae</w:t>
      </w:r>
      <w:r>
        <w:rPr>
          <w:rFonts w:ascii="Times New Roman" w:hAnsi="Times New Roman" w:cs="Times New Roman"/>
        </w:rPr>
        <w:t xml:space="preserve"> (1523) and </w:t>
      </w:r>
      <w:r>
        <w:rPr>
          <w:rFonts w:ascii="Times New Roman" w:hAnsi="Times New Roman" w:cs="Times New Roman"/>
          <w:i/>
          <w:iCs/>
        </w:rPr>
        <w:t>Deutsche Messe</w:t>
      </w:r>
      <w:r>
        <w:rPr>
          <w:rFonts w:ascii="Times New Roman" w:hAnsi="Times New Roman" w:cs="Times New Roman"/>
        </w:rPr>
        <w:t xml:space="preserve"> (1526), with all the standard components: Confiteor and Absolution at the entrance, the Liturgy of the Word (Introit, Kyrie, Gloria, Collect, Epistle, Gospel, Credo, sermon), the General Prayer, the Preface and Sanctus, the Admonition to communicants (</w:t>
      </w:r>
      <w:r>
        <w:rPr>
          <w:rFonts w:ascii="Times New Roman" w:hAnsi="Times New Roman" w:cs="Times New Roman"/>
          <w:i/>
          <w:iCs/>
        </w:rPr>
        <w:t>Napomenutí</w:t>
      </w:r>
      <w:r>
        <w:rPr>
          <w:rFonts w:ascii="Times New Roman" w:hAnsi="Times New Roman" w:cs="Times New Roman"/>
        </w:rPr>
        <w:t>), the Verba Institutionis, distribution sub utraque, the Thanksgiving, and the Aaronic Benediction.</w:t>
      </w:r>
      <w:r>
        <w:rPr>
          <w:rStyle w:val="FootnoteReference"/>
          <w:rFonts w:ascii="Times New Roman" w:hAnsi="Times New Roman" w:cs="Times New Roman"/>
        </w:rPr>
        <w:footnoteReference w:id="15"/>
      </w:r>
      <w:r>
        <w:rPr>
          <w:rFonts w:ascii="Times New Roman" w:hAnsi="Times New Roman" w:cs="Times New Roman"/>
        </w:rPr>
        <w:t xml:space="preserve"> But something else is worth noting here. What is striking is not the structure but the language in which the Eucharistic action is articulated within that structure. The structural inheritance commits the rite to a Lutheran liturgical lineage; the language register opens, or fails to open, the question of which Lutheranism — moderate or polemically sharpened — the rite serves.</w:t>
      </w:r>
    </w:p>
    <w:p w14:paraId="0C4F0131" w14:textId="564BD208"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A first marker is terminological. The rite carries two designations of the Eucharistic action that coexist in its title and throughout its rubrics: “Msse” (Mass), the traditional Catholic term retained for the liturgical framework, and “Wečeře Páně” (Lord’s Supper), the evangelical designation reserved for the sacramental action itself. Two registers coexist. The retention of “Msse” signals liturgical continuity with the late-medieval Czech and Hungarian liturgical inheritance; the specification “Wečeře Páně” signals the confessional reinterpretation that empties the Mass of sacrificial content while preserving its ceremonial framework. This is the inheritance of Luther’s own </w:t>
      </w:r>
      <w:r>
        <w:rPr>
          <w:rFonts w:ascii="Times New Roman" w:hAnsi="Times New Roman" w:cs="Times New Roman"/>
          <w:i/>
          <w:iCs/>
        </w:rPr>
        <w:t>Formula Missae</w:t>
      </w:r>
      <w:r>
        <w:rPr>
          <w:rFonts w:ascii="Times New Roman" w:hAnsi="Times New Roman" w:cs="Times New Roman"/>
        </w:rPr>
        <w:t xml:space="preserve">, where the term “Mass” was retained even as </w:t>
      </w:r>
      <w:r>
        <w:rPr>
          <w:rFonts w:ascii="Times New Roman" w:hAnsi="Times New Roman" w:cs="Times New Roman"/>
        </w:rPr>
        <w:lastRenderedPageBreak/>
        <w:t>the canon’s sacrificial language was excised.</w:t>
      </w:r>
      <w:r>
        <w:rPr>
          <w:rStyle w:val="FootnoteReference"/>
          <w:rFonts w:ascii="Times New Roman" w:hAnsi="Times New Roman" w:cs="Times New Roman"/>
        </w:rPr>
        <w:footnoteReference w:id="16"/>
      </w:r>
      <w:r>
        <w:rPr>
          <w:rFonts w:ascii="Times New Roman" w:hAnsi="Times New Roman" w:cs="Times New Roman"/>
        </w:rPr>
        <w:t xml:space="preserve"> The </w:t>
      </w:r>
      <w:r>
        <w:rPr>
          <w:rFonts w:ascii="Times New Roman" w:hAnsi="Times New Roman" w:cs="Times New Roman"/>
          <w:i/>
          <w:iCs/>
        </w:rPr>
        <w:t>Agenda Česká</w:t>
      </w:r>
      <w:r>
        <w:rPr>
          <w:rFonts w:ascii="Times New Roman" w:hAnsi="Times New Roman" w:cs="Times New Roman"/>
        </w:rPr>
        <w:t xml:space="preserve"> follows that pattern at the level of vocabulary, and to a 16th-century cleric familiar with the </w:t>
      </w:r>
      <w:r>
        <w:rPr>
          <w:rFonts w:ascii="Times New Roman" w:hAnsi="Times New Roman" w:cs="Times New Roman"/>
          <w:i/>
          <w:iCs/>
        </w:rPr>
        <w:t>Formula Missae</w:t>
      </w:r>
      <w:r>
        <w:rPr>
          <w:rFonts w:ascii="Times New Roman" w:hAnsi="Times New Roman" w:cs="Times New Roman"/>
        </w:rPr>
        <w:t>’s precedent the terminological doubling would have read as confessional clarity rather than ambiguity.</w:t>
      </w:r>
      <w:r>
        <w:rPr>
          <w:rStyle w:val="FootnoteReference"/>
          <w:rFonts w:ascii="Times New Roman" w:hAnsi="Times New Roman" w:cs="Times New Roman"/>
        </w:rPr>
        <w:footnoteReference w:id="17"/>
      </w:r>
      <w:r>
        <w:rPr>
          <w:rFonts w:ascii="Times New Roman" w:hAnsi="Times New Roman" w:cs="Times New Roman"/>
        </w:rPr>
        <w:t xml:space="preserve"> The sacrament is consistently called “Welebná Swátost” (Venerable Sacrament). This language is clearly of high reverence, but reverence whose theological content is left to be specified by the rite’s substantive articulations.</w:t>
      </w:r>
    </w:p>
    <w:p w14:paraId="4DED765D" w14:textId="31F3380C"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substantive articulation occurs most fully in the rite’s </w:t>
      </w:r>
      <w:r>
        <w:rPr>
          <w:rFonts w:ascii="Times New Roman" w:hAnsi="Times New Roman" w:cs="Times New Roman"/>
          <w:i/>
          <w:iCs/>
        </w:rPr>
        <w:t>Napomenutí</w:t>
      </w:r>
      <w:r>
        <w:rPr>
          <w:rFonts w:ascii="Times New Roman" w:hAnsi="Times New Roman" w:cs="Times New Roman"/>
        </w:rPr>
        <w:t xml:space="preserve"> — the admonition to communicants placed between the Sanctus and the Words of Institution, at pp. 142 – 144 of Benka’s edition. By the way, this placement is itself confessionally significant. The congregation receives a sustained theological address explaining what the sacrament is </w:t>
      </w:r>
      <w:r>
        <w:rPr>
          <w:rFonts w:ascii="Times New Roman" w:hAnsi="Times New Roman" w:cs="Times New Roman"/>
          <w:i/>
          <w:iCs/>
        </w:rPr>
        <w:t>before</w:t>
      </w:r>
      <w:r>
        <w:rPr>
          <w:rFonts w:ascii="Times New Roman" w:hAnsi="Times New Roman" w:cs="Times New Roman"/>
        </w:rPr>
        <w:t xml:space="preserve"> the consecration is performed. Understanding precedes reception. The admonition is therefore the place in the rite where the </w:t>
      </w:r>
      <w:r>
        <w:rPr>
          <w:rFonts w:ascii="Times New Roman" w:hAnsi="Times New Roman" w:cs="Times New Roman"/>
          <w:i/>
          <w:iCs/>
        </w:rPr>
        <w:t>lex orandi</w:t>
      </w:r>
      <w:r>
        <w:rPr>
          <w:rFonts w:ascii="Times New Roman" w:hAnsi="Times New Roman" w:cs="Times New Roman"/>
        </w:rPr>
        <w:t xml:space="preserve"> speaks most clearly about its own </w:t>
      </w:r>
      <w:r>
        <w:rPr>
          <w:rFonts w:ascii="Times New Roman" w:hAnsi="Times New Roman" w:cs="Times New Roman"/>
          <w:i/>
          <w:iCs/>
        </w:rPr>
        <w:t>lex credendi</w:t>
      </w:r>
      <w:r>
        <w:rPr>
          <w:rFonts w:ascii="Times New Roman" w:hAnsi="Times New Roman" w:cs="Times New Roman"/>
        </w:rPr>
        <w:t>. Read carefully, it speaks in a register that is identifiably Lutheran in its pastoral accent but moderate in its dogmatic specification.</w:t>
      </w:r>
    </w:p>
    <w:p w14:paraId="29E2A527" w14:textId="1A741A0C"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The admonition’s central Eucharistic gloss reads as follows:</w:t>
      </w:r>
    </w:p>
    <w:p w14:paraId="76E69B10" w14:textId="28613DD0" w:rsidR="003436C2" w:rsidRPr="00BA0C6D" w:rsidRDefault="003436C2" w:rsidP="006803BF">
      <w:pPr>
        <w:spacing w:after="0" w:line="276" w:lineRule="auto"/>
        <w:ind w:left="576" w:right="576"/>
        <w:rPr>
          <w:rFonts w:ascii="Times New Roman" w:hAnsi="Times New Roman" w:cs="Times New Roman"/>
        </w:rPr>
      </w:pPr>
      <w:r>
        <w:rPr>
          <w:rFonts w:ascii="Times New Roman" w:hAnsi="Times New Roman" w:cs="Times New Roman"/>
          <w:i/>
          <w:iCs/>
        </w:rPr>
        <w:t>Wezměte a gezte / to gest Tělo mé / kteréž se za wás dáwá / To gest / že gsem Cžlowěkem včiněn / a cožkoliw činijm a trpijm / to gest wssecko wasse dědičné / a pro wasse lepssij se děge. Toho k gistotnému dokázanij a swědomij dáwám wám Tělo mé za pokrm.</w:t>
      </w:r>
    </w:p>
    <w:p w14:paraId="07D7A31C" w14:textId="11C0413D" w:rsidR="003436C2" w:rsidRPr="00BA0C6D" w:rsidRDefault="003436C2" w:rsidP="006803BF">
      <w:pPr>
        <w:spacing w:after="0" w:line="276" w:lineRule="auto"/>
        <w:ind w:left="576" w:right="576"/>
        <w:rPr>
          <w:rFonts w:ascii="Times New Roman" w:hAnsi="Times New Roman" w:cs="Times New Roman"/>
        </w:rPr>
      </w:pPr>
      <w:r>
        <w:rPr>
          <w:rFonts w:ascii="Times New Roman" w:hAnsi="Times New Roman" w:cs="Times New Roman"/>
        </w:rPr>
        <w:t>[Take and eat, this is my Body which is given for you — that is, that I have been made man, and whatever I do and suffer, all of it is your inheritance, and is done for your benefit. For certain proof and testimony of this, I give you my Body for food.]</w:t>
      </w:r>
      <w:r>
        <w:rPr>
          <w:rStyle w:val="FootnoteReference"/>
          <w:rFonts w:ascii="Times New Roman" w:hAnsi="Times New Roman" w:cs="Times New Roman"/>
        </w:rPr>
        <w:footnoteReference w:id="18"/>
      </w:r>
      <w:r>
        <w:rPr>
          <w:rFonts w:ascii="Times New Roman" w:hAnsi="Times New Roman" w:cs="Times New Roman"/>
        </w:rPr>
        <w:t xml:space="preserve"> </w:t>
      </w:r>
    </w:p>
    <w:p w14:paraId="76992B08" w14:textId="77864497"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This is, in fact,  theologically decisive. Notice how the Words of Institution — “this is my body” — are interpreted not in terms of the </w:t>
      </w:r>
      <w:r>
        <w:rPr>
          <w:rFonts w:ascii="Times New Roman" w:hAnsi="Times New Roman" w:cs="Times New Roman"/>
          <w:i/>
          <w:iCs/>
        </w:rPr>
        <w:t>mode</w:t>
      </w:r>
      <w:r>
        <w:rPr>
          <w:rFonts w:ascii="Times New Roman" w:hAnsi="Times New Roman" w:cs="Times New Roman"/>
        </w:rPr>
        <w:t xml:space="preserve"> of presence (transubstantiation, consubstantiation, </w:t>
      </w:r>
      <w:r>
        <w:rPr>
          <w:rFonts w:ascii="Times New Roman" w:hAnsi="Times New Roman" w:cs="Times New Roman"/>
          <w:i/>
          <w:iCs/>
        </w:rPr>
        <w:t>in/with/under</w:t>
      </w:r>
      <w:r>
        <w:rPr>
          <w:rFonts w:ascii="Times New Roman" w:hAnsi="Times New Roman" w:cs="Times New Roman"/>
        </w:rPr>
        <w:t xml:space="preserve">) but in terms of </w:t>
      </w:r>
      <w:r>
        <w:rPr>
          <w:rFonts w:ascii="Times New Roman" w:hAnsi="Times New Roman" w:cs="Times New Roman"/>
          <w:i/>
          <w:iCs/>
        </w:rPr>
        <w:t>function</w:t>
      </w:r>
      <w:r>
        <w:rPr>
          <w:rFonts w:ascii="Times New Roman" w:hAnsi="Times New Roman" w:cs="Times New Roman"/>
        </w:rPr>
        <w:t xml:space="preserve">: the body is given “k gistotnému dokázanij a swědomij” … “for certain proof and testimony”. The sacrament is understood as a seal or pledge of the salvific work accomplished in the incarnation and passion. The body given in the Supper is the same body that was “made man” and that “suffered”; the identification is Christological. The point is structural to the Lutheran tradition's argument for the real presence: as Martin Chemnitz had elaborated at length in his </w:t>
      </w:r>
      <w:r>
        <w:rPr>
          <w:rFonts w:ascii="Times New Roman" w:hAnsi="Times New Roman" w:cs="Times New Roman"/>
          <w:i/>
          <w:iCs/>
        </w:rPr>
        <w:t xml:space="preserve">Fundamenta Sanae </w:t>
      </w:r>
      <w:r>
        <w:rPr>
          <w:rFonts w:ascii="Times New Roman" w:hAnsi="Times New Roman" w:cs="Times New Roman"/>
          <w:i/>
          <w:iCs/>
        </w:rPr>
        <w:lastRenderedPageBreak/>
        <w:t>Doctrinae De Vera Et Substantiali Praesentia</w:t>
      </w:r>
      <w:r>
        <w:rPr>
          <w:rFonts w:ascii="Times New Roman" w:hAnsi="Times New Roman" w:cs="Times New Roman"/>
        </w:rPr>
        <w:t xml:space="preserve"> (1570) and again in </w:t>
      </w:r>
      <w:r>
        <w:rPr>
          <w:rFonts w:ascii="Times New Roman" w:hAnsi="Times New Roman" w:cs="Times New Roman"/>
          <w:i/>
          <w:iCs/>
        </w:rPr>
        <w:t>De duabus naturis in Christo</w:t>
      </w:r>
      <w:r>
        <w:rPr>
          <w:rFonts w:ascii="Times New Roman" w:hAnsi="Times New Roman" w:cs="Times New Roman"/>
        </w:rPr>
        <w:t xml:space="preserve"> (1578), the sacramental union (</w:t>
      </w:r>
      <w:r>
        <w:rPr>
          <w:rFonts w:ascii="Times New Roman" w:hAnsi="Times New Roman" w:cs="Times New Roman"/>
          <w:i/>
          <w:iCs/>
        </w:rPr>
        <w:t>unio sacramentalis</w:t>
      </w:r>
      <w:r>
        <w:rPr>
          <w:rFonts w:ascii="Times New Roman" w:hAnsi="Times New Roman" w:cs="Times New Roman"/>
        </w:rPr>
        <w:t xml:space="preserve">) of Christ's body and blood with the bread and wine rests on the prior hypostatic union of the divine and human natures in the single person of the incarnate Christ; the </w:t>
      </w:r>
      <w:r>
        <w:rPr>
          <w:rFonts w:ascii="Times New Roman" w:hAnsi="Times New Roman" w:cs="Times New Roman"/>
          <w:i/>
          <w:iCs/>
        </w:rPr>
        <w:t>communicatio idiomatum</w:t>
      </w:r>
      <w:r>
        <w:rPr>
          <w:rFonts w:ascii="Times New Roman" w:hAnsi="Times New Roman" w:cs="Times New Roman"/>
        </w:rPr>
        <w:t xml:space="preserve"> and, more specifically, the </w:t>
      </w:r>
      <w:r>
        <w:rPr>
          <w:rFonts w:ascii="Times New Roman" w:hAnsi="Times New Roman" w:cs="Times New Roman"/>
          <w:i/>
          <w:iCs/>
        </w:rPr>
        <w:t>genus maiestaticum</w:t>
      </w:r>
      <w:r>
        <w:rPr>
          <w:rFonts w:ascii="Times New Roman" w:hAnsi="Times New Roman" w:cs="Times New Roman"/>
        </w:rPr>
        <w:t xml:space="preserve"> (the unilateral communication of divine majesty to Christ's humanity) make Christ's flesh genuinely vivifying without dissolving its humanity, and it is this same vivified flesh that is given in the Supper.</w:t>
      </w:r>
      <w:r>
        <w:rPr>
          <w:rStyle w:val="FootnoteReference"/>
          <w:rFonts w:ascii="Times New Roman" w:hAnsi="Times New Roman" w:cs="Times New Roman"/>
        </w:rPr>
        <w:footnoteReference w:id="19"/>
      </w:r>
      <w:r>
        <w:rPr>
          <w:rFonts w:ascii="Times New Roman" w:hAnsi="Times New Roman" w:cs="Times New Roman"/>
        </w:rPr>
        <w:t xml:space="preserve"> Chemnitz's articulation, codified in 1577 in Article VIII of the </w:t>
      </w:r>
      <w:r>
        <w:rPr>
          <w:rFonts w:ascii="Times New Roman" w:hAnsi="Times New Roman" w:cs="Times New Roman"/>
          <w:i/>
          <w:iCs/>
        </w:rPr>
        <w:t>Solid Declaration</w:t>
      </w:r>
      <w:r>
        <w:rPr>
          <w:rFonts w:ascii="Times New Roman" w:hAnsi="Times New Roman" w:cs="Times New Roman"/>
        </w:rPr>
        <w:t xml:space="preserve">, was already in formation when the </w:t>
      </w:r>
      <w:r>
        <w:rPr>
          <w:rFonts w:ascii="Times New Roman" w:hAnsi="Times New Roman" w:cs="Times New Roman"/>
          <w:i/>
          <w:iCs/>
        </w:rPr>
        <w:t>Agenda Česká</w:t>
      </w:r>
      <w:r>
        <w:rPr>
          <w:rFonts w:ascii="Times New Roman" w:hAnsi="Times New Roman" w:cs="Times New Roman"/>
        </w:rPr>
        <w:t xml:space="preserve"> was being prepared, and it is this Christological substrate against which the </w:t>
      </w:r>
      <w:r>
        <w:rPr>
          <w:rFonts w:ascii="Times New Roman" w:hAnsi="Times New Roman" w:cs="Times New Roman"/>
          <w:i/>
          <w:iCs/>
        </w:rPr>
        <w:t>Agenda</w:t>
      </w:r>
      <w:r>
        <w:rPr>
          <w:rFonts w:ascii="Times New Roman" w:hAnsi="Times New Roman" w:cs="Times New Roman"/>
        </w:rPr>
        <w:t xml:space="preserve">'s gloss has to be read. What the </w:t>
      </w:r>
      <w:r>
        <w:rPr>
          <w:rFonts w:ascii="Times New Roman" w:hAnsi="Times New Roman" w:cs="Times New Roman"/>
          <w:i/>
          <w:iCs/>
        </w:rPr>
        <w:t>Agenda</w:t>
      </w:r>
      <w:r>
        <w:rPr>
          <w:rFonts w:ascii="Times New Roman" w:hAnsi="Times New Roman" w:cs="Times New Roman"/>
        </w:rPr>
        <w:t xml:space="preserve"> affirms is the Christological identification: this is the body of the incarnate, suffering, risen Christ. What the </w:t>
      </w:r>
      <w:r>
        <w:rPr>
          <w:rFonts w:ascii="Times New Roman" w:hAnsi="Times New Roman" w:cs="Times New Roman"/>
          <w:i/>
          <w:iCs/>
        </w:rPr>
        <w:t>Agenda</w:t>
      </w:r>
      <w:r>
        <w:rPr>
          <w:rFonts w:ascii="Times New Roman" w:hAnsi="Times New Roman" w:cs="Times New Roman"/>
        </w:rPr>
        <w:t xml:space="preserve"> does not yet articulate is the metaphysical apparatus — the </w:t>
      </w:r>
      <w:r>
        <w:rPr>
          <w:rFonts w:ascii="Times New Roman" w:hAnsi="Times New Roman" w:cs="Times New Roman"/>
          <w:i/>
          <w:iCs/>
        </w:rPr>
        <w:t>unio personalis</w:t>
      </w:r>
      <w:r>
        <w:rPr>
          <w:rFonts w:ascii="Times New Roman" w:hAnsi="Times New Roman" w:cs="Times New Roman"/>
        </w:rPr>
        <w:t xml:space="preserve">, the </w:t>
      </w:r>
      <w:r>
        <w:rPr>
          <w:rFonts w:ascii="Times New Roman" w:hAnsi="Times New Roman" w:cs="Times New Roman"/>
          <w:i/>
          <w:iCs/>
        </w:rPr>
        <w:t>communicatio idiomatum</w:t>
      </w:r>
      <w:r>
        <w:rPr>
          <w:rFonts w:ascii="Times New Roman" w:hAnsi="Times New Roman" w:cs="Times New Roman"/>
        </w:rPr>
        <w:t xml:space="preserve">, the </w:t>
      </w:r>
      <w:r>
        <w:rPr>
          <w:rFonts w:ascii="Times New Roman" w:hAnsi="Times New Roman" w:cs="Times New Roman"/>
          <w:i/>
          <w:iCs/>
        </w:rPr>
        <w:t>genus maiestaticum</w:t>
      </w:r>
      <w:r>
        <w:rPr>
          <w:rFonts w:ascii="Times New Roman" w:hAnsi="Times New Roman" w:cs="Times New Roman"/>
        </w:rPr>
        <w:t xml:space="preserve"> — by means of which the post-Formula Lutheran tradition came to specify </w:t>
      </w:r>
      <w:r>
        <w:rPr>
          <w:rFonts w:ascii="Times New Roman" w:hAnsi="Times New Roman" w:cs="Times New Roman"/>
          <w:i/>
          <w:iCs/>
        </w:rPr>
        <w:t>how</w:t>
      </w:r>
      <w:r>
        <w:rPr>
          <w:rFonts w:ascii="Times New Roman" w:hAnsi="Times New Roman" w:cs="Times New Roman"/>
        </w:rPr>
        <w:t xml:space="preserve"> that body is given in the elements. The mode by which the body is given is described functionally rather than metaphysically. But the mode by which that body is given is described functionally rather than metaphysically. The rite says enough to be recognisably Lutheran in its insistence that what is given is the body of the incarnate, crucified Christ. It does not say what the contemporary </w:t>
      </w:r>
      <w:r>
        <w:rPr>
          <w:rFonts w:ascii="Times New Roman" w:hAnsi="Times New Roman" w:cs="Times New Roman"/>
          <w:i/>
          <w:iCs/>
        </w:rPr>
        <w:t>Formula of Concord</w:t>
      </w:r>
      <w:r>
        <w:rPr>
          <w:rFonts w:ascii="Times New Roman" w:hAnsi="Times New Roman" w:cs="Times New Roman"/>
        </w:rPr>
        <w:t xml:space="preserve"> (1577) had just made the boundary marker of Lutheran Eucharistic theology against Reformed alternatives: that the body is bodily present “in, with, and under” the bread, that it is received orally as well as spiritually, that the unworthy also receive it to their condemnation.</w:t>
      </w:r>
    </w:p>
    <w:p w14:paraId="6D14C525" w14:textId="10F660EB"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rite’s definition of worthy reception confirms this register choice. Benka extracts the operative formula at p. 79 of his introductory study, where he is precisely concerned to characterise the </w:t>
      </w:r>
      <w:r>
        <w:rPr>
          <w:rFonts w:ascii="Times New Roman" w:hAnsi="Times New Roman" w:cs="Times New Roman"/>
          <w:i/>
          <w:iCs/>
        </w:rPr>
        <w:t>Agenda</w:t>
      </w:r>
      <w:r>
        <w:rPr>
          <w:rFonts w:ascii="Times New Roman" w:hAnsi="Times New Roman" w:cs="Times New Roman"/>
        </w:rPr>
        <w:t>’s Eucharistic vocabulary:</w:t>
      </w:r>
    </w:p>
    <w:p w14:paraId="50DC045E" w14:textId="2A2CF9DA" w:rsidR="003436C2" w:rsidRPr="00BA0C6D" w:rsidRDefault="003436C2" w:rsidP="001E0C58">
      <w:pPr>
        <w:spacing w:after="0" w:line="276" w:lineRule="auto"/>
        <w:ind w:left="576" w:right="576"/>
        <w:rPr>
          <w:rFonts w:ascii="Times New Roman" w:hAnsi="Times New Roman" w:cs="Times New Roman"/>
        </w:rPr>
      </w:pPr>
      <w:r>
        <w:rPr>
          <w:rFonts w:ascii="Times New Roman" w:hAnsi="Times New Roman" w:cs="Times New Roman"/>
          <w:i/>
          <w:iCs/>
        </w:rPr>
        <w:t>Kdo giž z toho Chléba gij a z Kalicha pige a těm slowům, kteráž od Krysta slyssij a tomu nařízenij, kteréž od Krysta přigijmá, sylně wěřij, tenť gest hodný Host k stolu Páně.</w:t>
      </w:r>
    </w:p>
    <w:p w14:paraId="23A06198" w14:textId="795BCD0E" w:rsidR="003436C2" w:rsidRPr="00BA0C6D" w:rsidRDefault="003436C2" w:rsidP="001E0C58">
      <w:pPr>
        <w:spacing w:after="0" w:line="276" w:lineRule="auto"/>
        <w:ind w:left="576" w:right="576"/>
        <w:rPr>
          <w:rFonts w:ascii="Times New Roman" w:hAnsi="Times New Roman" w:cs="Times New Roman"/>
        </w:rPr>
      </w:pPr>
      <w:r>
        <w:rPr>
          <w:rFonts w:ascii="Times New Roman" w:hAnsi="Times New Roman" w:cs="Times New Roman"/>
        </w:rPr>
        <w:t>[Whoever now eats of this Bread and drinks from the Chalice and firmly believes those words which he hears from Christ and that ordinance which he receives from Christ — he is a worthy guest at the Lord’s table.]</w:t>
      </w:r>
      <w:r>
        <w:rPr>
          <w:rStyle w:val="FootnoteReference"/>
          <w:rFonts w:ascii="Times New Roman" w:hAnsi="Times New Roman" w:cs="Times New Roman"/>
        </w:rPr>
        <w:footnoteReference w:id="20"/>
      </w:r>
      <w:r>
        <w:rPr>
          <w:rFonts w:ascii="Times New Roman" w:hAnsi="Times New Roman" w:cs="Times New Roman"/>
        </w:rPr>
        <w:t xml:space="preserve"> </w:t>
      </w:r>
    </w:p>
    <w:p w14:paraId="5ACCB6B8" w14:textId="6A9E842E"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criterion for worthy reception is </w:t>
      </w:r>
      <w:r>
        <w:rPr>
          <w:rFonts w:ascii="Times New Roman" w:hAnsi="Times New Roman" w:cs="Times New Roman"/>
          <w:i/>
          <w:iCs/>
        </w:rPr>
        <w:t>faith in the words of institution</w:t>
      </w:r>
      <w:r>
        <w:rPr>
          <w:rFonts w:ascii="Times New Roman" w:hAnsi="Times New Roman" w:cs="Times New Roman"/>
        </w:rPr>
        <w:t xml:space="preserve">. Not faith in a specific doctrine about the mode of presence; not faith in the universal scope of the bodily reception across worthy and unworthy alike; not faith that articulates itself through any of the polemical markers that the post-1577 Lutheran territories would shortly come to insist upon. A communicant who held the Formula’s full position on real presence and a communicant who held a more moderate, Melanchthonian, or even broadly Reformed-spiritual-presence view </w:t>
      </w:r>
      <w:r>
        <w:rPr>
          <w:rFonts w:ascii="Times New Roman" w:hAnsi="Times New Roman" w:cs="Times New Roman"/>
        </w:rPr>
        <w:lastRenderedPageBreak/>
        <w:t>could both “firmly believe the words” — they would simply understand them differently. The rite does not police the boundary between them.</w:t>
      </w:r>
    </w:p>
    <w:p w14:paraId="2085CF71" w14:textId="7DEE4F3F"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This silence is what Benka’s own analytical observation captures with sufficient clarity. Discussing the </w:t>
      </w:r>
      <w:r>
        <w:rPr>
          <w:rFonts w:ascii="Times New Roman" w:hAnsi="Times New Roman" w:cs="Times New Roman"/>
          <w:i/>
          <w:iCs/>
        </w:rPr>
        <w:t>Agenda Česká</w:t>
      </w:r>
      <w:r>
        <w:rPr>
          <w:rFonts w:ascii="Times New Roman" w:hAnsi="Times New Roman" w:cs="Times New Roman"/>
        </w:rPr>
        <w:t>’s Eucharistic passages, he notes: “</w:t>
      </w:r>
      <w:r>
        <w:rPr>
          <w:rFonts w:ascii="Times New Roman" w:hAnsi="Times New Roman" w:cs="Times New Roman"/>
          <w:i/>
          <w:iCs/>
        </w:rPr>
        <w:t>Príslušné pasáže v nej [Agende českej] obsahujú napríklad zmienky o tele a krvi, bez prívlastkov typu ‘pravý’ či ‘substanciálny’.</w:t>
      </w:r>
      <w:r>
        <w:rPr>
          <w:rFonts w:ascii="Times New Roman" w:hAnsi="Times New Roman" w:cs="Times New Roman"/>
        </w:rPr>
        <w:t>”</w:t>
      </w:r>
      <w:r>
        <w:rPr>
          <w:rFonts w:ascii="Times New Roman" w:hAnsi="Times New Roman" w:cs="Times New Roman"/>
          <w:i/>
          <w:iCs/>
        </w:rPr>
        <w:t xml:space="preserve"> </w:t>
      </w:r>
      <w:r>
        <w:rPr>
          <w:rFonts w:ascii="Times New Roman" w:hAnsi="Times New Roman" w:cs="Times New Roman"/>
        </w:rPr>
        <w:t xml:space="preserve">[The relevant passages in it [the </w:t>
      </w:r>
      <w:r>
        <w:rPr>
          <w:rFonts w:ascii="Times New Roman" w:hAnsi="Times New Roman" w:cs="Times New Roman"/>
          <w:i/>
          <w:iCs/>
        </w:rPr>
        <w:t>Agenda Česká</w:t>
      </w:r>
      <w:r>
        <w:rPr>
          <w:rFonts w:ascii="Times New Roman" w:hAnsi="Times New Roman" w:cs="Times New Roman"/>
        </w:rPr>
        <w:t>] contain, for example, mentions of body and blood, without qualifiers of the type ‘true’ or ‘substantial’.]</w:t>
      </w:r>
      <w:r>
        <w:rPr>
          <w:rStyle w:val="FootnoteReference"/>
          <w:rFonts w:ascii="Times New Roman" w:hAnsi="Times New Roman" w:cs="Times New Roman"/>
        </w:rPr>
        <w:footnoteReference w:id="21"/>
      </w:r>
      <w:r>
        <w:rPr>
          <w:rFonts w:ascii="Times New Roman" w:hAnsi="Times New Roman" w:cs="Times New Roman"/>
        </w:rPr>
        <w:t xml:space="preserve"> </w:t>
      </w:r>
    </w:p>
    <w:p w14:paraId="4873F539" w14:textId="2FB3EE72" w:rsidR="003436C2" w:rsidRPr="00BA0C6D" w:rsidRDefault="00060AD2" w:rsidP="002B5C09">
      <w:pPr>
        <w:spacing w:after="0" w:line="276" w:lineRule="auto"/>
        <w:rPr>
          <w:rFonts w:ascii="Times New Roman" w:hAnsi="Times New Roman" w:cs="Times New Roman"/>
        </w:rPr>
      </w:pPr>
      <w:r>
        <w:rPr>
          <w:rFonts w:ascii="Times New Roman" w:hAnsi="Times New Roman" w:cs="Times New Roman"/>
        </w:rPr>
        <w:t xml:space="preserve">What about the qualifying adjectives: “pravý” (true), “substanciálny” (substantial)? They are precisely the markers that the polemically sharpened Lutheran discourse of the post-Formula period attached to “Tělo a Krev” to differentiate the orthodox Lutheran position from the Reformed denial of bodily presence. But we must be careful here. Their absence from the </w:t>
      </w:r>
      <w:r>
        <w:rPr>
          <w:rFonts w:ascii="Times New Roman" w:hAnsi="Times New Roman" w:cs="Times New Roman"/>
          <w:i/>
          <w:iCs/>
        </w:rPr>
        <w:t>Agenda Česká</w:t>
      </w:r>
      <w:r>
        <w:rPr>
          <w:rFonts w:ascii="Times New Roman" w:hAnsi="Times New Roman" w:cs="Times New Roman"/>
        </w:rPr>
        <w:t xml:space="preserve"> is not a doctrinal weakness. It is a register choice. The rite operates in a moderate Czech-Lutheran register, as we noted above. It is theologically anchored in the words of institution and the </w:t>
      </w:r>
      <w:r>
        <w:rPr>
          <w:rFonts w:ascii="Times New Roman" w:hAnsi="Times New Roman" w:cs="Times New Roman"/>
          <w:i/>
          <w:iCs/>
        </w:rPr>
        <w:t>Agenda Česká</w:t>
      </w:r>
      <w:r>
        <w:rPr>
          <w:rFonts w:ascii="Times New Roman" w:hAnsi="Times New Roman" w:cs="Times New Roman"/>
        </w:rPr>
        <w:t xml:space="preserve">’s own confessional alignment with the </w:t>
      </w:r>
      <w:r>
        <w:rPr>
          <w:rFonts w:ascii="Times New Roman" w:hAnsi="Times New Roman" w:cs="Times New Roman"/>
          <w:i/>
          <w:iCs/>
        </w:rPr>
        <w:t>Augsburg Confession</w:t>
      </w:r>
      <w:r>
        <w:rPr>
          <w:rFonts w:ascii="Times New Roman" w:hAnsi="Times New Roman" w:cs="Times New Roman"/>
        </w:rPr>
        <w:t xml:space="preserve">, but pragmatically silent on the polemically sharpened distinctives. To put it slightly differently: the </w:t>
      </w:r>
      <w:r>
        <w:rPr>
          <w:rFonts w:ascii="Times New Roman" w:hAnsi="Times New Roman" w:cs="Times New Roman"/>
          <w:i/>
          <w:iCs/>
        </w:rPr>
        <w:t>Agenda Česká</w:t>
      </w:r>
      <w:r>
        <w:rPr>
          <w:rFonts w:ascii="Times New Roman" w:hAnsi="Times New Roman" w:cs="Times New Roman"/>
        </w:rPr>
        <w:t xml:space="preserve"> says enough to be confessionally Lutheran. It does not say enough to be polemically Lutheran. The two are not the same.</w:t>
      </w:r>
    </w:p>
    <w:p w14:paraId="19ECCD9E" w14:textId="77777777" w:rsidR="00CC0C80" w:rsidRDefault="003436C2" w:rsidP="002B5C09">
      <w:pPr>
        <w:spacing w:after="0" w:line="276" w:lineRule="auto"/>
        <w:rPr>
          <w:rFonts w:ascii="Times New Roman" w:hAnsi="Times New Roman" w:cs="Times New Roman"/>
        </w:rPr>
      </w:pPr>
      <w:r>
        <w:rPr>
          <w:rFonts w:ascii="Times New Roman" w:hAnsi="Times New Roman" w:cs="Times New Roman"/>
        </w:rPr>
        <w:t xml:space="preserve">Several further confirmations of this register reading can be drawn from the rite’s other rubrics, briefly. The pastoral framing of the sacrament’s purpose is distinctly Lutheran: </w:t>
      </w:r>
    </w:p>
    <w:p w14:paraId="01A8987F" w14:textId="6C1840DE" w:rsidR="00CC0C80" w:rsidRDefault="00F82B98" w:rsidP="00CC0C80">
      <w:pPr>
        <w:spacing w:after="0" w:line="276" w:lineRule="auto"/>
        <w:ind w:left="576" w:right="576"/>
        <w:rPr>
          <w:rFonts w:ascii="Times New Roman" w:hAnsi="Times New Roman" w:cs="Times New Roman"/>
        </w:rPr>
      </w:pPr>
      <w:r>
        <w:rPr>
          <w:rFonts w:ascii="Times New Roman" w:hAnsi="Times New Roman" w:cs="Times New Roman"/>
        </w:rPr>
        <w:t>“ta přeswatá Swátost gest k obzwlásstnijmu potěssenij a posylněnij dána / bijdným a zarmauceným swědomijm” — [“this most holy Sacrament is given for the special consolation and strengthening of poor and troubled consciences”].</w:t>
      </w:r>
      <w:r>
        <w:rPr>
          <w:rStyle w:val="FootnoteReference"/>
          <w:rFonts w:ascii="Times New Roman" w:hAnsi="Times New Roman" w:cs="Times New Roman"/>
        </w:rPr>
        <w:footnoteReference w:id="22"/>
      </w:r>
      <w:r>
        <w:rPr>
          <w:rFonts w:ascii="Times New Roman" w:hAnsi="Times New Roman" w:cs="Times New Roman"/>
        </w:rPr>
        <w:t xml:space="preserve"> </w:t>
      </w:r>
    </w:p>
    <w:p w14:paraId="11E5F378" w14:textId="77777777" w:rsidR="00DE2F5B" w:rsidRDefault="003436C2" w:rsidP="002B5C09">
      <w:pPr>
        <w:spacing w:after="0" w:line="276" w:lineRule="auto"/>
        <w:rPr>
          <w:rFonts w:ascii="Times New Roman" w:hAnsi="Times New Roman" w:cs="Times New Roman"/>
        </w:rPr>
      </w:pPr>
      <w:r>
        <w:rPr>
          <w:rFonts w:ascii="Times New Roman" w:hAnsi="Times New Roman" w:cs="Times New Roman"/>
        </w:rPr>
        <w:t xml:space="preserve">This is </w:t>
      </w:r>
      <w:r>
        <w:rPr>
          <w:rFonts w:ascii="Times New Roman" w:hAnsi="Times New Roman" w:cs="Times New Roman"/>
          <w:i/>
          <w:iCs/>
        </w:rPr>
        <w:t>consolatio conscientiae</w:t>
      </w:r>
      <w:r>
        <w:rPr>
          <w:rFonts w:ascii="Times New Roman" w:hAnsi="Times New Roman" w:cs="Times New Roman"/>
        </w:rPr>
        <w:t xml:space="preserve"> in its purest form, the pastoral accent that distinguishes Lutheran Eucharistic piety in that specific milieu from both the sanctifying-transformative emphasis of Utraquist sacramental practice and the disciplinary-communal emphasis of the </w:t>
      </w:r>
      <w:r>
        <w:rPr>
          <w:rFonts w:ascii="Times New Roman" w:hAnsi="Times New Roman" w:cs="Times New Roman"/>
        </w:rPr>
        <w:lastRenderedPageBreak/>
        <w:t xml:space="preserve">Unity of Brethren. The longer of the two thanksgiving prayers offered after distribution moves a step further towards presence-language: </w:t>
      </w:r>
    </w:p>
    <w:p w14:paraId="20F9CF89" w14:textId="77777777" w:rsidR="00DE2F5B" w:rsidRDefault="00F82B98" w:rsidP="00DE2F5B">
      <w:pPr>
        <w:spacing w:after="0" w:line="276" w:lineRule="auto"/>
        <w:ind w:left="576" w:right="576"/>
        <w:rPr>
          <w:rFonts w:ascii="Times New Roman" w:hAnsi="Times New Roman" w:cs="Times New Roman"/>
        </w:rPr>
      </w:pPr>
      <w:r>
        <w:rPr>
          <w:rFonts w:ascii="Times New Roman" w:hAnsi="Times New Roman" w:cs="Times New Roman"/>
        </w:rPr>
        <w:t>“že gsy skrze Syna swého milého / tu welebnau Swátost vstanowiti ráčil / w nijžto Tělo geho Swaté gijme / a Krew geho Swatau pigeme” — “that through your beloved Son you have deigned to establish this venerable Sacrament, in which we eat his Holy Body and drink his Holy Blood”.</w:t>
      </w:r>
      <w:r>
        <w:rPr>
          <w:rStyle w:val="FootnoteReference"/>
          <w:rFonts w:ascii="Times New Roman" w:hAnsi="Times New Roman" w:cs="Times New Roman"/>
        </w:rPr>
        <w:footnoteReference w:id="23"/>
      </w:r>
      <w:r>
        <w:rPr>
          <w:rFonts w:ascii="Times New Roman" w:hAnsi="Times New Roman" w:cs="Times New Roman"/>
        </w:rPr>
        <w:t xml:space="preserve"> </w:t>
      </w:r>
    </w:p>
    <w:p w14:paraId="23935703" w14:textId="3DB9EE5A"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This is the most explicit presence-language in the entire rite. Yet attend to the syntax: “w nijžto Tělo geho Swaté gijme” — “in which [in the Sacrament] we eat his Holy Body”. The body and blood are located in the </w:t>
      </w:r>
      <w:r>
        <w:rPr>
          <w:rFonts w:ascii="Times New Roman" w:hAnsi="Times New Roman" w:cs="Times New Roman"/>
          <w:i/>
          <w:iCs/>
        </w:rPr>
        <w:t>sacramental action</w:t>
      </w:r>
      <w:r>
        <w:rPr>
          <w:rFonts w:ascii="Times New Roman" w:hAnsi="Times New Roman" w:cs="Times New Roman"/>
        </w:rPr>
        <w:t xml:space="preserve">, not identified specifically with the material elements of bread and wine. The formulation is real-presence-compatible; it is also spiritual-presence-compatible. It does not commit the rite to either side of the boundary the </w:t>
      </w:r>
      <w:r>
        <w:rPr>
          <w:rFonts w:ascii="Times New Roman" w:hAnsi="Times New Roman" w:cs="Times New Roman"/>
          <w:i/>
          <w:iCs/>
        </w:rPr>
        <w:t>Formula of Concord</w:t>
      </w:r>
      <w:r>
        <w:rPr>
          <w:rFonts w:ascii="Times New Roman" w:hAnsi="Times New Roman" w:cs="Times New Roman"/>
        </w:rPr>
        <w:t xml:space="preserve"> had drawn.</w:t>
      </w:r>
    </w:p>
    <w:p w14:paraId="667DD69E" w14:textId="3D9D3735" w:rsidR="003436C2" w:rsidRPr="00BA0C6D" w:rsidRDefault="00AE4CC6" w:rsidP="002B5C09">
      <w:pPr>
        <w:spacing w:after="0" w:line="276" w:lineRule="auto"/>
        <w:rPr>
          <w:rFonts w:ascii="Times New Roman" w:hAnsi="Times New Roman" w:cs="Times New Roman"/>
        </w:rPr>
      </w:pPr>
      <w:r>
        <w:rPr>
          <w:rFonts w:ascii="Times New Roman" w:hAnsi="Times New Roman" w:cs="Times New Roman"/>
        </w:rPr>
        <w:t xml:space="preserve">How do we make sense of these notable irenic formulations? Located in the broader confessional landscape of 1581, the </w:t>
      </w:r>
      <w:r>
        <w:rPr>
          <w:rFonts w:ascii="Times New Roman" w:hAnsi="Times New Roman" w:cs="Times New Roman"/>
          <w:i/>
          <w:iCs/>
        </w:rPr>
        <w:t>Agenda Česká</w:t>
      </w:r>
      <w:r>
        <w:rPr>
          <w:rFonts w:ascii="Times New Roman" w:hAnsi="Times New Roman" w:cs="Times New Roman"/>
        </w:rPr>
        <w:t xml:space="preserve">’s register makes strategic sense. The agenda was compiled by clergy ordained at Wittenberg, drawing on Wittenberg, Brandenburg, and Württemberg agenda sources, for use by clergy ministering to populations whose religious memory carried a Hussite-Utraquist liturgical inheritance and whose confessional identity, while institutionally Lutheran, was practised in a multi-confessional milieu where polemically sharpened formulations would have been pastorally counterproductive. The Czech-language environment in which the </w:t>
      </w:r>
      <w:r>
        <w:rPr>
          <w:rFonts w:ascii="Times New Roman" w:hAnsi="Times New Roman" w:cs="Times New Roman"/>
          <w:i/>
          <w:iCs/>
        </w:rPr>
        <w:t>Agenda</w:t>
      </w:r>
      <w:r>
        <w:rPr>
          <w:rFonts w:ascii="Times New Roman" w:hAnsi="Times New Roman" w:cs="Times New Roman"/>
        </w:rPr>
        <w:t xml:space="preserve"> was used was not a mono-confessional Lutheran environment of the kind the German territorial churches were consolidating in the same years. It was a frontier environment in which Lutheran clergy ministered to populations whose grandparents might still have communicated </w:t>
      </w:r>
      <w:r>
        <w:rPr>
          <w:rFonts w:ascii="Times New Roman" w:hAnsi="Times New Roman" w:cs="Times New Roman"/>
          <w:i/>
          <w:iCs/>
        </w:rPr>
        <w:t>sub utraque</w:t>
      </w:r>
      <w:r>
        <w:rPr>
          <w:rFonts w:ascii="Times New Roman" w:hAnsi="Times New Roman" w:cs="Times New Roman"/>
        </w:rPr>
        <w:t xml:space="preserve"> without distinguishing carefully between Utraquist and emerging Lutheran reception. Hence what happens is that the moderate register absorbs that pastoral situation into its liturgical practice. What the </w:t>
      </w:r>
      <w:r>
        <w:rPr>
          <w:rFonts w:ascii="Times New Roman" w:hAnsi="Times New Roman" w:cs="Times New Roman"/>
          <w:i/>
          <w:iCs/>
        </w:rPr>
        <w:t>Agenda Česká</w:t>
      </w:r>
      <w:r>
        <w:rPr>
          <w:rFonts w:ascii="Times New Roman" w:hAnsi="Times New Roman" w:cs="Times New Roman"/>
        </w:rPr>
        <w:t xml:space="preserve"> will not do is hand the polemicists of either side — neither the Augsburg-Lutheran disciplinarians nor the residual Utraquist sensibilities of the Czech parish populations — the rhetorical edges they would need for a confessional rupture.</w:t>
      </w:r>
    </w:p>
    <w:p w14:paraId="049F6503" w14:textId="64B13761"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That moderate register is the printed </w:t>
      </w:r>
      <w:r>
        <w:rPr>
          <w:rFonts w:ascii="Times New Roman" w:hAnsi="Times New Roman" w:cs="Times New Roman"/>
          <w:i/>
          <w:iCs/>
        </w:rPr>
        <w:t>lex orandi</w:t>
      </w:r>
      <w:r>
        <w:rPr>
          <w:rFonts w:ascii="Times New Roman" w:hAnsi="Times New Roman" w:cs="Times New Roman"/>
        </w:rPr>
        <w:t xml:space="preserve"> of the codex. It is not, as the bound supplement will show, the only </w:t>
      </w:r>
      <w:r>
        <w:rPr>
          <w:rFonts w:ascii="Times New Roman" w:hAnsi="Times New Roman" w:cs="Times New Roman"/>
          <w:i/>
          <w:iCs/>
        </w:rPr>
        <w:t>lex orandi</w:t>
      </w:r>
      <w:r>
        <w:rPr>
          <w:rFonts w:ascii="Times New Roman" w:hAnsi="Times New Roman" w:cs="Times New Roman"/>
        </w:rPr>
        <w:t xml:space="preserve"> the codex preserves.</w:t>
      </w:r>
    </w:p>
    <w:p w14:paraId="4134BAD3" w14:textId="77777777" w:rsidR="00C506D6" w:rsidRPr="00BA0C6D" w:rsidRDefault="00C506D6" w:rsidP="002B5C09">
      <w:pPr>
        <w:spacing w:after="0" w:line="276" w:lineRule="auto"/>
        <w:rPr>
          <w:rFonts w:ascii="Times New Roman" w:hAnsi="Times New Roman" w:cs="Times New Roman"/>
        </w:rPr>
      </w:pPr>
    </w:p>
    <w:p w14:paraId="71F2CFFF" w14:textId="44CF93A4" w:rsidR="003436C2" w:rsidRPr="00BA0C6D" w:rsidRDefault="00B27887" w:rsidP="002B5C09">
      <w:pPr>
        <w:spacing w:after="0" w:line="276" w:lineRule="auto"/>
        <w:rPr>
          <w:rFonts w:ascii="Times New Roman" w:hAnsi="Times New Roman" w:cs="Times New Roman"/>
          <w:b/>
          <w:bCs/>
        </w:rPr>
      </w:pPr>
      <w:r>
        <w:rPr>
          <w:rFonts w:ascii="Times New Roman" w:hAnsi="Times New Roman" w:cs="Times New Roman"/>
          <w:b/>
          <w:bCs/>
        </w:rPr>
        <w:t xml:space="preserve">4. The manuscript Slovak supplement: </w:t>
      </w:r>
      <w:r>
        <w:rPr>
          <w:rFonts w:ascii="Times New Roman" w:hAnsi="Times New Roman" w:cs="Times New Roman"/>
          <w:b/>
          <w:bCs/>
          <w:i/>
          <w:iCs/>
        </w:rPr>
        <w:t>Bystrická agenda</w:t>
      </w:r>
      <w:r>
        <w:rPr>
          <w:rFonts w:ascii="Times New Roman" w:hAnsi="Times New Roman" w:cs="Times New Roman"/>
          <w:b/>
          <w:bCs/>
        </w:rPr>
        <w:t xml:space="preserve"> 1585</w:t>
      </w:r>
    </w:p>
    <w:p w14:paraId="0B22546A" w14:textId="18318EF9"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Bystrická agenda</w:t>
      </w:r>
      <w:r>
        <w:rPr>
          <w:rFonts w:ascii="Times New Roman" w:hAnsi="Times New Roman" w:cs="Times New Roman"/>
        </w:rPr>
        <w:t xml:space="preserve"> occupies pp. 265 – 368 of Benka’s edition. It is a supplement, not a substitute. Its scribe remains anonymous, but evidently working within the same Lutheran liturgical-pastoral world as the printed </w:t>
      </w:r>
      <w:r>
        <w:rPr>
          <w:rFonts w:ascii="Times New Roman" w:hAnsi="Times New Roman" w:cs="Times New Roman"/>
          <w:i/>
          <w:iCs/>
        </w:rPr>
        <w:t>Agenda Česká</w:t>
      </w:r>
      <w:r>
        <w:rPr>
          <w:rFonts w:ascii="Times New Roman" w:hAnsi="Times New Roman" w:cs="Times New Roman"/>
        </w:rPr>
        <w:t xml:space="preserve">’s compilers. The scribe assumes the printed agenda and writes alongside it, supplying material for confession and Eucharistic preparation (pp. 265 – 302), marriage with a </w:t>
      </w:r>
      <w:r>
        <w:rPr>
          <w:rFonts w:ascii="Times New Roman" w:hAnsi="Times New Roman" w:cs="Times New Roman"/>
          <w:i/>
          <w:iCs/>
        </w:rPr>
        <w:t>Haustafel</w:t>
      </w:r>
      <w:r>
        <w:rPr>
          <w:rFonts w:ascii="Times New Roman" w:hAnsi="Times New Roman" w:cs="Times New Roman"/>
        </w:rPr>
        <w:t>-influenced moral exhortation (pp. 302 – 340), and funeral hymns (pp. 340 – 368).</w:t>
      </w:r>
      <w:r>
        <w:rPr>
          <w:rStyle w:val="FootnoteReference"/>
          <w:rFonts w:ascii="Times New Roman" w:hAnsi="Times New Roman" w:cs="Times New Roman"/>
        </w:rPr>
        <w:footnoteReference w:id="24"/>
      </w:r>
      <w:r>
        <w:rPr>
          <w:rFonts w:ascii="Times New Roman" w:hAnsi="Times New Roman" w:cs="Times New Roman"/>
        </w:rPr>
        <w:t xml:space="preserve"> As I mentioned before, the supplement is in the </w:t>
      </w:r>
      <w:r>
        <w:rPr>
          <w:rFonts w:ascii="Times New Roman" w:hAnsi="Times New Roman" w:cs="Times New Roman"/>
        </w:rPr>
        <w:lastRenderedPageBreak/>
        <w:t xml:space="preserve">Slovak vernacular of the mining towns rather than the Czech of the printed agenda. It is hand-written rather than printed, with the implication that it was produced for local use rather than for the wider distribution that print enabled. It is dated four years later than the printed </w:t>
      </w:r>
      <w:r>
        <w:rPr>
          <w:rFonts w:ascii="Times New Roman" w:hAnsi="Times New Roman" w:cs="Times New Roman"/>
          <w:i/>
          <w:iCs/>
        </w:rPr>
        <w:t>Agenda</w:t>
      </w:r>
      <w:r>
        <w:rPr>
          <w:rFonts w:ascii="Times New Roman" w:hAnsi="Times New Roman" w:cs="Times New Roman"/>
        </w:rPr>
        <w:t xml:space="preserve">, which means that it was composed during the period when the disciplinary effects of the Formula of Concord (1577) were still consolidating across the Lutheran territories and when, as Benka documents from the contemporary anti-crypto-Calvinist literature, denial of </w:t>
      </w:r>
      <w:r>
        <w:rPr>
          <w:rFonts w:ascii="Times New Roman" w:hAnsi="Times New Roman" w:cs="Times New Roman"/>
          <w:i/>
          <w:iCs/>
        </w:rPr>
        <w:t>manducatio impiorum</w:t>
      </w:r>
      <w:r>
        <w:rPr>
          <w:rFonts w:ascii="Times New Roman" w:hAnsi="Times New Roman" w:cs="Times New Roman"/>
        </w:rPr>
        <w:t xml:space="preserve"> was being explicitly listed as a marker for the identification of hidden Calvinists within otherwise Lutheran-aligned clergy.</w:t>
      </w:r>
      <w:r>
        <w:rPr>
          <w:rStyle w:val="FootnoteReference"/>
          <w:rFonts w:ascii="Times New Roman" w:hAnsi="Times New Roman" w:cs="Times New Roman"/>
        </w:rPr>
        <w:footnoteReference w:id="25"/>
      </w:r>
      <w:r>
        <w:rPr>
          <w:rFonts w:ascii="Times New Roman" w:hAnsi="Times New Roman" w:cs="Times New Roman"/>
        </w:rPr>
        <w:t xml:space="preserve"> </w:t>
      </w:r>
    </w:p>
    <w:p w14:paraId="3F0D13D7" w14:textId="25EAC225"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Eucharistic-preparation material in the </w:t>
      </w:r>
      <w:r>
        <w:rPr>
          <w:rFonts w:ascii="Times New Roman" w:hAnsi="Times New Roman" w:cs="Times New Roman"/>
          <w:i/>
          <w:iCs/>
        </w:rPr>
        <w:t>Bystrická agenda</w:t>
      </w:r>
      <w:r>
        <w:rPr>
          <w:rFonts w:ascii="Times New Roman" w:hAnsi="Times New Roman" w:cs="Times New Roman"/>
        </w:rPr>
        <w:t xml:space="preserve">’s opening section is where the register shift is most clearly visible. Benka extracts the operative formulae at pp. 78 – 79 of his introductory study, locating them precisely in the comparative analytical context that asks how the manuscript supplement relates to its printed companion. The communicants, the </w:t>
      </w:r>
      <w:r>
        <w:rPr>
          <w:rFonts w:ascii="Times New Roman" w:hAnsi="Times New Roman" w:cs="Times New Roman"/>
          <w:i/>
          <w:iCs/>
        </w:rPr>
        <w:t>Bystrická agenda</w:t>
      </w:r>
      <w:r>
        <w:rPr>
          <w:rFonts w:ascii="Times New Roman" w:hAnsi="Times New Roman" w:cs="Times New Roman"/>
        </w:rPr>
        <w:t xml:space="preserve"> says, receive </w:t>
      </w:r>
      <w:r>
        <w:rPr>
          <w:rFonts w:ascii="Times New Roman" w:hAnsi="Times New Roman" w:cs="Times New Roman"/>
          <w:i/>
          <w:iCs/>
        </w:rPr>
        <w:t>Tělo a Krew Syna Božijho</w:t>
      </w:r>
      <w:r>
        <w:rPr>
          <w:rFonts w:ascii="Times New Roman" w:hAnsi="Times New Roman" w:cs="Times New Roman"/>
        </w:rPr>
        <w:t xml:space="preserve"> — the Body and Blood of the Son of God. The worthy receive it </w:t>
      </w:r>
      <w:r>
        <w:rPr>
          <w:rFonts w:ascii="Times New Roman" w:hAnsi="Times New Roman" w:cs="Times New Roman"/>
          <w:i/>
          <w:iCs/>
        </w:rPr>
        <w:t>k spasenij</w:t>
      </w:r>
      <w:r>
        <w:rPr>
          <w:rFonts w:ascii="Times New Roman" w:hAnsi="Times New Roman" w:cs="Times New Roman"/>
        </w:rPr>
        <w:t xml:space="preserve"> — for salvation. The unworthy receive it </w:t>
      </w:r>
      <w:r>
        <w:rPr>
          <w:rFonts w:ascii="Times New Roman" w:hAnsi="Times New Roman" w:cs="Times New Roman"/>
          <w:i/>
          <w:iCs/>
        </w:rPr>
        <w:t>ne k spasenij, ale k zatraczenij wěčnemu</w:t>
      </w:r>
      <w:r>
        <w:rPr>
          <w:rFonts w:ascii="Times New Roman" w:hAnsi="Times New Roman" w:cs="Times New Roman"/>
        </w:rPr>
        <w:t xml:space="preserve"> — not for salvation, but for eternal damnation.</w:t>
      </w:r>
      <w:r>
        <w:rPr>
          <w:rStyle w:val="FootnoteReference"/>
          <w:rFonts w:ascii="Times New Roman" w:hAnsi="Times New Roman" w:cs="Times New Roman"/>
        </w:rPr>
        <w:footnoteReference w:id="26"/>
      </w:r>
      <w:r>
        <w:rPr>
          <w:rFonts w:ascii="Times New Roman" w:hAnsi="Times New Roman" w:cs="Times New Roman"/>
        </w:rPr>
        <w:t xml:space="preserve"> </w:t>
      </w:r>
    </w:p>
    <w:p w14:paraId="4D342219" w14:textId="77777777" w:rsidR="00AF1ECF" w:rsidRDefault="003436C2" w:rsidP="002B5C09">
      <w:pPr>
        <w:spacing w:after="0" w:line="276" w:lineRule="auto"/>
        <w:rPr>
          <w:rFonts w:ascii="Times New Roman" w:hAnsi="Times New Roman" w:cs="Times New Roman"/>
        </w:rPr>
      </w:pPr>
      <w:r>
        <w:rPr>
          <w:rFonts w:ascii="Times New Roman" w:hAnsi="Times New Roman" w:cs="Times New Roman"/>
        </w:rPr>
        <w:t xml:space="preserve">This is the explicit Lutheran </w:t>
      </w:r>
      <w:r>
        <w:rPr>
          <w:rFonts w:ascii="Times New Roman" w:hAnsi="Times New Roman" w:cs="Times New Roman"/>
          <w:i/>
          <w:iCs/>
        </w:rPr>
        <w:t>manducatio impiorum</w:t>
      </w:r>
      <w:r>
        <w:rPr>
          <w:rFonts w:ascii="Times New Roman" w:hAnsi="Times New Roman" w:cs="Times New Roman"/>
        </w:rPr>
        <w:t xml:space="preserve">. The formulation specifies what the </w:t>
      </w:r>
      <w:r>
        <w:rPr>
          <w:rFonts w:ascii="Times New Roman" w:hAnsi="Times New Roman" w:cs="Times New Roman"/>
          <w:i/>
          <w:iCs/>
        </w:rPr>
        <w:t>Agenda Česká</w:t>
      </w:r>
      <w:r>
        <w:rPr>
          <w:rFonts w:ascii="Times New Roman" w:hAnsi="Times New Roman" w:cs="Times New Roman"/>
        </w:rPr>
        <w:t xml:space="preserve"> had left unspecified. Both worthy and unworthy receive the </w:t>
      </w:r>
      <w:r>
        <w:rPr>
          <w:rFonts w:ascii="Times New Roman" w:hAnsi="Times New Roman" w:cs="Times New Roman"/>
          <w:i/>
          <w:iCs/>
        </w:rPr>
        <w:t>same body and blood</w:t>
      </w:r>
      <w:r>
        <w:rPr>
          <w:rFonts w:ascii="Times New Roman" w:hAnsi="Times New Roman" w:cs="Times New Roman"/>
        </w:rPr>
        <w:t xml:space="preserve">; what differs is the salvific outcome. The body is not selectively present, that is,  present to faith and absent to unbelief. Rather, it is universally present in the Sacrament’s action, with the worthiness of the recipient determining whether that bodily presence is received for life or for judgement. This is exactly the formulation that the </w:t>
      </w:r>
      <w:r>
        <w:rPr>
          <w:rFonts w:ascii="Times New Roman" w:hAnsi="Times New Roman" w:cs="Times New Roman"/>
          <w:i/>
          <w:iCs/>
        </w:rPr>
        <w:t>Formula of Concord</w:t>
      </w:r>
      <w:r>
        <w:rPr>
          <w:rFonts w:ascii="Times New Roman" w:hAnsi="Times New Roman" w:cs="Times New Roman"/>
        </w:rPr>
        <w:t xml:space="preserve">, Solid Declaration, Article VII, makes the boundary marker between Lutheran and Reformed Eucharistic theology. FC SD VII §16 (corresponding to Epitome §7) states the position with maximum precision and unambiguous clarity: </w:t>
      </w:r>
    </w:p>
    <w:p w14:paraId="5DCAB0AF" w14:textId="77777777" w:rsidR="00AF1ECF" w:rsidRDefault="00F82B98" w:rsidP="00AF1ECF">
      <w:pPr>
        <w:spacing w:after="0" w:line="276" w:lineRule="auto"/>
        <w:ind w:left="576" w:right="576"/>
        <w:rPr>
          <w:rFonts w:ascii="Times New Roman" w:hAnsi="Times New Roman" w:cs="Times New Roman"/>
        </w:rPr>
      </w:pPr>
      <w:r>
        <w:rPr>
          <w:rFonts w:ascii="Times New Roman" w:hAnsi="Times New Roman" w:cs="Times New Roman"/>
        </w:rPr>
        <w:t>“Not only the true believers and the worthy, but also the unworthy and unbelievers, receive the true body and blood of Christ; however, not for life and consolation, but for judgement and condemnation.”</w:t>
      </w:r>
      <w:r>
        <w:rPr>
          <w:rStyle w:val="FootnoteReference"/>
          <w:rFonts w:ascii="Times New Roman" w:hAnsi="Times New Roman" w:cs="Times New Roman"/>
        </w:rPr>
        <w:footnoteReference w:id="27"/>
      </w:r>
      <w:r>
        <w:rPr>
          <w:rFonts w:ascii="Times New Roman" w:hAnsi="Times New Roman" w:cs="Times New Roman"/>
        </w:rPr>
        <w:t xml:space="preserve"> </w:t>
      </w:r>
    </w:p>
    <w:p w14:paraId="73BEF4D2" w14:textId="1C301B56"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Bystrická agenda</w:t>
      </w:r>
      <w:r>
        <w:rPr>
          <w:rFonts w:ascii="Times New Roman" w:hAnsi="Times New Roman" w:cs="Times New Roman"/>
        </w:rPr>
        <w:t>’s formulation is the same position in different words, in Slovak rather than in Latin, in a manuscript supplement to a Czech printed agenda rather than in a continental confessional document. In other words, the position is held even though the language register has moved.</w:t>
      </w:r>
    </w:p>
    <w:p w14:paraId="7FC314B2" w14:textId="4536DC82"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Benka’s own analytical framing reiterates the comparative point. The manuscript </w:t>
      </w:r>
      <w:r>
        <w:rPr>
          <w:rFonts w:ascii="Times New Roman" w:hAnsi="Times New Roman" w:cs="Times New Roman"/>
          <w:i/>
          <w:iCs/>
        </w:rPr>
        <w:t>Bystrická agenda</w:t>
      </w:r>
      <w:r>
        <w:rPr>
          <w:rFonts w:ascii="Times New Roman" w:hAnsi="Times New Roman" w:cs="Times New Roman"/>
        </w:rPr>
        <w:t>, he observes, contains “</w:t>
      </w:r>
      <w:r>
        <w:rPr>
          <w:rFonts w:ascii="Times New Roman" w:hAnsi="Times New Roman" w:cs="Times New Roman"/>
          <w:i/>
          <w:iCs/>
        </w:rPr>
        <w:t>formulácie ktoré explicitnejšie smerujú k luteránskemu manducatio impiorum</w:t>
      </w:r>
      <w:r>
        <w:rPr>
          <w:rFonts w:ascii="Times New Roman" w:hAnsi="Times New Roman" w:cs="Times New Roman"/>
        </w:rPr>
        <w:t xml:space="preserve">” — [formulations that more explicitly point towards Lutheran </w:t>
      </w:r>
      <w:r>
        <w:rPr>
          <w:rFonts w:ascii="Times New Roman" w:hAnsi="Times New Roman" w:cs="Times New Roman"/>
          <w:i/>
          <w:iCs/>
        </w:rPr>
        <w:lastRenderedPageBreak/>
        <w:t>manducatio impiorum</w:t>
      </w:r>
      <w:r>
        <w:rPr>
          <w:rFonts w:ascii="Times New Roman" w:hAnsi="Times New Roman" w:cs="Times New Roman"/>
        </w:rPr>
        <w:t>.]</w:t>
      </w:r>
      <w:r>
        <w:rPr>
          <w:rStyle w:val="FootnoteReference"/>
          <w:rFonts w:ascii="Times New Roman" w:hAnsi="Times New Roman" w:cs="Times New Roman"/>
        </w:rPr>
        <w:footnoteReference w:id="28"/>
      </w:r>
      <w:r>
        <w:rPr>
          <w:rFonts w:ascii="Times New Roman" w:hAnsi="Times New Roman" w:cs="Times New Roman"/>
        </w:rPr>
        <w:t xml:space="preserve"> The comparative adjective is the analytical move. Not “formulations that introduce”, or “formulations that depart from the printed Czech original”, but “formulations that </w:t>
      </w:r>
      <w:r>
        <w:rPr>
          <w:rFonts w:ascii="Times New Roman" w:hAnsi="Times New Roman" w:cs="Times New Roman"/>
          <w:i/>
          <w:iCs/>
        </w:rPr>
        <w:t>more explicitly point towards</w:t>
      </w:r>
      <w:r>
        <w:rPr>
          <w:rFonts w:ascii="Times New Roman" w:hAnsi="Times New Roman" w:cs="Times New Roman"/>
        </w:rPr>
        <w:t xml:space="preserve">” the Lutheran distinctive. We can also put it this way: The same theology is being said, but with sharper edges. The implicit position of the </w:t>
      </w:r>
      <w:r>
        <w:rPr>
          <w:rFonts w:ascii="Times New Roman" w:hAnsi="Times New Roman" w:cs="Times New Roman"/>
          <w:i/>
          <w:iCs/>
        </w:rPr>
        <w:t>Agenda Česká</w:t>
      </w:r>
      <w:r>
        <w:rPr>
          <w:rFonts w:ascii="Times New Roman" w:hAnsi="Times New Roman" w:cs="Times New Roman"/>
        </w:rPr>
        <w:t xml:space="preserve"> is that the rite is Lutheran-aligned, that the words of institution are decisive, and that worthy reception requires faith in those words. Now, this implicit position is in the manuscript supplement made </w:t>
      </w:r>
      <w:r>
        <w:rPr>
          <w:rFonts w:ascii="Times New Roman" w:hAnsi="Times New Roman" w:cs="Times New Roman"/>
          <w:i/>
          <w:iCs/>
        </w:rPr>
        <w:t>explicit</w:t>
      </w:r>
      <w:r>
        <w:rPr>
          <w:rFonts w:ascii="Times New Roman" w:hAnsi="Times New Roman" w:cs="Times New Roman"/>
        </w:rPr>
        <w:t>, with the polemical specifications attached that the print had left unspoken. The continuity between the two witnesses is preserved. What has changed is the disciplinary register in which that continuity expresses itself.</w:t>
      </w:r>
    </w:p>
    <w:p w14:paraId="79FDECF8" w14:textId="71CFFF48" w:rsidR="003436C2" w:rsidRPr="00BA0C6D" w:rsidRDefault="007B166D" w:rsidP="002B5C09">
      <w:pPr>
        <w:spacing w:after="0" w:line="276" w:lineRule="auto"/>
        <w:rPr>
          <w:rFonts w:ascii="Times New Roman" w:hAnsi="Times New Roman" w:cs="Times New Roman"/>
        </w:rPr>
      </w:pPr>
      <w:r>
        <w:rPr>
          <w:rFonts w:ascii="Times New Roman" w:hAnsi="Times New Roman" w:cs="Times New Roman"/>
        </w:rPr>
        <w:t xml:space="preserve">The lesson from this that I wish to emphasize is that the temporal context matters. Four years separate the print (1581) from the manuscript supplement (1585). Those four years lie within a confessional disciplinary moment that the German Lutheran territories had begun to enforce more systematically after the </w:t>
      </w:r>
      <w:r>
        <w:rPr>
          <w:rFonts w:ascii="Times New Roman" w:hAnsi="Times New Roman" w:cs="Times New Roman"/>
          <w:i/>
          <w:iCs/>
        </w:rPr>
        <w:t>Formula of Concord’s</w:t>
      </w:r>
      <w:r>
        <w:rPr>
          <w:rFonts w:ascii="Times New Roman" w:hAnsi="Times New Roman" w:cs="Times New Roman"/>
        </w:rPr>
        <w:t xml:space="preserve"> promulgation in 1577 and its subsequent territorial reception through the </w:t>
      </w:r>
      <w:r>
        <w:rPr>
          <w:rFonts w:ascii="Times New Roman" w:hAnsi="Times New Roman" w:cs="Times New Roman"/>
          <w:i/>
          <w:iCs/>
        </w:rPr>
        <w:t>Book of Concord</w:t>
      </w:r>
      <w:r>
        <w:rPr>
          <w:rFonts w:ascii="Times New Roman" w:hAnsi="Times New Roman" w:cs="Times New Roman"/>
        </w:rPr>
        <w:t xml:space="preserve"> (1580). Within that period, the visitation literature, the polemical handbooks, and the synodal proceedings of the Lutheran lands were all converging on a sharpened set of doctrinal markers by which clergy were to be tested for confessional reliability. </w:t>
      </w:r>
      <w:r>
        <w:rPr>
          <w:rFonts w:ascii="Times New Roman" w:hAnsi="Times New Roman" w:cs="Times New Roman"/>
          <w:i/>
          <w:iCs/>
        </w:rPr>
        <w:t>Manducatio impiorum</w:t>
      </w:r>
      <w:r>
        <w:rPr>
          <w:rFonts w:ascii="Times New Roman" w:hAnsi="Times New Roman" w:cs="Times New Roman"/>
        </w:rPr>
        <w:t xml:space="preserve"> was prominent among them, precisely because its denial was the diagnostic that polemicists like Creutzer used to identify hidden Calvinist sympathies among nominally Lutheran clergy.</w:t>
      </w:r>
      <w:r>
        <w:rPr>
          <w:rStyle w:val="FootnoteReference"/>
          <w:rFonts w:ascii="Times New Roman" w:hAnsi="Times New Roman" w:cs="Times New Roman"/>
        </w:rPr>
        <w:footnoteReference w:id="29"/>
      </w:r>
      <w:r>
        <w:rPr>
          <w:rFonts w:ascii="Times New Roman" w:hAnsi="Times New Roman" w:cs="Times New Roman"/>
        </w:rPr>
        <w:t xml:space="preserve"> In the Upper-Hungarian mining towns of the same period, this disciplinary atmosphere would have been mediated through several channels: (1) the clergy’s own continuing connections to Wittenberg and the German territorial churches, (2) the visiting clergy who circulated between the Pentapolitana cities and the mining-town centres,</w:t>
      </w:r>
      <w:r>
        <w:rPr>
          <w:rStyle w:val="FootnoteReference"/>
          <w:rFonts w:ascii="Times New Roman" w:hAnsi="Times New Roman" w:cs="Times New Roman"/>
        </w:rPr>
        <w:footnoteReference w:id="30"/>
      </w:r>
      <w:r>
        <w:rPr>
          <w:rFonts w:ascii="Times New Roman" w:hAnsi="Times New Roman" w:cs="Times New Roman"/>
        </w:rPr>
        <w:t xml:space="preserve"> (3) and the polemical printed material that Benka’s introductory study documents reaching the Banská Bystrica milieu in this period. The </w:t>
      </w:r>
      <w:r>
        <w:rPr>
          <w:rFonts w:ascii="Times New Roman" w:hAnsi="Times New Roman" w:cs="Times New Roman"/>
          <w:i/>
          <w:iCs/>
        </w:rPr>
        <w:t>Bystrická agenda</w:t>
      </w:r>
      <w:r>
        <w:rPr>
          <w:rFonts w:ascii="Times New Roman" w:hAnsi="Times New Roman" w:cs="Times New Roman"/>
        </w:rPr>
        <w:t xml:space="preserve">’s explicit </w:t>
      </w:r>
      <w:r>
        <w:rPr>
          <w:rFonts w:ascii="Times New Roman" w:hAnsi="Times New Roman" w:cs="Times New Roman"/>
          <w:i/>
          <w:iCs/>
        </w:rPr>
        <w:t>manducatio impiorum</w:t>
      </w:r>
      <w:r>
        <w:rPr>
          <w:rFonts w:ascii="Times New Roman" w:hAnsi="Times New Roman" w:cs="Times New Roman"/>
        </w:rPr>
        <w:t xml:space="preserve"> is an act recognisable within that atmosphere. The manuscript supplement does what the printed agenda did not: it equips the local clergy with the polemically sharpened formulae that the contemporary Lutheran disciplinary moment had begun to require less than ten years following the adoption of the </w:t>
      </w:r>
      <w:r>
        <w:rPr>
          <w:rFonts w:ascii="Times New Roman" w:hAnsi="Times New Roman" w:cs="Times New Roman"/>
          <w:i/>
          <w:iCs/>
        </w:rPr>
        <w:t>Formula of Concord</w:t>
      </w:r>
      <w:r>
        <w:rPr>
          <w:rFonts w:ascii="Times New Roman" w:hAnsi="Times New Roman" w:cs="Times New Roman"/>
        </w:rPr>
        <w:t>.</w:t>
      </w:r>
    </w:p>
    <w:p w14:paraId="1D78CD1F" w14:textId="7075F179"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print-versus-manuscript distinction is not incidental to the register shift. Manuscript supplementation allowed local adaptation that print constrained. A printed Czech agenda, intended to circulate among Wittenberg-ordained clergy across the Czech-speaking Lutheran territories, had to be theologically usable in many local pastoral situations; its register could </w:t>
      </w:r>
      <w:r>
        <w:rPr>
          <w:rFonts w:ascii="Times New Roman" w:hAnsi="Times New Roman" w:cs="Times New Roman"/>
        </w:rPr>
        <w:lastRenderedPageBreak/>
        <w:t xml:space="preserve">not be too sharp without alienating parish populations whose Utraquist liturgical memory was still living. A manuscript Slovak supplement, written for local use in a single mining-town milieu where the Lutheran identity was institutionally settled and the disciplinary atmosphere intensifying, could afford to be sharper. The codex preserves both registers because the binding records the early users’ practice of moving between them: the printed </w:t>
      </w:r>
      <w:r>
        <w:rPr>
          <w:rFonts w:ascii="Times New Roman" w:hAnsi="Times New Roman" w:cs="Times New Roman"/>
          <w:i/>
          <w:iCs/>
        </w:rPr>
        <w:t>Agenda Česká</w:t>
      </w:r>
      <w:r>
        <w:rPr>
          <w:rFonts w:ascii="Times New Roman" w:hAnsi="Times New Roman" w:cs="Times New Roman"/>
        </w:rPr>
        <w:t xml:space="preserve"> for the broader liturgical structure and the moderate pastoral framing, the manuscript </w:t>
      </w:r>
      <w:r>
        <w:rPr>
          <w:rFonts w:ascii="Times New Roman" w:hAnsi="Times New Roman" w:cs="Times New Roman"/>
          <w:i/>
          <w:iCs/>
        </w:rPr>
        <w:t>Bystrická agenda</w:t>
      </w:r>
      <w:r>
        <w:rPr>
          <w:rFonts w:ascii="Times New Roman" w:hAnsi="Times New Roman" w:cs="Times New Roman"/>
        </w:rPr>
        <w:t xml:space="preserve"> for the sharpened confessional articulation that the mining-town clergy needed for their own work. Hence my thesis that print and manuscript were not in tension within the codex. They were complementary registers within a single liturgical use.</w:t>
      </w:r>
    </w:p>
    <w:p w14:paraId="3E61EECF" w14:textId="40E0C833"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A final feature of the </w:t>
      </w:r>
      <w:r>
        <w:rPr>
          <w:rFonts w:ascii="Times New Roman" w:hAnsi="Times New Roman" w:cs="Times New Roman"/>
          <w:i/>
          <w:iCs/>
        </w:rPr>
        <w:t>Bystrická agenda</w:t>
      </w:r>
      <w:r>
        <w:rPr>
          <w:rFonts w:ascii="Times New Roman" w:hAnsi="Times New Roman" w:cs="Times New Roman"/>
        </w:rPr>
        <w:t>’s register is the linkage between confession and Eucharist. Private confession (</w:t>
      </w:r>
      <w:r>
        <w:rPr>
          <w:rFonts w:ascii="Times New Roman" w:hAnsi="Times New Roman" w:cs="Times New Roman"/>
          <w:i/>
          <w:iCs/>
        </w:rPr>
        <w:t>súkromná spoveď</w:t>
      </w:r>
      <w:r>
        <w:rPr>
          <w:rFonts w:ascii="Times New Roman" w:hAnsi="Times New Roman" w:cs="Times New Roman"/>
        </w:rPr>
        <w:t>) is foregrounded in the manuscript supplement as the proper preparation for communion: it is to take place the evening before or the early morning of communion, and the link is explicit in the rubrics.</w:t>
      </w:r>
      <w:r>
        <w:rPr>
          <w:rStyle w:val="FootnoteReference"/>
          <w:rFonts w:ascii="Times New Roman" w:hAnsi="Times New Roman" w:cs="Times New Roman"/>
        </w:rPr>
        <w:footnoteReference w:id="31"/>
      </w:r>
      <w:r>
        <w:rPr>
          <w:rFonts w:ascii="Times New Roman" w:hAnsi="Times New Roman" w:cs="Times New Roman"/>
        </w:rPr>
        <w:t xml:space="preserve"> Benka documents the same linkage in the 1558 mining-town synod and the 1580 regulations.</w:t>
      </w:r>
      <w:r>
        <w:rPr>
          <w:rStyle w:val="FootnoteReference"/>
          <w:rFonts w:ascii="Times New Roman" w:hAnsi="Times New Roman" w:cs="Times New Roman"/>
        </w:rPr>
        <w:footnoteReference w:id="32"/>
      </w:r>
      <w:r>
        <w:rPr>
          <w:rFonts w:ascii="Times New Roman" w:hAnsi="Times New Roman" w:cs="Times New Roman"/>
        </w:rPr>
        <w:t xml:space="preserve"> Again, within the contemporary Lutheran disciplinary atmosphere, this linkage performed a double confessional function. It distinguished Lutheran practice from Catholic obligatory confession, since confession in the Lutheran sense was pastoral rather than legally enforced; and it distinguished Lutheran practice from the Reformed elimination of private confession altogether, which by the 1580s had become a confessional marker on the Reformed side. The </w:t>
      </w:r>
      <w:r>
        <w:rPr>
          <w:rFonts w:ascii="Times New Roman" w:hAnsi="Times New Roman" w:cs="Times New Roman"/>
          <w:i/>
          <w:iCs/>
        </w:rPr>
        <w:t>Bystrická agenda</w:t>
      </w:r>
      <w:r>
        <w:rPr>
          <w:rFonts w:ascii="Times New Roman" w:hAnsi="Times New Roman" w:cs="Times New Roman"/>
        </w:rPr>
        <w:t xml:space="preserve">’s sustained treatment of confession-as-Eucharistic-preparation is therefore, in my view, not merely a pastoral provision but a confessional positioning. The same theology of communion that the printed </w:t>
      </w:r>
      <w:r>
        <w:rPr>
          <w:rFonts w:ascii="Times New Roman" w:hAnsi="Times New Roman" w:cs="Times New Roman"/>
          <w:i/>
          <w:iCs/>
        </w:rPr>
        <w:t>Agenda Česká</w:t>
      </w:r>
      <w:r>
        <w:rPr>
          <w:rFonts w:ascii="Times New Roman" w:hAnsi="Times New Roman" w:cs="Times New Roman"/>
        </w:rPr>
        <w:t xml:space="preserve"> had articulated in moderate terms is, in the manuscript supplement, embedded in a disciplinary practice. Confession comes before communion which polemically marks the rite as Lutheran against both Catholic and Reformed alternatives. The register shift extends across the rite’s disciplinary structure as well as its dogmatic articulation.</w:t>
      </w:r>
    </w:p>
    <w:p w14:paraId="4E135F27" w14:textId="629D1EC8"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Bratislava codex therefore preserves, in its bound co-presence of print and manuscript, two registers of the same Lutheran Eucharistic theology. The printed Czech </w:t>
      </w:r>
      <w:r>
        <w:rPr>
          <w:rFonts w:ascii="Times New Roman" w:hAnsi="Times New Roman" w:cs="Times New Roman"/>
          <w:i/>
          <w:iCs/>
        </w:rPr>
        <w:t>Agenda</w:t>
      </w:r>
      <w:r>
        <w:rPr>
          <w:rFonts w:ascii="Times New Roman" w:hAnsi="Times New Roman" w:cs="Times New Roman"/>
        </w:rPr>
        <w:t xml:space="preserve"> operates moderately: identificatory but not polemically specified, anchored in faith in the words of institution but silent on </w:t>
      </w:r>
      <w:r>
        <w:rPr>
          <w:rFonts w:ascii="Times New Roman" w:hAnsi="Times New Roman" w:cs="Times New Roman"/>
          <w:i/>
          <w:iCs/>
        </w:rPr>
        <w:t>manducatio impiorum</w:t>
      </w:r>
      <w:r>
        <w:rPr>
          <w:rFonts w:ascii="Times New Roman" w:hAnsi="Times New Roman" w:cs="Times New Roman"/>
        </w:rPr>
        <w:t>, accommodating to a Czech-language pastoral environment that still carried Utraquist liturgical memory. The manuscript Slovak supplement operates sharply: the same theology articulated with the polemical specifications that the post-Formula disciplinary atmosphere had begun to require, embedded in a confession-and-Eucharist linkage that polemically marks the rite as Lutheran against both Catholic and Reformed alternatives. The register shift between the two witnesses is not a doctrinal break. It is the same confessional commitment articulating itself with sharper edges as it crosses the boundary from print to manuscript, from Czech to Slovak, from a 1581 register to a 1585 register, from a translation of German agendas to a local supplement composed in the mining-town milieu under intensifying confessional discipline.</w:t>
      </w:r>
    </w:p>
    <w:p w14:paraId="583640D8" w14:textId="37F277C8"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lastRenderedPageBreak/>
        <w:t xml:space="preserve">What this stratification means for the broader Lutheranisation thesis — and for the </w:t>
      </w:r>
      <w:r>
        <w:rPr>
          <w:rFonts w:ascii="Times New Roman" w:hAnsi="Times New Roman" w:cs="Times New Roman"/>
          <w:i/>
          <w:iCs/>
        </w:rPr>
        <w:t>Confessio Bohemica</w:t>
      </w:r>
      <w:r>
        <w:rPr>
          <w:rFonts w:ascii="Times New Roman" w:hAnsi="Times New Roman" w:cs="Times New Roman"/>
        </w:rPr>
        <w:t xml:space="preserve"> of 1575, whose own register has been similarly misread in a parallel direction — is the question to which Section 5 and 6 of my paper turn.</w:t>
      </w:r>
    </w:p>
    <w:p w14:paraId="54BD3D49" w14:textId="77777777" w:rsidR="00455A98" w:rsidRPr="00BA0C6D" w:rsidRDefault="00455A98" w:rsidP="002B5C09">
      <w:pPr>
        <w:spacing w:after="0" w:line="276" w:lineRule="auto"/>
        <w:rPr>
          <w:rFonts w:ascii="Times New Roman" w:hAnsi="Times New Roman" w:cs="Times New Roman"/>
        </w:rPr>
      </w:pPr>
    </w:p>
    <w:p w14:paraId="437A002B" w14:textId="7818FF9C" w:rsidR="003436C2" w:rsidRPr="00BA0C6D" w:rsidRDefault="00B27887" w:rsidP="002B5C09">
      <w:pPr>
        <w:spacing w:after="0" w:line="276" w:lineRule="auto"/>
        <w:rPr>
          <w:rFonts w:ascii="Times New Roman" w:hAnsi="Times New Roman" w:cs="Times New Roman"/>
          <w:b/>
          <w:bCs/>
        </w:rPr>
      </w:pPr>
      <w:r>
        <w:rPr>
          <w:rFonts w:ascii="Times New Roman" w:hAnsi="Times New Roman" w:cs="Times New Roman"/>
          <w:b/>
          <w:bCs/>
        </w:rPr>
        <w:t>5. Reading the stratification</w:t>
      </w:r>
    </w:p>
    <w:p w14:paraId="3A6554AD" w14:textId="33F47595"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codex preserves a stratification, not a contradiction. What the </w:t>
      </w:r>
      <w:r>
        <w:rPr>
          <w:rFonts w:ascii="Times New Roman" w:hAnsi="Times New Roman" w:cs="Times New Roman"/>
          <w:i/>
          <w:iCs/>
        </w:rPr>
        <w:t>Agenda Česká</w:t>
      </w:r>
      <w:r>
        <w:rPr>
          <w:rFonts w:ascii="Times New Roman" w:hAnsi="Times New Roman" w:cs="Times New Roman"/>
        </w:rPr>
        <w:t xml:space="preserve"> says and what the </w:t>
      </w:r>
      <w:r>
        <w:rPr>
          <w:rFonts w:ascii="Times New Roman" w:hAnsi="Times New Roman" w:cs="Times New Roman"/>
          <w:i/>
          <w:iCs/>
        </w:rPr>
        <w:t>Bystrická agenda</w:t>
      </w:r>
      <w:r>
        <w:rPr>
          <w:rFonts w:ascii="Times New Roman" w:hAnsi="Times New Roman" w:cs="Times New Roman"/>
        </w:rPr>
        <w:t xml:space="preserve"> says are not in tension; they are the same theological commitment articulated in different registers. If this can be convincingly established, then we can move to the following claim: The interpretive task is therefore not to adjudicate between the two witnesses but to read them as a structured spectrum. It is to ask why a single liturgical use accommodated both, and what the accommodation reveals about the period’s confessional work.</w:t>
      </w:r>
    </w:p>
    <w:p w14:paraId="5C6E4FA1" w14:textId="08911081"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A clarification is in order at this stage so we do not confuse some essential concepts. Register and doctrine are distinct things. Doctrine is the servant of the Gospel and the substance of theological commitment. It is the propositions a community holds true, the boundaries it draws, the formulations it confesses, all of which are tied to identifying the core actors of the creation, redemption and renewal/sanctification metanarrative (i.e. the </w:t>
      </w:r>
      <w:r>
        <w:rPr>
          <w:rFonts w:ascii="Times New Roman" w:hAnsi="Times New Roman" w:cs="Times New Roman"/>
          <w:i/>
          <w:iCs/>
        </w:rPr>
        <w:t>economia salutis</w:t>
      </w:r>
      <w:r>
        <w:rPr>
          <w:rFonts w:ascii="Times New Roman" w:hAnsi="Times New Roman" w:cs="Times New Roman"/>
        </w:rPr>
        <w:t xml:space="preserve"> of the Triune God). Register is the manner in which doctrine is articulated — its lexical choices, its level of polemical specification, its silences, its emphases. Two texts can hold the same doctrine and articulate it in different registers; what they share is the substance, what differs is the shape. To say that the </w:t>
      </w:r>
      <w:r>
        <w:rPr>
          <w:rFonts w:ascii="Times New Roman" w:hAnsi="Times New Roman" w:cs="Times New Roman"/>
          <w:i/>
          <w:iCs/>
        </w:rPr>
        <w:t>Agenda Česká</w:t>
      </w:r>
      <w:r>
        <w:rPr>
          <w:rFonts w:ascii="Times New Roman" w:hAnsi="Times New Roman" w:cs="Times New Roman"/>
        </w:rPr>
        <w:t xml:space="preserve"> and the </w:t>
      </w:r>
      <w:r>
        <w:rPr>
          <w:rFonts w:ascii="Times New Roman" w:hAnsi="Times New Roman" w:cs="Times New Roman"/>
          <w:i/>
          <w:iCs/>
        </w:rPr>
        <w:t>Bystrická agenda</w:t>
      </w:r>
      <w:r>
        <w:rPr>
          <w:rFonts w:ascii="Times New Roman" w:hAnsi="Times New Roman" w:cs="Times New Roman"/>
        </w:rPr>
        <w:t xml:space="preserve"> hold the same Eucharistic doctrine (given all the specific background information I have just provided) is not to flatten the difference between them. It is to identify what the difference </w:t>
      </w:r>
      <w:r>
        <w:rPr>
          <w:rFonts w:ascii="Times New Roman" w:hAnsi="Times New Roman" w:cs="Times New Roman"/>
          <w:i/>
          <w:iCs/>
        </w:rPr>
        <w:t>is</w:t>
      </w:r>
      <w:r>
        <w:rPr>
          <w:rFonts w:ascii="Times New Roman" w:hAnsi="Times New Roman" w:cs="Times New Roman"/>
        </w:rPr>
        <w:t xml:space="preserve">. In this case, we are dealing with a difference of register, not of substance. Furthermore, by ideintifying what the difference </w:t>
      </w:r>
      <w:r>
        <w:rPr>
          <w:rFonts w:ascii="Times New Roman" w:hAnsi="Times New Roman" w:cs="Times New Roman"/>
          <w:i/>
          <w:iCs/>
        </w:rPr>
        <w:t>is</w:t>
      </w:r>
      <w:r>
        <w:rPr>
          <w:rFonts w:ascii="Times New Roman" w:hAnsi="Times New Roman" w:cs="Times New Roman"/>
        </w:rPr>
        <w:t>, we are able to attend to what register-difference does in the lived practice of a community.</w:t>
      </w:r>
    </w:p>
    <w:p w14:paraId="0EF1CB14" w14:textId="73BD3364"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shape of the </w:t>
      </w:r>
      <w:r>
        <w:rPr>
          <w:rFonts w:ascii="Times New Roman" w:hAnsi="Times New Roman" w:cs="Times New Roman"/>
          <w:i/>
          <w:iCs/>
        </w:rPr>
        <w:t>Agenda Česká</w:t>
      </w:r>
      <w:r>
        <w:rPr>
          <w:rFonts w:ascii="Times New Roman" w:hAnsi="Times New Roman" w:cs="Times New Roman"/>
        </w:rPr>
        <w:t xml:space="preserve">’s register is moderate Czech-Lutheran. It is the register of a print intended for clergy ministering across the Czech-language Lutheran territories, where the pastoral situation included parish populations whose grandparents had communicated </w:t>
      </w:r>
      <w:r>
        <w:rPr>
          <w:rFonts w:ascii="Times New Roman" w:hAnsi="Times New Roman" w:cs="Times New Roman"/>
          <w:i/>
          <w:iCs/>
        </w:rPr>
        <w:t>sub utraque</w:t>
      </w:r>
      <w:r>
        <w:rPr>
          <w:rFonts w:ascii="Times New Roman" w:hAnsi="Times New Roman" w:cs="Times New Roman"/>
        </w:rPr>
        <w:t xml:space="preserve"> without the polemical specifications that the </w:t>
      </w:r>
      <w:r>
        <w:rPr>
          <w:rFonts w:ascii="Times New Roman" w:hAnsi="Times New Roman" w:cs="Times New Roman"/>
          <w:i/>
          <w:iCs/>
        </w:rPr>
        <w:t>Formula of Concord</w:t>
      </w:r>
      <w:r>
        <w:rPr>
          <w:rFonts w:ascii="Times New Roman" w:hAnsi="Times New Roman" w:cs="Times New Roman"/>
        </w:rPr>
        <w:t xml:space="preserve"> had just made the diagnostic of confessional Lutheran identity. The </w:t>
      </w:r>
      <w:r>
        <w:rPr>
          <w:rFonts w:ascii="Times New Roman" w:hAnsi="Times New Roman" w:cs="Times New Roman"/>
          <w:i/>
          <w:iCs/>
        </w:rPr>
        <w:t>Agenda</w:t>
      </w:r>
      <w:r>
        <w:rPr>
          <w:rFonts w:ascii="Times New Roman" w:hAnsi="Times New Roman" w:cs="Times New Roman"/>
        </w:rPr>
        <w:t xml:space="preserve">’s silence on </w:t>
      </w:r>
      <w:r>
        <w:rPr>
          <w:rFonts w:ascii="Times New Roman" w:hAnsi="Times New Roman" w:cs="Times New Roman"/>
          <w:i/>
          <w:iCs/>
        </w:rPr>
        <w:t>manducatio impiorum</w:t>
      </w:r>
      <w:r>
        <w:rPr>
          <w:rFonts w:ascii="Times New Roman" w:hAnsi="Times New Roman" w:cs="Times New Roman"/>
        </w:rPr>
        <w:t xml:space="preserve"> and on the “in, with, and under” formula is therefore not theological reticence but pastoral pragmatism. It is a register choice, made by Wittenberg-ordained compilers, that allowed the printed agenda to function across a wider range of Lutheran pastoral situations than a sharper register would have admitted. The shape of the </w:t>
      </w:r>
      <w:r>
        <w:rPr>
          <w:rFonts w:ascii="Times New Roman" w:hAnsi="Times New Roman" w:cs="Times New Roman"/>
          <w:i/>
          <w:iCs/>
        </w:rPr>
        <w:t>Bystrická agenda</w:t>
      </w:r>
      <w:r>
        <w:rPr>
          <w:rFonts w:ascii="Times New Roman" w:hAnsi="Times New Roman" w:cs="Times New Roman"/>
        </w:rPr>
        <w:t xml:space="preserve">’s register, by contrast, is sharper Upper-Hungarian Lutheran. It is the register of a manuscript supplement composed for local use in the mining-town milieu, in 1585, four years after the Formula of Concord’s territorial reception through the Book of Concord (1580) had begun to consolidate confessional discipline in the German Lutheran territories. The </w:t>
      </w:r>
      <w:r>
        <w:rPr>
          <w:rFonts w:ascii="Times New Roman" w:hAnsi="Times New Roman" w:cs="Times New Roman"/>
          <w:i/>
          <w:iCs/>
        </w:rPr>
        <w:t>Bystrická agenda</w:t>
      </w:r>
      <w:r>
        <w:rPr>
          <w:rFonts w:ascii="Times New Roman" w:hAnsi="Times New Roman" w:cs="Times New Roman"/>
        </w:rPr>
        <w:t xml:space="preserve">’s explicit </w:t>
      </w:r>
      <w:r>
        <w:rPr>
          <w:rFonts w:ascii="Times New Roman" w:hAnsi="Times New Roman" w:cs="Times New Roman"/>
          <w:i/>
          <w:iCs/>
        </w:rPr>
        <w:t>manducatio impiorum</w:t>
      </w:r>
      <w:r>
        <w:rPr>
          <w:rFonts w:ascii="Times New Roman" w:hAnsi="Times New Roman" w:cs="Times New Roman"/>
        </w:rPr>
        <w:t xml:space="preserve"> equips the local clergy with the polemically sharpened formulae that the contemporary disciplinary moment had then only begun to require; formulae that the </w:t>
      </w:r>
      <w:r>
        <w:rPr>
          <w:rFonts w:ascii="Times New Roman" w:hAnsi="Times New Roman" w:cs="Times New Roman"/>
          <w:i/>
          <w:iCs/>
        </w:rPr>
        <w:t>Agenda Česká</w:t>
      </w:r>
      <w:r>
        <w:rPr>
          <w:rFonts w:ascii="Times New Roman" w:hAnsi="Times New Roman" w:cs="Times New Roman"/>
        </w:rPr>
        <w:t>’s broader pastoral remit had constrained it from supplying.</w:t>
      </w:r>
    </w:p>
    <w:p w14:paraId="6D086DD8" w14:textId="01A21B43" w:rsidR="003436C2" w:rsidRDefault="003436C2" w:rsidP="002B5C09">
      <w:pPr>
        <w:spacing w:after="0" w:line="276" w:lineRule="auto"/>
        <w:rPr>
          <w:rFonts w:ascii="Times New Roman" w:hAnsi="Times New Roman" w:cs="Times New Roman"/>
        </w:rPr>
      </w:pPr>
      <w:r>
        <w:rPr>
          <w:rFonts w:ascii="Times New Roman" w:hAnsi="Times New Roman" w:cs="Times New Roman"/>
        </w:rPr>
        <w:t xml:space="preserve">Read theologically, the codex is therefore a </w:t>
      </w:r>
      <w:r>
        <w:rPr>
          <w:rFonts w:ascii="Times New Roman" w:hAnsi="Times New Roman" w:cs="Times New Roman"/>
          <w:i/>
          <w:iCs/>
        </w:rPr>
        <w:t>lex orandi</w:t>
      </w:r>
      <w:r>
        <w:rPr>
          <w:rFonts w:ascii="Times New Roman" w:hAnsi="Times New Roman" w:cs="Times New Roman"/>
        </w:rPr>
        <w:t xml:space="preserve"> document with two voices. The classical formula in the form of </w:t>
      </w:r>
      <w:r>
        <w:rPr>
          <w:rFonts w:ascii="Times New Roman" w:hAnsi="Times New Roman" w:cs="Times New Roman"/>
          <w:i/>
          <w:iCs/>
        </w:rPr>
        <w:t>legem credendi lex statuat supplicandi</w:t>
      </w:r>
      <w:r>
        <w:rPr>
          <w:rFonts w:ascii="Times New Roman" w:hAnsi="Times New Roman" w:cs="Times New Roman"/>
        </w:rPr>
        <w:t xml:space="preserve">, “let the law of prayer establish the law of belief”, attributed to Prosper of Aquitaine, assumes a single voice in </w:t>
      </w:r>
      <w:r>
        <w:rPr>
          <w:rFonts w:ascii="Times New Roman" w:hAnsi="Times New Roman" w:cs="Times New Roman"/>
        </w:rPr>
        <w:lastRenderedPageBreak/>
        <w:t>liturgy that establishes the corresponding belief.</w:t>
      </w:r>
      <w:r>
        <w:rPr>
          <w:rStyle w:val="FootnoteReference"/>
          <w:rFonts w:ascii="Times New Roman" w:hAnsi="Times New Roman" w:cs="Times New Roman"/>
        </w:rPr>
        <w:footnoteReference w:id="33"/>
      </w:r>
      <w:r>
        <w:rPr>
          <w:rFonts w:ascii="Times New Roman" w:hAnsi="Times New Roman" w:cs="Times New Roman"/>
        </w:rPr>
        <w:t xml:space="preserve"> What the codex shows is that liturgy can hold multiple voices simultaneously, even within a single bound use. The early users who bound the print and the manuscript together did not perceive a tension between the two registers (or even if they did, they managed to work with it creatively and pastorally sensitively); they perceived a complementarity. The print supplied the broader liturgical structure and the moderate pastoral framing; the manuscript supplied the sharper confessional articulation that the local clergy needed for their disciplinary work. Both belonged to the </w:t>
      </w:r>
      <w:r>
        <w:rPr>
          <w:rFonts w:ascii="Times New Roman" w:hAnsi="Times New Roman" w:cs="Times New Roman"/>
          <w:i/>
          <w:iCs/>
        </w:rPr>
        <w:t>lex orandi</w:t>
      </w:r>
      <w:r>
        <w:rPr>
          <w:rFonts w:ascii="Times New Roman" w:hAnsi="Times New Roman" w:cs="Times New Roman"/>
        </w:rPr>
        <w:t xml:space="preserve"> of the mining-town Lutheran community in 1585. Both established, in their distinct ways, the corresponding </w:t>
      </w:r>
      <w:r>
        <w:rPr>
          <w:rFonts w:ascii="Times New Roman" w:hAnsi="Times New Roman" w:cs="Times New Roman"/>
          <w:i/>
          <w:iCs/>
        </w:rPr>
        <w:t xml:space="preserve">lex credendi </w:t>
      </w:r>
      <w:r>
        <w:rPr>
          <w:rFonts w:ascii="Times New Roman" w:hAnsi="Times New Roman" w:cs="Times New Roman"/>
        </w:rPr>
        <w:t xml:space="preserve">and were influenced by it. </w:t>
      </w:r>
    </w:p>
    <w:p w14:paraId="2431B442" w14:textId="44B5EB55" w:rsidR="00EB751F" w:rsidRPr="00BA0C6D" w:rsidRDefault="00EB751F" w:rsidP="002B5C09">
      <w:pPr>
        <w:spacing w:after="0" w:line="276" w:lineRule="auto"/>
        <w:rPr>
          <w:rFonts w:ascii="Times New Roman" w:hAnsi="Times New Roman" w:cs="Times New Roman"/>
        </w:rPr>
      </w:pPr>
      <w:r>
        <w:rPr>
          <w:rFonts w:ascii="Times New Roman" w:hAnsi="Times New Roman" w:cs="Times New Roman"/>
        </w:rPr>
        <w:t xml:space="preserve">It is worth noting, before pressing this lex orandi reading further, that the principle is not being imported into Bohemian material from the outside. Holeton, surveying the long arc of Utraquist liturgical reform, observes that the Utraquist tradition itself articulated the formula explicitly when describing how its sanctoral was emended in the sixteenth century: "On the principle of </w:t>
      </w:r>
      <w:r>
        <w:rPr>
          <w:rFonts w:ascii="Times New Roman" w:hAnsi="Times New Roman" w:cs="Times New Roman"/>
          <w:i/>
          <w:iCs/>
        </w:rPr>
        <w:t>lex credendi lex orandi</w:t>
      </w:r>
      <w:r>
        <w:rPr>
          <w:rFonts w:ascii="Times New Roman" w:hAnsi="Times New Roman" w:cs="Times New Roman"/>
        </w:rPr>
        <w:t>, this was reflected in the liturgical texts."</w:t>
      </w:r>
      <w:r>
        <w:rPr>
          <w:rStyle w:val="FootnoteReference"/>
          <w:rFonts w:ascii="Times New Roman" w:hAnsi="Times New Roman" w:cs="Times New Roman"/>
        </w:rPr>
        <w:footnoteReference w:id="34"/>
      </w:r>
      <w:r>
        <w:rPr>
          <w:rFonts w:ascii="Times New Roman" w:hAnsi="Times New Roman" w:cs="Times New Roman"/>
        </w:rPr>
        <w:t xml:space="preserve"> The principle is being recognised, in other words, as already operative within the Bohemian liturgical-reform tradition itself. And that tradition has depth. The very existence of Utraquism, on Holeton's reading, rested on a liturgical reform — the restored chalice — which, without the earlier restoration of frequent communion by the fourteenth-century Czech reformer Jan Milíč, "would have been a vacuous gesture."</w:t>
      </w:r>
      <w:r>
        <w:rPr>
          <w:rStyle w:val="FootnoteReference"/>
          <w:rFonts w:ascii="Times New Roman" w:hAnsi="Times New Roman" w:cs="Times New Roman"/>
        </w:rPr>
        <w:footnoteReference w:id="35"/>
      </w:r>
      <w:r>
        <w:rPr>
          <w:rFonts w:ascii="Times New Roman" w:hAnsi="Times New Roman" w:cs="Times New Roman"/>
        </w:rPr>
        <w:t xml:space="preserve"> The Eucharistic piety with which the Agenda Česká's moderate register engages is not, then, a confessional blank slate. It is the heir of a 250-year Bohemian liturgical-reform programme whose central concern was Eucharistic from the beginning. The manducatio impiorum the Bystrická agenda introduces sharpens the inherited piety; it does not replace it. The stratification we are tracing operates on top of a Bohemian Eucharistic substrate that the printed agenda had already addressed on something like its own terms.</w:t>
      </w:r>
    </w:p>
    <w:p w14:paraId="776ADE6B" w14:textId="10910A32"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This has implications for how the period’s confessional sharpening should be understood. The standard narrative of confessionalisation, articulated most influentially by Heinz Schilling and Wolfgang Reinhard, treats confessional consolidation as the work of normative documents (confessions of faith, catechisms, church orders) and of the disciplinary infrastructures that enforced them.</w:t>
      </w:r>
      <w:r>
        <w:rPr>
          <w:rStyle w:val="FootnoteReference"/>
          <w:rFonts w:ascii="Times New Roman" w:hAnsi="Times New Roman" w:cs="Times New Roman"/>
        </w:rPr>
        <w:footnoteReference w:id="36"/>
      </w:r>
      <w:r>
        <w:rPr>
          <w:rFonts w:ascii="Times New Roman" w:hAnsi="Times New Roman" w:cs="Times New Roman"/>
        </w:rPr>
        <w:t xml:space="preserve"> The codex extends this picture in an instructive </w:t>
      </w:r>
      <w:r>
        <w:rPr>
          <w:rFonts w:ascii="Times New Roman" w:hAnsi="Times New Roman" w:cs="Times New Roman"/>
        </w:rPr>
        <w:lastRenderedPageBreak/>
        <w:t xml:space="preserve">direction. Confessional consolidation is also the work of register intensification within liturgical practice — and that work is observable at the granularity of a single physical codex, in the four-year gap between a printed pastoral resource and its hand-written local supplement, in the lexical move from “tělo a krev” to “Tělo a Krew Syna Božijho”, in the introduction of </w:t>
      </w:r>
      <w:r>
        <w:rPr>
          <w:rFonts w:ascii="Times New Roman" w:hAnsi="Times New Roman" w:cs="Times New Roman"/>
          <w:i/>
          <w:iCs/>
        </w:rPr>
        <w:t>manducatio impiorum</w:t>
      </w:r>
      <w:r>
        <w:rPr>
          <w:rFonts w:ascii="Times New Roman" w:hAnsi="Times New Roman" w:cs="Times New Roman"/>
        </w:rPr>
        <w:t xml:space="preserve"> into a rite that had previously not articulated it. Register work is what doctrinal work looks like in the lived practice of a community making the substance of confession into a usable shape for liturgical action.</w:t>
      </w:r>
    </w:p>
    <w:p w14:paraId="59E39EE3" w14:textId="06F56BAB"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What the </w:t>
      </w:r>
      <w:r>
        <w:rPr>
          <w:rFonts w:ascii="Times New Roman" w:hAnsi="Times New Roman" w:cs="Times New Roman"/>
          <w:i/>
          <w:iCs/>
        </w:rPr>
        <w:t>Agenda Česká</w:t>
      </w:r>
      <w:r>
        <w:rPr>
          <w:rFonts w:ascii="Times New Roman" w:hAnsi="Times New Roman" w:cs="Times New Roman"/>
        </w:rPr>
        <w:t xml:space="preserve"> / </w:t>
      </w:r>
      <w:r>
        <w:rPr>
          <w:rFonts w:ascii="Times New Roman" w:hAnsi="Times New Roman" w:cs="Times New Roman"/>
          <w:i/>
          <w:iCs/>
        </w:rPr>
        <w:t>Bystrická agenda</w:t>
      </w:r>
      <w:r>
        <w:rPr>
          <w:rFonts w:ascii="Times New Roman" w:hAnsi="Times New Roman" w:cs="Times New Roman"/>
        </w:rPr>
        <w:t xml:space="preserve"> stratification shows, then, is not that Lutheranism between 1581 and 1585 was developing a new doctrine of the Eucharist — it was not — but that the same Lutheran doctrine was being expressed at different registers within a single regional confessional community, with the manuscript supplement intensifying what the printed agenda had left moderate. This is confessional consolidation as register shift. It operates not at the cross-confessional boundary but within the Lutheran orbit itself. It is visible only at the codex level, where the bound co-presence of print and manuscript records the early users’ practice of moving between registers. And it is invisible at the level of the period’s normative documents, namely the </w:t>
      </w:r>
      <w:r>
        <w:rPr>
          <w:rFonts w:ascii="Times New Roman" w:hAnsi="Times New Roman" w:cs="Times New Roman"/>
          <w:i/>
          <w:iCs/>
        </w:rPr>
        <w:t>Formula of Concord</w:t>
      </w:r>
      <w:r>
        <w:rPr>
          <w:rFonts w:ascii="Times New Roman" w:hAnsi="Times New Roman" w:cs="Times New Roman"/>
        </w:rPr>
        <w:t xml:space="preserve">, the </w:t>
      </w:r>
      <w:r>
        <w:rPr>
          <w:rFonts w:ascii="Times New Roman" w:hAnsi="Times New Roman" w:cs="Times New Roman"/>
          <w:i/>
          <w:iCs/>
        </w:rPr>
        <w:t>Heptapolitana</w:t>
      </w:r>
      <w:r>
        <w:rPr>
          <w:rFonts w:ascii="Times New Roman" w:hAnsi="Times New Roman" w:cs="Times New Roman"/>
        </w:rPr>
        <w:t xml:space="preserve">, the </w:t>
      </w:r>
      <w:r>
        <w:rPr>
          <w:rFonts w:ascii="Times New Roman" w:hAnsi="Times New Roman" w:cs="Times New Roman"/>
          <w:i/>
          <w:iCs/>
        </w:rPr>
        <w:t>Agenda Česká</w:t>
      </w:r>
      <w:r>
        <w:rPr>
          <w:rFonts w:ascii="Times New Roman" w:hAnsi="Times New Roman" w:cs="Times New Roman"/>
        </w:rPr>
        <w:t>’s preface, which are univocally Lutheran and offer no value for the diagnostic that codicological co-presence supplies.</w:t>
      </w:r>
    </w:p>
    <w:p w14:paraId="2FDA29A7" w14:textId="77777777" w:rsidR="00E46113" w:rsidRPr="00BA0C6D" w:rsidRDefault="00E46113" w:rsidP="002B5C09">
      <w:pPr>
        <w:spacing w:after="0" w:line="276" w:lineRule="auto"/>
        <w:rPr>
          <w:rFonts w:ascii="Times New Roman" w:hAnsi="Times New Roman" w:cs="Times New Roman"/>
        </w:rPr>
      </w:pPr>
    </w:p>
    <w:p w14:paraId="0C535996" w14:textId="6C163D79" w:rsidR="003436C2" w:rsidRPr="00BA0C6D" w:rsidRDefault="00872E09" w:rsidP="002B5C09">
      <w:pPr>
        <w:spacing w:after="0" w:line="276" w:lineRule="auto"/>
        <w:rPr>
          <w:rFonts w:ascii="Times New Roman" w:hAnsi="Times New Roman" w:cs="Times New Roman"/>
          <w:b/>
          <w:bCs/>
        </w:rPr>
      </w:pPr>
      <w:r>
        <w:rPr>
          <w:rFonts w:ascii="Times New Roman" w:hAnsi="Times New Roman" w:cs="Times New Roman"/>
          <w:b/>
          <w:bCs/>
        </w:rPr>
        <w:t>6. Implications for the Lutheranisation thesis</w:t>
      </w:r>
    </w:p>
    <w:p w14:paraId="74A09147" w14:textId="5D185B63" w:rsidR="003436C2" w:rsidRPr="00BA0C6D" w:rsidRDefault="003436C2" w:rsidP="002B5C09">
      <w:pPr>
        <w:spacing w:after="0" w:line="276" w:lineRule="auto"/>
        <w:rPr>
          <w:rFonts w:ascii="Times New Roman" w:hAnsi="Times New Roman" w:cs="Times New Roman"/>
          <w:i/>
          <w:iCs/>
        </w:rPr>
      </w:pPr>
      <w:r>
        <w:rPr>
          <w:rFonts w:ascii="Times New Roman" w:hAnsi="Times New Roman" w:cs="Times New Roman"/>
          <w:b/>
          <w:bCs/>
          <w:i/>
          <w:iCs/>
        </w:rPr>
        <w:t>The Confessio Bohemica 1575</w:t>
      </w:r>
    </w:p>
    <w:p w14:paraId="4EF23D10" w14:textId="50238FC1"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A separate but related finding from the broader research programme of which this paper is part deserves brief mention here, because it traces a parallel pattern at a different scale and in a different document. The </w:t>
      </w:r>
      <w:r>
        <w:rPr>
          <w:rFonts w:ascii="Times New Roman" w:hAnsi="Times New Roman" w:cs="Times New Roman"/>
          <w:i/>
          <w:iCs/>
        </w:rPr>
        <w:t>Confessio Bohemica</w:t>
      </w:r>
      <w:r>
        <w:rPr>
          <w:rFonts w:ascii="Times New Roman" w:hAnsi="Times New Roman" w:cs="Times New Roman"/>
        </w:rPr>
        <w:t xml:space="preserve"> of 1575 was the irenic compromise document drawn up by Utraquists, Brethren, and Lutherans of the Bohemian crown lands and presented to Maximilian II as evidence of confessional consensus among the non-Roman religious parties. This 1575 Czech confession has long been characterised in older anglophone reference works as a Calvinist document.</w:t>
      </w:r>
      <w:r>
        <w:rPr>
          <w:rStyle w:val="FootnoteReference"/>
          <w:rFonts w:ascii="Times New Roman" w:hAnsi="Times New Roman" w:cs="Times New Roman"/>
        </w:rPr>
        <w:footnoteReference w:id="37"/>
      </w:r>
      <w:r>
        <w:rPr>
          <w:rFonts w:ascii="Times New Roman" w:hAnsi="Times New Roman" w:cs="Times New Roman"/>
        </w:rPr>
        <w:t xml:space="preserve"> The characterization, however, does not survive a careful reading of the Czech text. The CB’s Eucharistic article uses the formula </w:t>
      </w:r>
      <w:r>
        <w:rPr>
          <w:rFonts w:ascii="Times New Roman" w:hAnsi="Times New Roman" w:cs="Times New Roman"/>
          <w:i/>
          <w:iCs/>
        </w:rPr>
        <w:t>duchovně i podstatně, věrou i také ústy</w:t>
      </w:r>
      <w:r>
        <w:rPr>
          <w:rFonts w:ascii="Times New Roman" w:hAnsi="Times New Roman" w:cs="Times New Roman"/>
        </w:rPr>
        <w:t xml:space="preserve"> — “spiritually and substantially, by faith and also by mouth” — which explicitly affirms both substantial presence and oral reception (the Lutheran distinctives) and spiritual reception by faith (the Reformed emphasis).</w:t>
      </w:r>
      <w:r>
        <w:rPr>
          <w:rStyle w:val="FootnoteReference"/>
          <w:rFonts w:ascii="Times New Roman" w:hAnsi="Times New Roman" w:cs="Times New Roman"/>
        </w:rPr>
        <w:footnoteReference w:id="38"/>
      </w:r>
      <w:r>
        <w:rPr>
          <w:rFonts w:ascii="Times New Roman" w:hAnsi="Times New Roman" w:cs="Times New Roman"/>
        </w:rPr>
        <w:t xml:space="preserve"> This is clearly not a </w:t>
      </w:r>
      <w:r>
        <w:rPr>
          <w:rFonts w:ascii="Times New Roman" w:hAnsi="Times New Roman" w:cs="Times New Roman"/>
        </w:rPr>
        <w:lastRenderedPageBreak/>
        <w:t>Calvinist position. It is a deliberate both/and irenic register that holds the Lutheran and Reformed distinctives together in a single confessional formula. A Lutheran could subscribe to it without conscience; so could a Reformed theologian; so, for that matter, could a moderate Utraquist. The CB’s irenic register was the achievement of the 1575 compromise, not a confessional concession to either side.</w:t>
      </w:r>
    </w:p>
    <w:p w14:paraId="3E1D7AC9" w14:textId="4706AE47"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CB is also conspicuously silent on </w:t>
      </w:r>
      <w:r>
        <w:rPr>
          <w:rFonts w:ascii="Times New Roman" w:hAnsi="Times New Roman" w:cs="Times New Roman"/>
          <w:i/>
          <w:iCs/>
        </w:rPr>
        <w:t>manducatio impiorum</w:t>
      </w:r>
      <w:r>
        <w:rPr>
          <w:rFonts w:ascii="Times New Roman" w:hAnsi="Times New Roman" w:cs="Times New Roman"/>
        </w:rPr>
        <w:t xml:space="preserve">. The very test the </w:t>
      </w:r>
      <w:r>
        <w:rPr>
          <w:rFonts w:ascii="Times New Roman" w:hAnsi="Times New Roman" w:cs="Times New Roman"/>
          <w:i/>
          <w:iCs/>
        </w:rPr>
        <w:t>Formula of Concord</w:t>
      </w:r>
      <w:r>
        <w:rPr>
          <w:rFonts w:ascii="Times New Roman" w:hAnsi="Times New Roman" w:cs="Times New Roman"/>
        </w:rPr>
        <w:t xml:space="preserve"> makes the Lutheran boundary marker against Reformed Eucharistic theology in 1577 is absent from the CB’s 1575 articulation. The silence is the same silence the </w:t>
      </w:r>
      <w:r>
        <w:rPr>
          <w:rFonts w:ascii="Times New Roman" w:hAnsi="Times New Roman" w:cs="Times New Roman"/>
          <w:i/>
          <w:iCs/>
        </w:rPr>
        <w:t>Agenda Česká</w:t>
      </w:r>
      <w:r>
        <w:rPr>
          <w:rFonts w:ascii="Times New Roman" w:hAnsi="Times New Roman" w:cs="Times New Roman"/>
        </w:rPr>
        <w:t xml:space="preserve"> will keep in 1581 within a Lutheran-aligned codex. The </w:t>
      </w:r>
      <w:r>
        <w:rPr>
          <w:rFonts w:ascii="Times New Roman" w:hAnsi="Times New Roman" w:cs="Times New Roman"/>
          <w:i/>
          <w:iCs/>
        </w:rPr>
        <w:t>Bystrická agenda</w:t>
      </w:r>
      <w:r>
        <w:rPr>
          <w:rFonts w:ascii="Times New Roman" w:hAnsi="Times New Roman" w:cs="Times New Roman"/>
        </w:rPr>
        <w:t xml:space="preserve"> of 1585 is the document that breaks that silence locally. Read together, the CB 1575 → AC 1581 → BA 1585 trajectory traces a pattern which shows us a cross-confessional irenic document, a moderate Lutheran printed agenda, a sharper Lutheran manuscript supplement, each negotiating in its own way the question of how the Eucharistic distinctive should be articulated. The CB and the </w:t>
      </w:r>
      <w:r>
        <w:rPr>
          <w:rFonts w:ascii="Times New Roman" w:hAnsi="Times New Roman" w:cs="Times New Roman"/>
          <w:i/>
          <w:iCs/>
        </w:rPr>
        <w:t>Agenda Česká</w:t>
      </w:r>
      <w:r>
        <w:rPr>
          <w:rFonts w:ascii="Times New Roman" w:hAnsi="Times New Roman" w:cs="Times New Roman"/>
        </w:rPr>
        <w:t xml:space="preserve"> share a register choice. They are both silent on </w:t>
      </w:r>
      <w:r>
        <w:rPr>
          <w:rFonts w:ascii="Times New Roman" w:hAnsi="Times New Roman" w:cs="Times New Roman"/>
          <w:i/>
          <w:iCs/>
        </w:rPr>
        <w:t>manducatio impiorum</w:t>
      </w:r>
      <w:r>
        <w:rPr>
          <w:rFonts w:ascii="Times New Roman" w:hAnsi="Times New Roman" w:cs="Times New Roman"/>
        </w:rPr>
        <w:t xml:space="preserve">, which is something that only the </w:t>
      </w:r>
      <w:r>
        <w:rPr>
          <w:rFonts w:ascii="Times New Roman" w:hAnsi="Times New Roman" w:cs="Times New Roman"/>
          <w:i/>
          <w:iCs/>
        </w:rPr>
        <w:t>Bystrická agenda</w:t>
      </w:r>
      <w:r>
        <w:rPr>
          <w:rFonts w:ascii="Times New Roman" w:hAnsi="Times New Roman" w:cs="Times New Roman"/>
        </w:rPr>
        <w:t xml:space="preserve"> breaks. The cross-confessional irenicism of the CB 1575 and the intra-confessional moderation of the </w:t>
      </w:r>
      <w:r>
        <w:rPr>
          <w:rFonts w:ascii="Times New Roman" w:hAnsi="Times New Roman" w:cs="Times New Roman"/>
          <w:i/>
          <w:iCs/>
        </w:rPr>
        <w:t>Agenda Česká</w:t>
      </w:r>
      <w:r>
        <w:rPr>
          <w:rFonts w:ascii="Times New Roman" w:hAnsi="Times New Roman" w:cs="Times New Roman"/>
        </w:rPr>
        <w:t xml:space="preserve"> 1581 are not the same thing, but they share a register strategy: holding the polemical specification at bay in the interest of broader pastoral and confessional usability. The </w:t>
      </w:r>
      <w:r>
        <w:rPr>
          <w:rFonts w:ascii="Times New Roman" w:hAnsi="Times New Roman" w:cs="Times New Roman"/>
          <w:i/>
          <w:iCs/>
        </w:rPr>
        <w:t>Bystrická agenda</w:t>
      </w:r>
      <w:r>
        <w:rPr>
          <w:rFonts w:ascii="Times New Roman" w:hAnsi="Times New Roman" w:cs="Times New Roman"/>
        </w:rPr>
        <w:t xml:space="preserve"> 1585 abandons that strategy under local disciplinary pressure.</w:t>
      </w:r>
    </w:p>
    <w:p w14:paraId="0BFC410C" w14:textId="191B40F7"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A fuller treatment of the </w:t>
      </w:r>
      <w:r>
        <w:rPr>
          <w:rFonts w:ascii="Times New Roman" w:hAnsi="Times New Roman" w:cs="Times New Roman"/>
          <w:i/>
          <w:iCs/>
        </w:rPr>
        <w:t>Confessio Bohemica</w:t>
      </w:r>
      <w:r>
        <w:rPr>
          <w:rFonts w:ascii="Times New Roman" w:hAnsi="Times New Roman" w:cs="Times New Roman"/>
        </w:rPr>
        <w:t>’s register and its consequences for understanding the Czech-Reformation confessional landscape is reserved for the forthcoming TEPALIT chapter. The brief mention here registers the parallel pattern at a different scale and offers a suggestive observation: I wish to propose that the older characterisation of the CB as Calvinist is not just historiographically inaccurate but conceptually misleading. It misses the very thing that makes the CB an interesting document, namely (1) its deliberate both/and register, (2) its silence on the post-1577 confessional markers that did not yet exist when it was drafted, (3) and its kinship in register strategy with the moderate Lutheran liturgical documents that would follow it in the same broader regional setting.</w:t>
      </w:r>
    </w:p>
    <w:p w14:paraId="1FED0E05" w14:textId="77777777" w:rsidR="00E54052" w:rsidRPr="00BA0C6D" w:rsidRDefault="00E54052" w:rsidP="002B5C09">
      <w:pPr>
        <w:spacing w:after="0" w:line="276" w:lineRule="auto"/>
        <w:rPr>
          <w:rFonts w:ascii="Times New Roman" w:hAnsi="Times New Roman" w:cs="Times New Roman"/>
        </w:rPr>
      </w:pPr>
    </w:p>
    <w:p w14:paraId="67581C89" w14:textId="7AFF478F" w:rsidR="003436C2" w:rsidRPr="00BA0C6D" w:rsidRDefault="003436C2" w:rsidP="002B5C09">
      <w:pPr>
        <w:spacing w:after="0" w:line="276" w:lineRule="auto"/>
        <w:rPr>
          <w:rFonts w:ascii="Times New Roman" w:hAnsi="Times New Roman" w:cs="Times New Roman"/>
          <w:i/>
          <w:iCs/>
        </w:rPr>
      </w:pPr>
      <w:r>
        <w:rPr>
          <w:rFonts w:ascii="Times New Roman" w:hAnsi="Times New Roman" w:cs="Times New Roman"/>
          <w:b/>
          <w:bCs/>
          <w:i/>
          <w:iCs/>
        </w:rPr>
        <w:t>The Cithara Sanctorum’s editorial method</w:t>
      </w:r>
    </w:p>
    <w:p w14:paraId="3A4B8FEF" w14:textId="051F5B77"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Tranovský’s differential editorial strategy in the </w:t>
      </w:r>
      <w:r>
        <w:rPr>
          <w:rFonts w:ascii="Times New Roman" w:hAnsi="Times New Roman" w:cs="Times New Roman"/>
          <w:i/>
          <w:iCs/>
        </w:rPr>
        <w:t>Cithara Sanctorum</w:t>
      </w:r>
      <w:r>
        <w:rPr>
          <w:rFonts w:ascii="Times New Roman" w:hAnsi="Times New Roman" w:cs="Times New Roman"/>
        </w:rPr>
        <w:t xml:space="preserve"> of 1636, as Grešová-Sekelská has mapped it, fits naturally within the broader pattern this paper documents. Tranovský was hands-off in confessionally neutral rubrics and heavily interventionist in the Eucharistic, Marian, and ecclesiological sections, where the cross-confessional source material carried theological weight that an Augsburg-Lutheran compiler had to handle with care.</w:t>
      </w:r>
      <w:r>
        <w:rPr>
          <w:rStyle w:val="FootnoteReference"/>
          <w:rFonts w:ascii="Times New Roman" w:hAnsi="Times New Roman" w:cs="Times New Roman"/>
        </w:rPr>
        <w:footnoteReference w:id="39"/>
      </w:r>
      <w:r>
        <w:rPr>
          <w:rFonts w:ascii="Times New Roman" w:hAnsi="Times New Roman" w:cs="Times New Roman"/>
        </w:rPr>
        <w:t xml:space="preserve"> The action Tranovský performs at cross-confessional crossings is the same kind of action the </w:t>
      </w:r>
      <w:r>
        <w:rPr>
          <w:rFonts w:ascii="Times New Roman" w:hAnsi="Times New Roman" w:cs="Times New Roman"/>
          <w:i/>
          <w:iCs/>
        </w:rPr>
        <w:t>Bystrická agenda</w:t>
      </w:r>
      <w:r>
        <w:rPr>
          <w:rFonts w:ascii="Times New Roman" w:hAnsi="Times New Roman" w:cs="Times New Roman"/>
        </w:rPr>
        <w:t>’s anonymous scribe had performed a half-century earlier at a smaller intra-confessional crossing. What I have in mind here concretely is the Brethren or Utraquist source moving into Slovak Lutheran reception by Tranovsk</w:t>
      </w:r>
      <w:r>
        <w:rPr>
          <w:rFonts w:ascii="Times New Roman" w:hAnsi="Times New Roman" w:cs="Times New Roman"/>
          <w:lang w:val="sk-SK"/>
        </w:rPr>
        <w:t>ý</w:t>
      </w:r>
      <w:r>
        <w:rPr>
          <w:rFonts w:ascii="Times New Roman" w:hAnsi="Times New Roman" w:cs="Times New Roman"/>
        </w:rPr>
        <w:t xml:space="preserve">, with editorial filtering attaching the polemical specifications that the Slovak Lutheran community required. Both are </w:t>
      </w:r>
      <w:r>
        <w:rPr>
          <w:rFonts w:ascii="Times New Roman" w:hAnsi="Times New Roman" w:cs="Times New Roman"/>
        </w:rPr>
        <w:lastRenderedPageBreak/>
        <w:t xml:space="preserve">register work. Both are confessional sharpening. The action is the same; only the scale differs. The </w:t>
      </w:r>
      <w:r>
        <w:rPr>
          <w:rFonts w:ascii="Times New Roman" w:hAnsi="Times New Roman" w:cs="Times New Roman"/>
          <w:i/>
          <w:iCs/>
        </w:rPr>
        <w:t>Cithara Sanctorum</w:t>
      </w:r>
      <w:r>
        <w:rPr>
          <w:rFonts w:ascii="Times New Roman" w:hAnsi="Times New Roman" w:cs="Times New Roman"/>
        </w:rPr>
        <w:t xml:space="preserve"> of 1636 is therefore not the first instance of Slovak Lutheran register work on Czech-Reformation source material; it is the most visible instance of a longer pattern that the codex preserves at finer granularity. Perhaps, the finer granularity perspective was missing in most of earlier scholarly approaches to this question.</w:t>
      </w:r>
    </w:p>
    <w:p w14:paraId="774BB3D8" w14:textId="77777777" w:rsidR="00E54052" w:rsidRPr="00BA0C6D" w:rsidRDefault="00E54052" w:rsidP="002B5C09">
      <w:pPr>
        <w:spacing w:after="0" w:line="276" w:lineRule="auto"/>
        <w:rPr>
          <w:rFonts w:ascii="Times New Roman" w:hAnsi="Times New Roman" w:cs="Times New Roman"/>
          <w:b/>
          <w:bCs/>
        </w:rPr>
      </w:pPr>
    </w:p>
    <w:p w14:paraId="7FDD8755" w14:textId="05CAA08D" w:rsidR="003436C2" w:rsidRPr="00BA0C6D" w:rsidRDefault="003436C2" w:rsidP="002B5C09">
      <w:pPr>
        <w:spacing w:after="0" w:line="276" w:lineRule="auto"/>
        <w:rPr>
          <w:rFonts w:ascii="Times New Roman" w:hAnsi="Times New Roman" w:cs="Times New Roman"/>
          <w:i/>
          <w:iCs/>
        </w:rPr>
      </w:pPr>
      <w:r>
        <w:rPr>
          <w:rFonts w:ascii="Times New Roman" w:hAnsi="Times New Roman" w:cs="Times New Roman"/>
          <w:b/>
          <w:bCs/>
          <w:i/>
          <w:iCs/>
        </w:rPr>
        <w:t>Open data and future work</w:t>
      </w:r>
    </w:p>
    <w:p w14:paraId="709DBAF7" w14:textId="6BCF9E73"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finding documented in this paper, i.e. the </w:t>
      </w:r>
      <w:r>
        <w:rPr>
          <w:rFonts w:ascii="Times New Roman" w:hAnsi="Times New Roman" w:cs="Times New Roman"/>
          <w:i/>
          <w:iCs/>
        </w:rPr>
        <w:t>Agenda Česká</w:t>
      </w:r>
      <w:r>
        <w:rPr>
          <w:rFonts w:ascii="Times New Roman" w:hAnsi="Times New Roman" w:cs="Times New Roman"/>
        </w:rPr>
        <w:t xml:space="preserve"> 1581 / </w:t>
      </w:r>
      <w:r>
        <w:rPr>
          <w:rFonts w:ascii="Times New Roman" w:hAnsi="Times New Roman" w:cs="Times New Roman"/>
          <w:i/>
          <w:iCs/>
        </w:rPr>
        <w:t>Bystrická agenda</w:t>
      </w:r>
      <w:r>
        <w:rPr>
          <w:rFonts w:ascii="Times New Roman" w:hAnsi="Times New Roman" w:cs="Times New Roman"/>
        </w:rPr>
        <w:t xml:space="preserve"> 1585 stratification within the Bratislava Lyceal Library exemplar, is recorded in the open </w:t>
      </w:r>
      <w:r>
        <w:rPr>
          <w:rFonts w:ascii="Times New Roman" w:hAnsi="Times New Roman" w:cs="Times New Roman"/>
          <w:i/>
          <w:iCs/>
        </w:rPr>
        <w:t>TEPALIT Digital Companion</w:t>
      </w:r>
      <w:r>
        <w:rPr>
          <w:rFonts w:ascii="Times New Roman" w:hAnsi="Times New Roman" w:cs="Times New Roman"/>
        </w:rPr>
        <w:t xml:space="preserve"> dataset under the identifier PAIR_006_AC_BA_EUCHARIST.</w:t>
      </w:r>
      <w:r>
        <w:rPr>
          <w:rStyle w:val="FootnoteReference"/>
          <w:rFonts w:ascii="Times New Roman" w:hAnsi="Times New Roman" w:cs="Times New Roman"/>
        </w:rPr>
        <w:footnoteReference w:id="40"/>
      </w:r>
      <w:r>
        <w:rPr>
          <w:rFonts w:ascii="Times New Roman" w:hAnsi="Times New Roman" w:cs="Times New Roman"/>
        </w:rPr>
        <w:t xml:space="preserve"> The dataset is published under a Creative Commons Attribution 4.0 International licence. The record carries the trust signature FACTUAL / DOCUMENTED / VERIFIED (the strongest combination available in the dataset’s three-axis epistemic-transparency framework) with a verification dossier documenting the warrant. The mention here gives readers a path to the underlying data and registers the open-scholarship infrastructure within which this finding was developed.</w:t>
      </w:r>
    </w:p>
    <w:p w14:paraId="6E1A95EE" w14:textId="6587EC17"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Two directions for further work suggest themselves. The first is internal to Benka’s edition: a systematic textual comparison of the </w:t>
      </w:r>
      <w:r>
        <w:rPr>
          <w:rFonts w:ascii="Times New Roman" w:hAnsi="Times New Roman" w:cs="Times New Roman"/>
          <w:i/>
          <w:iCs/>
        </w:rPr>
        <w:t>Agenda Česká</w:t>
      </w:r>
      <w:r>
        <w:rPr>
          <w:rFonts w:ascii="Times New Roman" w:hAnsi="Times New Roman" w:cs="Times New Roman"/>
        </w:rPr>
        <w:t xml:space="preserve"> and the </w:t>
      </w:r>
      <w:r>
        <w:rPr>
          <w:rFonts w:ascii="Times New Roman" w:hAnsi="Times New Roman" w:cs="Times New Roman"/>
          <w:i/>
          <w:iCs/>
        </w:rPr>
        <w:t>Bystrická agenda</w:t>
      </w:r>
      <w:r>
        <w:rPr>
          <w:rFonts w:ascii="Times New Roman" w:hAnsi="Times New Roman" w:cs="Times New Roman"/>
        </w:rPr>
        <w:t xml:space="preserve"> outside the Eucharistic rite, examining the baptism, marriage, and funeral sections to see whether the intra-codex register shift documented in this paper is Eucharist-specific or operates more generally across the rite. This work is feasible from Benka 2024 alone; it would extend the diagnostic developed here to additional dimensions of Lutheran liturgical articulation. The second is external. I envision an examination of additional bound-codex situations in Upper-Hungarian Lutheran archives (Bardejov, Levoča, Kežmarok, and the Spiš towns) for similar intra-codex stratifications. This work requires archival access and codicological reading attentive to the kind of register-difference that the Bratislava codex preserves. Both directions, pursued together, would test whether the intra-codex confessional stratification documented here is a distinctive feature of one bound exemplar or a more widespread pattern in the period’s liturgical-pastoral practice.</w:t>
      </w:r>
    </w:p>
    <w:p w14:paraId="4C57B889" w14:textId="77777777" w:rsidR="00BB7385" w:rsidRPr="00BA0C6D" w:rsidRDefault="00BB7385" w:rsidP="002B5C09">
      <w:pPr>
        <w:spacing w:after="0" w:line="276" w:lineRule="auto"/>
        <w:rPr>
          <w:rFonts w:ascii="Times New Roman" w:hAnsi="Times New Roman" w:cs="Times New Roman"/>
        </w:rPr>
      </w:pPr>
    </w:p>
    <w:p w14:paraId="0CF6C393" w14:textId="6F8FA8B9" w:rsidR="003436C2" w:rsidRPr="00BA0C6D" w:rsidRDefault="00872E09" w:rsidP="002B5C09">
      <w:pPr>
        <w:spacing w:after="0" w:line="276" w:lineRule="auto"/>
        <w:rPr>
          <w:rFonts w:ascii="Times New Roman" w:hAnsi="Times New Roman" w:cs="Times New Roman"/>
          <w:b/>
          <w:bCs/>
        </w:rPr>
      </w:pPr>
      <w:r>
        <w:rPr>
          <w:rFonts w:ascii="Times New Roman" w:hAnsi="Times New Roman" w:cs="Times New Roman"/>
          <w:b/>
          <w:bCs/>
        </w:rPr>
        <w:t>7. Conclusion</w:t>
      </w:r>
    </w:p>
    <w:p w14:paraId="71B99878" w14:textId="1F4E14BC"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The Bratislava Lyceal Library exemplar of </w:t>
      </w:r>
      <w:r>
        <w:rPr>
          <w:rFonts w:ascii="Times New Roman" w:hAnsi="Times New Roman" w:cs="Times New Roman"/>
          <w:i/>
          <w:iCs/>
        </w:rPr>
        <w:t>Agenda Česká</w:t>
      </w:r>
      <w:r>
        <w:rPr>
          <w:rFonts w:ascii="Times New Roman" w:hAnsi="Times New Roman" w:cs="Times New Roman"/>
        </w:rPr>
        <w:t xml:space="preserve"> 1581 + </w:t>
      </w:r>
      <w:r>
        <w:rPr>
          <w:rFonts w:ascii="Times New Roman" w:hAnsi="Times New Roman" w:cs="Times New Roman"/>
          <w:i/>
          <w:iCs/>
        </w:rPr>
        <w:t>Bystrická agenda</w:t>
      </w:r>
      <w:r>
        <w:rPr>
          <w:rFonts w:ascii="Times New Roman" w:hAnsi="Times New Roman" w:cs="Times New Roman"/>
        </w:rPr>
        <w:t xml:space="preserve"> 1585 preserves, in its bound co-presence of print and manuscript, two registers of the same Lutheran Eucharistic theology. The printed </w:t>
      </w:r>
      <w:r>
        <w:rPr>
          <w:rFonts w:ascii="Times New Roman" w:hAnsi="Times New Roman" w:cs="Times New Roman"/>
          <w:i/>
          <w:iCs/>
        </w:rPr>
        <w:t>Czech agenda</w:t>
      </w:r>
      <w:r>
        <w:rPr>
          <w:rFonts w:ascii="Times New Roman" w:hAnsi="Times New Roman" w:cs="Times New Roman"/>
        </w:rPr>
        <w:t xml:space="preserve"> operates moderately, anchored in faith in the words of institution but silent on the polemical distinctives the post-Formula disciplinary atmosphere had begun to require. The manuscript Slovak supplement, written four years later in the mining-town milieu, articulates the same theology with explicit </w:t>
      </w:r>
      <w:r>
        <w:rPr>
          <w:rFonts w:ascii="Times New Roman" w:hAnsi="Times New Roman" w:cs="Times New Roman"/>
          <w:i/>
          <w:iCs/>
        </w:rPr>
        <w:t>manducatio impiorum</w:t>
      </w:r>
      <w:r>
        <w:rPr>
          <w:rFonts w:ascii="Times New Roman" w:hAnsi="Times New Roman" w:cs="Times New Roman"/>
        </w:rPr>
        <w:t xml:space="preserve"> and direct identification of the body and blood of the Son of God in worthy and unworthy reception alike. Significantly, the early users of the codex bound the print and the manuscript together because they served a single liturgical use. Read together, </w:t>
      </w:r>
      <w:r>
        <w:rPr>
          <w:rFonts w:ascii="Times New Roman" w:hAnsi="Times New Roman" w:cs="Times New Roman"/>
        </w:rPr>
        <w:lastRenderedPageBreak/>
        <w:t>as the binding records their practice of reading them, the two witnesses exhibit a confessional movement that is invisible if either is read alone.</w:t>
      </w:r>
    </w:p>
    <w:p w14:paraId="781B2B07" w14:textId="279C2AA6" w:rsidR="003436C2" w:rsidRPr="00BA0C6D" w:rsidRDefault="003436C2" w:rsidP="002B5C09">
      <w:pPr>
        <w:spacing w:after="0" w:line="276" w:lineRule="auto"/>
        <w:rPr>
          <w:rFonts w:ascii="Times New Roman" w:hAnsi="Times New Roman" w:cs="Times New Roman"/>
        </w:rPr>
      </w:pPr>
      <w:r>
        <w:rPr>
          <w:rFonts w:ascii="Times New Roman" w:hAnsi="Times New Roman" w:cs="Times New Roman"/>
        </w:rPr>
        <w:t xml:space="preserve">What the stratification means for the Lutheranisation thesis is the substance of this paper’s contribution. Confessional sharpening, on the standard account, is the work performed at the moment when material crosses between confessional traditions (in this case Brethren or Utraquist source) into Slovak Lutheran reception, the editorial filtering that produces a confessionally Lutheran corpus from a confessionally heterogeneous inheritance. The codex shows the same action operating at smaller scale and at finer granularity, within the Lutheran orbit itself, in the four-year gap between a printed pastoral resource and its hand-written local supplement. The action is the same; only the scale differs. Confessional consolidation is also intra-confessional register work, observable at the codex level when the witnesses are read against one another rather than in isolation. Where this leaves the </w:t>
      </w:r>
      <w:r>
        <w:rPr>
          <w:rFonts w:ascii="Times New Roman" w:hAnsi="Times New Roman" w:cs="Times New Roman"/>
          <w:i/>
          <w:iCs/>
        </w:rPr>
        <w:t>Cithara Sanctorum</w:t>
      </w:r>
      <w:r>
        <w:rPr>
          <w:rFonts w:ascii="Times New Roman" w:hAnsi="Times New Roman" w:cs="Times New Roman"/>
        </w:rPr>
        <w:t>’s own editorial register, and what the same diagnostic might reveal when applied to Tranovský’s hymnodic work rather than to the printed agenda that preceded it, is the work of the forthcoming TEPALIT chapter.</w:t>
      </w:r>
    </w:p>
    <w:p w14:paraId="454E9A10" w14:textId="3652138C" w:rsidR="003436C2" w:rsidRDefault="006A782A" w:rsidP="002B5C09">
      <w:pPr>
        <w:spacing w:after="0" w:line="276" w:lineRule="auto"/>
        <w:rPr>
          <w:rFonts w:ascii="Times New Roman" w:hAnsi="Times New Roman" w:cs="Times New Roman"/>
        </w:rPr>
      </w:pPr>
      <w:r>
        <w:rPr>
          <w:rFonts w:ascii="Times New Roman" w:hAnsi="Times New Roman" w:cs="Times New Roman"/>
        </w:rPr>
        <w:t xml:space="preserve">Finally, I maintain that the </w:t>
      </w:r>
      <w:r>
        <w:rPr>
          <w:rFonts w:ascii="Times New Roman" w:hAnsi="Times New Roman" w:cs="Times New Roman"/>
          <w:i/>
          <w:iCs/>
        </w:rPr>
        <w:t>lex orandi</w:t>
      </w:r>
      <w:r>
        <w:rPr>
          <w:rFonts w:ascii="Times New Roman" w:hAnsi="Times New Roman" w:cs="Times New Roman"/>
        </w:rPr>
        <w:t xml:space="preserve">, in the milieu out of which the </w:t>
      </w:r>
      <w:r>
        <w:rPr>
          <w:rFonts w:ascii="Times New Roman" w:hAnsi="Times New Roman" w:cs="Times New Roman"/>
          <w:i/>
          <w:iCs/>
        </w:rPr>
        <w:t>Cithara Sanctorum</w:t>
      </w:r>
      <w:r>
        <w:rPr>
          <w:rFonts w:ascii="Times New Roman" w:hAnsi="Times New Roman" w:cs="Times New Roman"/>
        </w:rPr>
        <w:t xml:space="preserve"> eventually emerged, was not a static record of confession. It was an active site of confessional work. Sometimes that work happens at cross-confessional crossings; sometimes it happens within a single bound use. The codex preserves both, and the preservation matters.</w:t>
      </w:r>
    </w:p>
    <w:p w14:paraId="5E1C1BC2" w14:textId="77777777" w:rsidR="007B1148" w:rsidRDefault="007B1148" w:rsidP="002B5C09">
      <w:pPr>
        <w:spacing w:after="0" w:line="276" w:lineRule="auto"/>
        <w:rPr>
          <w:rFonts w:ascii="Times New Roman" w:hAnsi="Times New Roman" w:cs="Times New Roman"/>
        </w:rPr>
      </w:pPr>
    </w:p>
    <w:p w14:paraId="6B3BF0D9" w14:textId="77777777" w:rsidR="007B1148" w:rsidRPr="007B1148" w:rsidRDefault="007B1148" w:rsidP="007B1148">
      <w:pPr>
        <w:spacing w:after="0" w:line="276" w:lineRule="auto"/>
        <w:rPr>
          <w:rFonts w:ascii="Times New Roman" w:hAnsi="Times New Roman" w:cs="Times New Roman"/>
          <w:b/>
          <w:bCs/>
          <w:lang w:val="en-GB"/>
        </w:rPr>
      </w:pPr>
      <w:r>
        <w:rPr>
          <w:rFonts w:ascii="Times New Roman" w:hAnsi="Times New Roman" w:cs="Times New Roman"/>
          <w:b/>
          <w:bCs/>
          <w:lang w:val="en-GB"/>
        </w:rPr>
        <w:t>Declaration on AI Use</w:t>
      </w:r>
    </w:p>
    <w:p w14:paraId="7593B5EE" w14:textId="31BA7F64" w:rsidR="007B1148" w:rsidRPr="007B1148" w:rsidRDefault="007B1148" w:rsidP="007B1148">
      <w:pPr>
        <w:spacing w:after="0" w:line="276" w:lineRule="auto"/>
        <w:rPr>
          <w:rFonts w:ascii="Times New Roman" w:hAnsi="Times New Roman" w:cs="Times New Roman"/>
          <w:lang w:val="en-GB"/>
        </w:rPr>
      </w:pPr>
      <w:r>
        <w:rPr>
          <w:rFonts w:ascii="Times New Roman" w:hAnsi="Times New Roman" w:cs="Times New Roman"/>
          <w:lang w:val="en-GB"/>
        </w:rPr>
        <w:t>I acknowledge that artificial intelligence tools including Grammarly and Claude (model Opus 4.6 and 4.7) were used to assist with English translations, stylistic refinements, assisting with the structure of research, grammar corrections, and document summarization. I have carefully reviewed and verified all AI-generated corrections and suggestions to ensure accuracy and scholarly integrity. As stipulated in the university guidelines</w:t>
      </w:r>
      <w:r>
        <w:rPr>
          <w:rFonts w:ascii="Times New Roman" w:hAnsi="Times New Roman" w:cs="Times New Roman"/>
          <w:vertAlign w:val="superscript"/>
          <w:lang w:val="en-GB"/>
        </w:rPr>
        <w:footnoteReference w:id="41"/>
      </w:r>
      <w:r>
        <w:rPr>
          <w:rFonts w:ascii="Times New Roman" w:hAnsi="Times New Roman" w:cs="Times New Roman"/>
          <w:lang w:val="en-GB"/>
        </w:rPr>
        <w:t xml:space="preserve"> on the use of artificial intelligence tools, while AI tools provided valuable assistance in preparing this paper, all final content decisions and responsibility for the text rest solely with the author.</w:t>
      </w:r>
    </w:p>
    <w:p w14:paraId="7FAE924E" w14:textId="77777777" w:rsidR="007B1148" w:rsidRPr="007B1148" w:rsidRDefault="007B1148" w:rsidP="002B5C09">
      <w:pPr>
        <w:spacing w:after="0" w:line="276" w:lineRule="auto"/>
        <w:rPr>
          <w:rFonts w:ascii="Times New Roman" w:hAnsi="Times New Roman" w:cs="Times New Roman"/>
          <w:lang w:val="en-GB"/>
        </w:rPr>
      </w:pPr>
    </w:p>
    <w:p w14:paraId="6415B193" w14:textId="77777777" w:rsidR="009E003E" w:rsidRDefault="009E003E" w:rsidP="002B5C09">
      <w:pPr>
        <w:spacing w:after="0" w:line="276" w:lineRule="auto"/>
        <w:rPr>
          <w:rFonts w:ascii="Times New Roman" w:hAnsi="Times New Roman" w:cs="Times New Roman"/>
        </w:rPr>
      </w:pPr>
    </w:p>
    <w:p w14:paraId="06E385DF" w14:textId="77777777" w:rsidR="00AC7379" w:rsidRPr="00AC7379" w:rsidRDefault="00AC7379" w:rsidP="00AC7379">
      <w:pPr>
        <w:spacing w:after="0" w:line="276" w:lineRule="auto"/>
        <w:rPr>
          <w:rFonts w:ascii="Times New Roman" w:hAnsi="Times New Roman" w:cs="Times New Roman"/>
          <w:b/>
          <w:bCs/>
        </w:rPr>
      </w:pPr>
      <w:r>
        <w:rPr>
          <w:rFonts w:ascii="Times New Roman" w:hAnsi="Times New Roman" w:cs="Times New Roman"/>
          <w:b/>
          <w:bCs/>
        </w:rPr>
        <w:t>Bibliography</w:t>
      </w:r>
    </w:p>
    <w:p w14:paraId="61936898"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ATWOOD, C. D.: </w:t>
      </w:r>
      <w:r>
        <w:rPr>
          <w:rFonts w:ascii="Times New Roman" w:hAnsi="Times New Roman" w:cs="Times New Roman"/>
          <w:i/>
          <w:iCs/>
        </w:rPr>
        <w:t>The Theology of the Czech Brethren from Hus to Comenius</w:t>
      </w:r>
      <w:r>
        <w:rPr>
          <w:rFonts w:ascii="Times New Roman" w:hAnsi="Times New Roman" w:cs="Times New Roman"/>
        </w:rPr>
        <w:t>. University Park, PA: Pennsylvania State University Press, 2009.</w:t>
      </w:r>
    </w:p>
    <w:p w14:paraId="6F206BFA"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BAYER, O.: </w:t>
      </w:r>
      <w:r>
        <w:rPr>
          <w:rFonts w:ascii="Times New Roman" w:hAnsi="Times New Roman" w:cs="Times New Roman"/>
          <w:i/>
          <w:iCs/>
        </w:rPr>
        <w:t>Martin Luther's Theology: A Contemporary Interpretation</w:t>
      </w:r>
      <w:r>
        <w:rPr>
          <w:rFonts w:ascii="Times New Roman" w:hAnsi="Times New Roman" w:cs="Times New Roman"/>
        </w:rPr>
        <w:t>. Trans. Thomas H. Trapp. Grand Rapids: Eerdmans, 2008, 398 pp. ISBN 978-0-8028-2799-9.</w:t>
      </w:r>
    </w:p>
    <w:p w14:paraId="49DB5114"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BENKA, P. (ed.): </w:t>
      </w:r>
      <w:r>
        <w:rPr>
          <w:rFonts w:ascii="Times New Roman" w:hAnsi="Times New Roman" w:cs="Times New Roman"/>
          <w:i/>
          <w:iCs/>
        </w:rPr>
        <w:t>Agenda Neosoliensia: Agenda Czeská 1581 a Bystrická agenda 1585</w:t>
      </w:r>
      <w:r>
        <w:rPr>
          <w:rFonts w:ascii="Times New Roman" w:hAnsi="Times New Roman" w:cs="Times New Roman"/>
        </w:rPr>
        <w:t>. Monumenta Linguae Slovacae X. Documenta Theologico-Religionistica, Tomus 2. Bratislava: Univerzita Komenského, 2024, 388 pp. ISBN 978-80-223-5971-9 (print); 978-80-223-6072-2 (online). CC BY-SA 4.0.</w:t>
      </w:r>
    </w:p>
    <w:p w14:paraId="7DC23E75"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lastRenderedPageBreak/>
        <w:t>BENTE, F. – DAU, W. H. T. (eds.): </w:t>
      </w:r>
      <w:r>
        <w:rPr>
          <w:rFonts w:ascii="Times New Roman" w:hAnsi="Times New Roman" w:cs="Times New Roman"/>
          <w:i/>
          <w:iCs/>
        </w:rPr>
        <w:t>Concordia Triglotta: The Symbolical Books of the Evangelical Lutheran Church, German – Latin – English</w:t>
      </w:r>
      <w:r>
        <w:rPr>
          <w:rFonts w:ascii="Times New Roman" w:hAnsi="Times New Roman" w:cs="Times New Roman"/>
        </w:rPr>
        <w:t>. St. Louis: Concordia Publishing House, 1921.</w:t>
      </w:r>
    </w:p>
    <w:p w14:paraId="1FE318AD"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BODNÁROVÁ, M.: Reformácia v hornouhorských slobodných kráľovských mestách v 16. storočí. In: KÓNYOVÁ, A. – KÓNYA, P. (eds.): </w:t>
      </w:r>
      <w:r>
        <w:rPr>
          <w:rFonts w:ascii="Times New Roman" w:hAnsi="Times New Roman" w:cs="Times New Roman"/>
          <w:i/>
          <w:iCs/>
        </w:rPr>
        <w:t>Reformácia v strednej Európe / Reformáció Közép-Európában / Reformation in Mittel-Europa I</w:t>
      </w:r>
      <w:r>
        <w:rPr>
          <w:rFonts w:ascii="Times New Roman" w:hAnsi="Times New Roman" w:cs="Times New Roman"/>
        </w:rPr>
        <w:t>. Prešov: Vydavateľstvo Prešovskej univerzity, 2018, pp. 132 – 153.</w:t>
      </w:r>
    </w:p>
    <w:p w14:paraId="66365639" w14:textId="77777777" w:rsidR="00AC7379" w:rsidRPr="0085063F" w:rsidRDefault="00AC7379" w:rsidP="00AC7379">
      <w:pPr>
        <w:spacing w:after="0" w:line="276" w:lineRule="auto"/>
        <w:rPr>
          <w:rFonts w:ascii="Times New Roman" w:hAnsi="Times New Roman" w:cs="Times New Roman"/>
          <w:lang w:val="de-DE"/>
        </w:rPr>
      </w:pPr>
      <w:r>
        <w:rPr>
          <w:rFonts w:ascii="Times New Roman" w:hAnsi="Times New Roman" w:cs="Times New Roman"/>
          <w:lang w:val="de-DE"/>
        </w:rPr>
        <w:t>CSEPREGI, Z.: Die Confessio Pentapolitana: Fragen nach Autorschaft und Datierung. In: KÓNYA, P. (ed.): </w:t>
      </w:r>
      <w:r>
        <w:rPr>
          <w:rFonts w:ascii="Times New Roman" w:hAnsi="Times New Roman" w:cs="Times New Roman"/>
          <w:i/>
          <w:iCs/>
          <w:lang w:val="de-DE"/>
        </w:rPr>
        <w:t>„Nezameniteľné je dedičstvo otcov…" Štúdie k dejinám a súčasnosti protestantizmu v strednej Európe k osemdesiatym narodeninám biskupa Jána Midriaka</w:t>
      </w:r>
      <w:r>
        <w:rPr>
          <w:rFonts w:ascii="Times New Roman" w:hAnsi="Times New Roman" w:cs="Times New Roman"/>
          <w:lang w:val="de-DE"/>
        </w:rPr>
        <w:t>. Acta Collegii Evangelici Prešoviensis X. Prešov: Prešovská univerzita, 2009, pp. 73 – 85.</w:t>
      </w:r>
    </w:p>
    <w:p w14:paraId="4D96BD60" w14:textId="77777777" w:rsidR="00AC7379" w:rsidRPr="0085063F" w:rsidRDefault="00AC7379" w:rsidP="00AC7379">
      <w:pPr>
        <w:spacing w:after="0" w:line="276" w:lineRule="auto"/>
        <w:rPr>
          <w:rFonts w:ascii="Times New Roman" w:hAnsi="Times New Roman" w:cs="Times New Roman"/>
          <w:lang w:val="sk-SK"/>
        </w:rPr>
      </w:pPr>
      <w:r>
        <w:rPr>
          <w:rFonts w:ascii="Times New Roman" w:hAnsi="Times New Roman" w:cs="Times New Roman"/>
          <w:lang w:val="sk-SK"/>
        </w:rPr>
        <w:t xml:space="preserve">DANIEL, D. P.: K problému konfesionalizácie na Slovensku. In: KÓNYA, P. (ed.): </w:t>
      </w:r>
      <w:r>
        <w:rPr>
          <w:rFonts w:ascii="Times New Roman" w:hAnsi="Times New Roman" w:cs="Times New Roman"/>
          <w:i/>
          <w:iCs/>
          <w:lang w:val="sk-SK"/>
        </w:rPr>
        <w:t>Konfesionalizácia na Slovensku v 16. – 18. storočí</w:t>
      </w:r>
      <w:r>
        <w:rPr>
          <w:rFonts w:ascii="Times New Roman" w:hAnsi="Times New Roman" w:cs="Times New Roman"/>
          <w:lang w:val="sk-SK"/>
        </w:rPr>
        <w:t>. Prešov: Vydavateľstvo Prešovskej univerzity, 2010, pp. 9 – 22.</w:t>
      </w:r>
    </w:p>
    <w:p w14:paraId="4D96BD72" w14:textId="77777777" w:rsidR="00AC7379" w:rsidRPr="00F24300" w:rsidRDefault="00AC7379" w:rsidP="00AC7379">
      <w:pPr>
        <w:spacing w:after="0" w:line="276" w:lineRule="auto"/>
        <w:rPr>
          <w:rFonts w:ascii="Times New Roman" w:hAnsi="Times New Roman" w:cs="Times New Roman"/>
          <w:lang w:val="sk-SK"/>
        </w:rPr>
      </w:pPr>
      <w:r w:rsidRPr="00F24300">
        <w:rPr>
          <w:rFonts w:ascii="Times New Roman" w:hAnsi="Times New Roman" w:cs="Times New Roman"/>
          <w:lang w:val="sk-SK"/>
        </w:rPr>
        <w:t>DANIEL, D. P.: Melanchton, Stöckel a teologická orientácia evanjelikov v Uhorsku. In: </w:t>
      </w:r>
      <w:r w:rsidRPr="00F24300">
        <w:rPr>
          <w:rFonts w:ascii="Times New Roman" w:hAnsi="Times New Roman" w:cs="Times New Roman"/>
          <w:i/>
          <w:iCs/>
          <w:lang w:val="sk-SK"/>
        </w:rPr>
        <w:t>Acta Collegii Evangelici Prešoviensis</w:t>
      </w:r>
      <w:r w:rsidRPr="00F24300">
        <w:rPr>
          <w:rFonts w:ascii="Times New Roman" w:hAnsi="Times New Roman" w:cs="Times New Roman"/>
          <w:lang w:val="sk-SK"/>
        </w:rPr>
        <w:t> XI: </w:t>
      </w:r>
      <w:r w:rsidRPr="00F24300">
        <w:rPr>
          <w:rFonts w:ascii="Times New Roman" w:hAnsi="Times New Roman" w:cs="Times New Roman"/>
          <w:i/>
          <w:iCs/>
          <w:lang w:val="sk-SK"/>
        </w:rPr>
        <w:t>Leonard Stöckel a reformácia v strednej Európe</w:t>
      </w:r>
      <w:r w:rsidRPr="00F24300">
        <w:rPr>
          <w:rFonts w:ascii="Times New Roman" w:hAnsi="Times New Roman" w:cs="Times New Roman"/>
          <w:lang w:val="sk-SK"/>
        </w:rPr>
        <w:t>. Prešov: Vydavateľstvo Prešovskej univerzity, 2011, pp. 31 – 36.</w:t>
      </w:r>
    </w:p>
    <w:p w14:paraId="2AEE981B" w14:textId="77777777" w:rsidR="00AC7379" w:rsidRPr="0085063F" w:rsidRDefault="00AC7379" w:rsidP="00AC7379">
      <w:pPr>
        <w:spacing w:after="0" w:line="276" w:lineRule="auto"/>
        <w:rPr>
          <w:rFonts w:ascii="Times New Roman" w:hAnsi="Times New Roman" w:cs="Times New Roman"/>
          <w:lang w:val="de-DE"/>
        </w:rPr>
      </w:pPr>
      <w:r>
        <w:rPr>
          <w:rFonts w:ascii="Times New Roman" w:hAnsi="Times New Roman" w:cs="Times New Roman"/>
        </w:rPr>
        <w:t xml:space="preserve">DAVID, Z. V.: Utraquists, Lutherans, and the Bohemian Confession of 1575. </w:t>
      </w:r>
      <w:r>
        <w:rPr>
          <w:rFonts w:ascii="Times New Roman" w:hAnsi="Times New Roman" w:cs="Times New Roman"/>
          <w:lang w:val="de-DE"/>
        </w:rPr>
        <w:t>In: </w:t>
      </w:r>
      <w:r>
        <w:rPr>
          <w:rFonts w:ascii="Times New Roman" w:hAnsi="Times New Roman" w:cs="Times New Roman"/>
          <w:i/>
          <w:iCs/>
          <w:lang w:val="de-DE"/>
        </w:rPr>
        <w:t>Church History</w:t>
      </w:r>
      <w:r>
        <w:rPr>
          <w:rFonts w:ascii="Times New Roman" w:hAnsi="Times New Roman" w:cs="Times New Roman"/>
          <w:lang w:val="de-DE"/>
        </w:rPr>
        <w:t>, vol. 68, no. 2 (1999), pp. 294 – 337. DOI: 10.2307/3170859.</w:t>
      </w:r>
    </w:p>
    <w:p w14:paraId="1E4E078C"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lang w:val="de-DE"/>
        </w:rPr>
        <w:t>DINGEL, I. (ed.): </w:t>
      </w:r>
      <w:r>
        <w:rPr>
          <w:rFonts w:ascii="Times New Roman" w:hAnsi="Times New Roman" w:cs="Times New Roman"/>
          <w:i/>
          <w:iCs/>
          <w:lang w:val="de-DE"/>
        </w:rPr>
        <w:t xml:space="preserve">Die Bekenntnisschriften der Evangelisch-Lutherischen Kirche [BSELK]. </w:t>
      </w:r>
      <w:r>
        <w:rPr>
          <w:rFonts w:ascii="Times New Roman" w:hAnsi="Times New Roman" w:cs="Times New Roman"/>
          <w:i/>
          <w:iCs/>
        </w:rPr>
        <w:t>Vollständige Neuedition</w:t>
      </w:r>
      <w:r>
        <w:rPr>
          <w:rFonts w:ascii="Times New Roman" w:hAnsi="Times New Roman" w:cs="Times New Roman"/>
        </w:rPr>
        <w:t>. Göttingen: Vandenhoeck &amp; Ruprecht, 2014, 1712 pp. ISBN 978-3-525-52104-5.</w:t>
      </w:r>
    </w:p>
    <w:p w14:paraId="32844121"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GRAHAM, B. F. H.: The Evolution of the Utraquist Mass, 1420 – 1620. In: </w:t>
      </w:r>
      <w:r>
        <w:rPr>
          <w:rFonts w:ascii="Times New Roman" w:hAnsi="Times New Roman" w:cs="Times New Roman"/>
          <w:i/>
          <w:iCs/>
        </w:rPr>
        <w:t>The Catholic Historical Review</w:t>
      </w:r>
      <w:r>
        <w:rPr>
          <w:rFonts w:ascii="Times New Roman" w:hAnsi="Times New Roman" w:cs="Times New Roman"/>
        </w:rPr>
        <w:t>, vol. 92, no. 4 (October 2006), pp. 553 – 573. DOI: 10.1353/cat.2007.0021.</w:t>
      </w:r>
    </w:p>
    <w:p w14:paraId="16C35C78"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GREŠOVÁ-SEKELSKÁ, A.: Príspevok k vzniku a obsahu Cithary sanctorum. In: </w:t>
      </w:r>
      <w:r>
        <w:rPr>
          <w:rFonts w:ascii="Times New Roman" w:hAnsi="Times New Roman" w:cs="Times New Roman"/>
          <w:i/>
          <w:iCs/>
        </w:rPr>
        <w:t>Clavibus unitis</w:t>
      </w:r>
      <w:r>
        <w:rPr>
          <w:rFonts w:ascii="Times New Roman" w:hAnsi="Times New Roman" w:cs="Times New Roman"/>
        </w:rPr>
        <w:t>, vol. 10, no. 4 (2021), pp. 5 – 14.</w:t>
      </w:r>
    </w:p>
    <w:p w14:paraId="5FBF1406"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GREŠOVÁ-SEKELSKÁ, A.: </w:t>
      </w:r>
      <w:r>
        <w:rPr>
          <w:rFonts w:ascii="Times New Roman" w:hAnsi="Times New Roman" w:cs="Times New Roman"/>
          <w:i/>
          <w:iCs/>
        </w:rPr>
        <w:t>Georgius Tranoscius Teschiniensis / Jiří Třanovský (1592–1637): Duchovné piesne zo spevníka Cithara Sanctorum (1636) – výber / Hymns from the Cithara Sanctorum (1636) – Selection</w:t>
      </w:r>
      <w:r>
        <w:rPr>
          <w:rFonts w:ascii="Times New Roman" w:hAnsi="Times New Roman" w:cs="Times New Roman"/>
        </w:rPr>
        <w:t>. Musicalia Istropolitana 4/2. Bratislava: Stimul, 2023.</w:t>
      </w:r>
    </w:p>
    <w:p w14:paraId="40701F5E"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HOLETON, D. R.: The Evolution of Utraquist Liturgy: A Precursor of Western Liturgical Reform. In: </w:t>
      </w:r>
      <w:r>
        <w:rPr>
          <w:rFonts w:ascii="Times New Roman" w:hAnsi="Times New Roman" w:cs="Times New Roman"/>
          <w:i/>
          <w:iCs/>
        </w:rPr>
        <w:t>Religio</w:t>
      </w:r>
      <w:r>
        <w:rPr>
          <w:rFonts w:ascii="Times New Roman" w:hAnsi="Times New Roman" w:cs="Times New Roman"/>
        </w:rPr>
        <w:t>, vol. 1, no. 2 (1993), pp. [155] – 164. ISSN 1210-3640 (print); 2336-4475 (online). Available at: </w:t>
      </w:r>
      <w:hyperlink r:id="rId9" w:history="1">
        <w:r>
          <w:rPr>
            <w:rStyle w:val="Hyperlink"/>
            <w:rFonts w:ascii="Times New Roman" w:hAnsi="Times New Roman" w:cs="Times New Roman"/>
          </w:rPr>
          <w:t>https://hdl.handle.net/11222.digilib/124637</w:t>
        </w:r>
      </w:hyperlink>
      <w:r>
        <w:rPr>
          <w:rFonts w:ascii="Times New Roman" w:hAnsi="Times New Roman" w:cs="Times New Roman"/>
        </w:rPr>
        <w:t>.</w:t>
      </w:r>
    </w:p>
    <w:p w14:paraId="28703649" w14:textId="77777777" w:rsidR="00AC7379" w:rsidRPr="0085063F" w:rsidRDefault="00AC7379" w:rsidP="00AC7379">
      <w:pPr>
        <w:spacing w:after="0" w:line="276" w:lineRule="auto"/>
        <w:rPr>
          <w:rFonts w:ascii="Times New Roman" w:hAnsi="Times New Roman" w:cs="Times New Roman"/>
          <w:lang w:val="pl-PL"/>
        </w:rPr>
      </w:pPr>
      <w:r>
        <w:rPr>
          <w:rFonts w:ascii="Times New Roman" w:hAnsi="Times New Roman" w:cs="Times New Roman"/>
          <w:lang w:val="pl-PL"/>
        </w:rPr>
        <w:t>HREJSA, F.: </w:t>
      </w:r>
      <w:r>
        <w:rPr>
          <w:rFonts w:ascii="Times New Roman" w:hAnsi="Times New Roman" w:cs="Times New Roman"/>
          <w:i/>
          <w:iCs/>
          <w:lang w:val="pl-PL"/>
        </w:rPr>
        <w:t>Česká konfesse, její vznik, podstata a dějiny</w:t>
      </w:r>
      <w:r>
        <w:rPr>
          <w:rFonts w:ascii="Times New Roman" w:hAnsi="Times New Roman" w:cs="Times New Roman"/>
          <w:lang w:val="pl-PL"/>
        </w:rPr>
        <w:t>. Praha: Česká akademie císaře Františka Josefa pro vědy, slovesnost a umění, 1912, 818 pp.</w:t>
      </w:r>
    </w:p>
    <w:p w14:paraId="73DF5FE4"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KOLB, R. (ed.): </w:t>
      </w:r>
      <w:r>
        <w:rPr>
          <w:rFonts w:ascii="Times New Roman" w:hAnsi="Times New Roman" w:cs="Times New Roman"/>
          <w:i/>
          <w:iCs/>
        </w:rPr>
        <w:t>Lutheran Ecclesiastical Culture, 1550 – 1675</w:t>
      </w:r>
      <w:r>
        <w:rPr>
          <w:rFonts w:ascii="Times New Roman" w:hAnsi="Times New Roman" w:cs="Times New Roman"/>
        </w:rPr>
        <w:t>. Brill's Companions to the Christian Tradition 11. Leiden: Brill, 2008.</w:t>
      </w:r>
    </w:p>
    <w:p w14:paraId="5B6E91B5"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KOLB, R. – WENGERT, T. J. (eds.): </w:t>
      </w:r>
      <w:r>
        <w:rPr>
          <w:rFonts w:ascii="Times New Roman" w:hAnsi="Times New Roman" w:cs="Times New Roman"/>
          <w:i/>
          <w:iCs/>
        </w:rPr>
        <w:t>The Book of Concord: The Confessions of the Evangelical Lutheran Church</w:t>
      </w:r>
      <w:r>
        <w:rPr>
          <w:rFonts w:ascii="Times New Roman" w:hAnsi="Times New Roman" w:cs="Times New Roman"/>
        </w:rPr>
        <w:t>. Minneapolis: Fortress Press, 2000.</w:t>
      </w:r>
    </w:p>
    <w:p w14:paraId="3BD8AB8A"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KÓNYA, P. – CSEPREGI, Z. (eds.): </w:t>
      </w:r>
      <w:r>
        <w:rPr>
          <w:rFonts w:ascii="Times New Roman" w:hAnsi="Times New Roman" w:cs="Times New Roman"/>
          <w:i/>
          <w:iCs/>
        </w:rPr>
        <w:t>Tri lutherské vyznania viery z Uhorska / Három lutheri hitvallás Magyarországon / Drei lutherische Glaubensbekenntnisse aus Ungarn</w:t>
      </w:r>
      <w:r>
        <w:rPr>
          <w:rFonts w:ascii="Times New Roman" w:hAnsi="Times New Roman" w:cs="Times New Roman"/>
        </w:rPr>
        <w:t>. Prešov: Vydavateľstvo Prešovskej univerzity, 2013.</w:t>
      </w:r>
    </w:p>
    <w:p w14:paraId="02399E5C" w14:textId="77777777" w:rsidR="00AC7379" w:rsidRPr="0085063F" w:rsidRDefault="00AC7379" w:rsidP="00AC7379">
      <w:pPr>
        <w:spacing w:after="0" w:line="276" w:lineRule="auto"/>
        <w:rPr>
          <w:rFonts w:ascii="Times New Roman" w:hAnsi="Times New Roman" w:cs="Times New Roman"/>
          <w:lang w:val="de-DE"/>
        </w:rPr>
      </w:pPr>
      <w:r>
        <w:rPr>
          <w:rFonts w:ascii="Times New Roman" w:hAnsi="Times New Roman" w:cs="Times New Roman"/>
        </w:rPr>
        <w:t>LUTHER, M.: </w:t>
      </w:r>
      <w:r>
        <w:rPr>
          <w:rFonts w:ascii="Times New Roman" w:hAnsi="Times New Roman" w:cs="Times New Roman"/>
          <w:i/>
          <w:iCs/>
        </w:rPr>
        <w:t>Formula Missae et communionis pro ecclesia Vuittembergensi</w:t>
      </w:r>
      <w:r>
        <w:rPr>
          <w:rFonts w:ascii="Times New Roman" w:hAnsi="Times New Roman" w:cs="Times New Roman"/>
        </w:rPr>
        <w:t xml:space="preserve"> (1523). </w:t>
      </w:r>
      <w:r>
        <w:rPr>
          <w:rFonts w:ascii="Times New Roman" w:hAnsi="Times New Roman" w:cs="Times New Roman"/>
          <w:lang w:val="de-DE"/>
        </w:rPr>
        <w:t>In: </w:t>
      </w:r>
      <w:r>
        <w:rPr>
          <w:rFonts w:ascii="Times New Roman" w:hAnsi="Times New Roman" w:cs="Times New Roman"/>
          <w:i/>
          <w:iCs/>
          <w:lang w:val="de-DE"/>
        </w:rPr>
        <w:t>D. Martin Luthers Werke. Kritische Gesamtausgabe</w:t>
      </w:r>
      <w:r>
        <w:rPr>
          <w:rFonts w:ascii="Times New Roman" w:hAnsi="Times New Roman" w:cs="Times New Roman"/>
          <w:lang w:val="de-DE"/>
        </w:rPr>
        <w:t> [WA], vol. 12. Weimar: Hermann Böhlau, 1891, pp. 205 – 220.</w:t>
      </w:r>
    </w:p>
    <w:p w14:paraId="777CDF00" w14:textId="77777777" w:rsidR="00AC7379" w:rsidRPr="0085063F" w:rsidRDefault="00AC7379" w:rsidP="00AC7379">
      <w:pPr>
        <w:spacing w:after="0" w:line="276" w:lineRule="auto"/>
        <w:rPr>
          <w:rFonts w:ascii="Times New Roman" w:hAnsi="Times New Roman" w:cs="Times New Roman"/>
          <w:lang w:val="de-DE"/>
        </w:rPr>
      </w:pPr>
      <w:r>
        <w:rPr>
          <w:rFonts w:ascii="Times New Roman" w:hAnsi="Times New Roman" w:cs="Times New Roman"/>
          <w:lang w:val="de-DE"/>
        </w:rPr>
        <w:lastRenderedPageBreak/>
        <w:t>MAHLMANN, T.: </w:t>
      </w:r>
      <w:r>
        <w:rPr>
          <w:rFonts w:ascii="Times New Roman" w:hAnsi="Times New Roman" w:cs="Times New Roman"/>
          <w:i/>
          <w:iCs/>
          <w:lang w:val="de-DE"/>
        </w:rPr>
        <w:t>Das neue Dogma der lutherischen Christologie: Problem und Geschichte seiner Begründung</w:t>
      </w:r>
      <w:r>
        <w:rPr>
          <w:rFonts w:ascii="Times New Roman" w:hAnsi="Times New Roman" w:cs="Times New Roman"/>
          <w:lang w:val="de-DE"/>
        </w:rPr>
        <w:t>. Gütersloh: Gütersloher Verlagshaus Gerd Mohn, 1969, 271 pp. (Habilitationsschrift, Marburg).</w:t>
      </w:r>
    </w:p>
    <w:p w14:paraId="0C83E9F5" w14:textId="77777777" w:rsidR="00AC7379" w:rsidRPr="0085063F" w:rsidRDefault="00AC7379" w:rsidP="00AC7379">
      <w:pPr>
        <w:spacing w:after="0" w:line="276" w:lineRule="auto"/>
        <w:rPr>
          <w:rFonts w:ascii="Times New Roman" w:hAnsi="Times New Roman" w:cs="Times New Roman"/>
          <w:lang w:val="de-DE"/>
        </w:rPr>
      </w:pPr>
      <w:r>
        <w:rPr>
          <w:rFonts w:ascii="Times New Roman" w:hAnsi="Times New Roman" w:cs="Times New Roman"/>
          <w:lang w:val="de-DE"/>
        </w:rPr>
        <w:t>PROSPER OF AQUITAINE: </w:t>
      </w:r>
      <w:r>
        <w:rPr>
          <w:rFonts w:ascii="Times New Roman" w:hAnsi="Times New Roman" w:cs="Times New Roman"/>
          <w:i/>
          <w:iCs/>
          <w:lang w:val="de-DE"/>
        </w:rPr>
        <w:t>Praeteritorum Sedis Apostolicae episcoporum auctoritates de gratia Dei</w:t>
      </w:r>
      <w:r>
        <w:rPr>
          <w:rFonts w:ascii="Times New Roman" w:hAnsi="Times New Roman" w:cs="Times New Roman"/>
          <w:lang w:val="de-DE"/>
        </w:rPr>
        <w:t> (also known as the </w:t>
      </w:r>
      <w:r>
        <w:rPr>
          <w:rFonts w:ascii="Times New Roman" w:hAnsi="Times New Roman" w:cs="Times New Roman"/>
          <w:i/>
          <w:iCs/>
          <w:lang w:val="de-DE"/>
        </w:rPr>
        <w:t>Indiculus de gratia Dei</w:t>
      </w:r>
      <w:r>
        <w:rPr>
          <w:rFonts w:ascii="Times New Roman" w:hAnsi="Times New Roman" w:cs="Times New Roman"/>
          <w:lang w:val="de-DE"/>
        </w:rPr>
        <w:t> or the </w:t>
      </w:r>
      <w:r>
        <w:rPr>
          <w:rFonts w:ascii="Times New Roman" w:hAnsi="Times New Roman" w:cs="Times New Roman"/>
          <w:i/>
          <w:iCs/>
          <w:lang w:val="de-DE"/>
        </w:rPr>
        <w:t>Capitula pseudo-Caelestini</w:t>
      </w:r>
      <w:r>
        <w:rPr>
          <w:rFonts w:ascii="Times New Roman" w:hAnsi="Times New Roman" w:cs="Times New Roman"/>
          <w:lang w:val="de-DE"/>
        </w:rPr>
        <w:t>), c. 8 (5th century). Standard edition in </w:t>
      </w:r>
      <w:r>
        <w:rPr>
          <w:rFonts w:ascii="Times New Roman" w:hAnsi="Times New Roman" w:cs="Times New Roman"/>
          <w:i/>
          <w:iCs/>
          <w:lang w:val="de-DE"/>
        </w:rPr>
        <w:t>Patrologia Latina</w:t>
      </w:r>
      <w:r>
        <w:rPr>
          <w:rFonts w:ascii="Times New Roman" w:hAnsi="Times New Roman" w:cs="Times New Roman"/>
          <w:lang w:val="de-DE"/>
        </w:rPr>
        <w:t>, vol. 51, col. 209.</w:t>
      </w:r>
    </w:p>
    <w:p w14:paraId="3BB31639" w14:textId="77777777" w:rsidR="00AC7379" w:rsidRPr="0085063F" w:rsidRDefault="00AC7379" w:rsidP="00AC7379">
      <w:pPr>
        <w:spacing w:after="0" w:line="276" w:lineRule="auto"/>
        <w:rPr>
          <w:rFonts w:ascii="Times New Roman" w:hAnsi="Times New Roman" w:cs="Times New Roman"/>
          <w:lang w:val="de-DE"/>
        </w:rPr>
      </w:pPr>
      <w:r>
        <w:rPr>
          <w:rFonts w:ascii="Times New Roman" w:hAnsi="Times New Roman" w:cs="Times New Roman"/>
          <w:lang w:val="de-DE"/>
        </w:rPr>
        <w:t>REINHARD, W.: Zwang zur Konfessionalisierung? Prolegomena zu einer Theorie des konfessionellen Zeitalters. In: </w:t>
      </w:r>
      <w:r>
        <w:rPr>
          <w:rFonts w:ascii="Times New Roman" w:hAnsi="Times New Roman" w:cs="Times New Roman"/>
          <w:i/>
          <w:iCs/>
          <w:lang w:val="de-DE"/>
        </w:rPr>
        <w:t>Zeitschrift für Historische Forschung</w:t>
      </w:r>
      <w:r>
        <w:rPr>
          <w:rFonts w:ascii="Times New Roman" w:hAnsi="Times New Roman" w:cs="Times New Roman"/>
          <w:lang w:val="de-DE"/>
        </w:rPr>
        <w:t>, vol. 10 (1983), pp. 257 – 277.</w:t>
      </w:r>
    </w:p>
    <w:p w14:paraId="606867B7" w14:textId="77777777" w:rsidR="00AC7379" w:rsidRPr="0085063F" w:rsidRDefault="00AC7379" w:rsidP="00AC7379">
      <w:pPr>
        <w:spacing w:after="0" w:line="276" w:lineRule="auto"/>
        <w:rPr>
          <w:rFonts w:ascii="Times New Roman" w:hAnsi="Times New Roman" w:cs="Times New Roman"/>
          <w:lang w:val="de-DE"/>
        </w:rPr>
      </w:pPr>
      <w:r>
        <w:rPr>
          <w:rFonts w:ascii="Times New Roman" w:hAnsi="Times New Roman" w:cs="Times New Roman"/>
          <w:lang w:val="de-DE"/>
        </w:rPr>
        <w:t>SCHILLING, H.: Die Konfessionalisierung im Reich: Religiöser und gesellschaftlicher Wandel in Deutschland zwischen 1555 und 1620. In: </w:t>
      </w:r>
      <w:r>
        <w:rPr>
          <w:rFonts w:ascii="Times New Roman" w:hAnsi="Times New Roman" w:cs="Times New Roman"/>
          <w:i/>
          <w:iCs/>
          <w:lang w:val="de-DE"/>
        </w:rPr>
        <w:t>Historische Zeitschrift</w:t>
      </w:r>
      <w:r>
        <w:rPr>
          <w:rFonts w:ascii="Times New Roman" w:hAnsi="Times New Roman" w:cs="Times New Roman"/>
          <w:lang w:val="de-DE"/>
        </w:rPr>
        <w:t>, vol. 246 (1988), pp. 1 – 45.</w:t>
      </w:r>
    </w:p>
    <w:p w14:paraId="205FBD9C"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lang w:val="de-DE"/>
        </w:rPr>
        <w:t>SCHOEN, C. M.: </w:t>
      </w:r>
      <w:r>
        <w:rPr>
          <w:rFonts w:ascii="Times New Roman" w:hAnsi="Times New Roman" w:cs="Times New Roman"/>
          <w:i/>
          <w:iCs/>
          <w:lang w:val="de-DE"/>
        </w:rPr>
        <w:t>Der böhmische Utraquismus als Konfession im 16. Jahrhundert</w:t>
      </w:r>
      <w:r>
        <w:rPr>
          <w:rFonts w:ascii="Times New Roman" w:hAnsi="Times New Roman" w:cs="Times New Roman"/>
          <w:lang w:val="de-DE"/>
        </w:rPr>
        <w:t xml:space="preserve">. Quellen und Forschungen zur Reformationsgeschichte 100. </w:t>
      </w:r>
      <w:r>
        <w:rPr>
          <w:rFonts w:ascii="Times New Roman" w:hAnsi="Times New Roman" w:cs="Times New Roman"/>
        </w:rPr>
        <w:t>Gütersloh: Gütersloher Verlagshaus, 2022, 456 pp. ISBN 978-3-579-05983-9.</w:t>
      </w:r>
    </w:p>
    <w:p w14:paraId="13F9D341"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SENN, F. C.: </w:t>
      </w:r>
      <w:r>
        <w:rPr>
          <w:rFonts w:ascii="Times New Roman" w:hAnsi="Times New Roman" w:cs="Times New Roman"/>
          <w:i/>
          <w:iCs/>
        </w:rPr>
        <w:t>Christian Liturgy: Catholic and Evangelical</w:t>
      </w:r>
      <w:r>
        <w:rPr>
          <w:rFonts w:ascii="Times New Roman" w:hAnsi="Times New Roman" w:cs="Times New Roman"/>
        </w:rPr>
        <w:t>. Minneapolis: Fortress Press, 1997, 770 pp. ISBN 978-0-8006-2726-3.</w:t>
      </w:r>
    </w:p>
    <w:p w14:paraId="722A2653"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SPINKS, B. D.: </w:t>
      </w:r>
      <w:r>
        <w:rPr>
          <w:rFonts w:ascii="Times New Roman" w:hAnsi="Times New Roman" w:cs="Times New Roman"/>
          <w:i/>
          <w:iCs/>
        </w:rPr>
        <w:t>Luther's Liturgical Criteria and His Reform of the Canon of the Mass</w:t>
      </w:r>
      <w:r>
        <w:rPr>
          <w:rFonts w:ascii="Times New Roman" w:hAnsi="Times New Roman" w:cs="Times New Roman"/>
        </w:rPr>
        <w:t>. Grove Liturgical Studies 30. Bramcote, Notts.: Grove Books, 1982, 40 pp. ISBN 0-907536-24-7.</w:t>
      </w:r>
    </w:p>
    <w:p w14:paraId="560D2374"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VAJDA, J.: </w:t>
      </w:r>
      <w:r>
        <w:rPr>
          <w:rFonts w:ascii="Times New Roman" w:hAnsi="Times New Roman" w:cs="Times New Roman"/>
          <w:i/>
          <w:iCs/>
        </w:rPr>
        <w:t>A History of the Cithara Sanctorum</w:t>
      </w:r>
      <w:r>
        <w:rPr>
          <w:rFonts w:ascii="Times New Roman" w:hAnsi="Times New Roman" w:cs="Times New Roman"/>
        </w:rPr>
        <w:t>. B.Div. thesis, Concordia Seminary, St. Louis, Missouri, 1944. Open access at </w:t>
      </w:r>
      <w:hyperlink r:id="rId10" w:history="1">
        <w:r>
          <w:rPr>
            <w:rStyle w:val="Hyperlink"/>
            <w:rFonts w:ascii="Times New Roman" w:hAnsi="Times New Roman" w:cs="Times New Roman"/>
          </w:rPr>
          <w:t>https://scholar.csl.edu/bdiv/110/</w:t>
        </w:r>
      </w:hyperlink>
      <w:r>
        <w:rPr>
          <w:rFonts w:ascii="Times New Roman" w:hAnsi="Times New Roman" w:cs="Times New Roman"/>
        </w:rPr>
        <w:t>.</w:t>
      </w:r>
    </w:p>
    <w:p w14:paraId="51160928"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VALČO, M.: Chemnitz's Eucharistic Christology as an Impulse for Ecumenical Dialogue between East and West. In: </w:t>
      </w:r>
      <w:r>
        <w:rPr>
          <w:rFonts w:ascii="Times New Roman" w:hAnsi="Times New Roman" w:cs="Times New Roman"/>
          <w:i/>
          <w:iCs/>
        </w:rPr>
        <w:t>Konštantínove listy</w:t>
      </w:r>
      <w:r>
        <w:rPr>
          <w:rFonts w:ascii="Times New Roman" w:hAnsi="Times New Roman" w:cs="Times New Roman"/>
        </w:rPr>
        <w:t>, vol. 10, no. 2 (2017), pp. 141 – 150. DOI: 10.17846/CL.2017.10.2.141-150.</w:t>
      </w:r>
    </w:p>
    <w:p w14:paraId="556A3293" w14:textId="77777777" w:rsidR="00AC7379" w:rsidRPr="00AC7379" w:rsidRDefault="00AC7379" w:rsidP="00AC7379">
      <w:pPr>
        <w:spacing w:after="0" w:line="276" w:lineRule="auto"/>
        <w:rPr>
          <w:rFonts w:ascii="Times New Roman" w:hAnsi="Times New Roman" w:cs="Times New Roman"/>
        </w:rPr>
      </w:pPr>
      <w:r>
        <w:rPr>
          <w:rFonts w:ascii="Times New Roman" w:hAnsi="Times New Roman" w:cs="Times New Roman"/>
        </w:rPr>
        <w:t>VALČO, M.: </w:t>
      </w:r>
      <w:r>
        <w:rPr>
          <w:rFonts w:ascii="Times New Roman" w:hAnsi="Times New Roman" w:cs="Times New Roman"/>
          <w:i/>
          <w:iCs/>
        </w:rPr>
        <w:t>TEPALIT Digital Companion: Theological Taxonomy and Hymn-Pair Dossier for the Lutheranisation Thesis</w:t>
      </w:r>
      <w:r>
        <w:rPr>
          <w:rFonts w:ascii="Times New Roman" w:hAnsi="Times New Roman" w:cs="Times New Roman"/>
        </w:rPr>
        <w:t>. Concept DOI: 10.5281/zenodo.20081435. Bratislava, 2026. CC BY 4.0.</w:t>
      </w:r>
    </w:p>
    <w:p w14:paraId="424D5581" w14:textId="77777777" w:rsidR="00015F25" w:rsidRPr="00BA0C6D" w:rsidRDefault="00015F25" w:rsidP="002B5C09">
      <w:pPr>
        <w:spacing w:after="0" w:line="276" w:lineRule="auto"/>
        <w:rPr>
          <w:rFonts w:ascii="Times New Roman" w:hAnsi="Times New Roman" w:cs="Times New Roman"/>
        </w:rPr>
      </w:pPr>
    </w:p>
    <w:sectPr w:rsidR="00015F25" w:rsidRPr="00BA0C6D" w:rsidSect="00F94CC6">
      <w:pgSz w:w="11906" w:h="16838" w:code="9"/>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D7080" w14:textId="77777777" w:rsidR="005D1F49" w:rsidRDefault="005D1F49" w:rsidP="0059797D">
      <w:pPr>
        <w:spacing w:after="0" w:line="240" w:lineRule="auto"/>
      </w:pPr>
      <w:r>
        <w:separator/>
      </w:r>
    </w:p>
  </w:endnote>
  <w:endnote w:type="continuationSeparator" w:id="0">
    <w:p w14:paraId="4518BA85" w14:textId="77777777" w:rsidR="005D1F49" w:rsidRDefault="005D1F49" w:rsidP="00597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AB31" w14:textId="77777777" w:rsidR="005D1F49" w:rsidRDefault="005D1F49" w:rsidP="0059797D">
      <w:pPr>
        <w:spacing w:after="0" w:line="240" w:lineRule="auto"/>
      </w:pPr>
      <w:r>
        <w:separator/>
      </w:r>
    </w:p>
  </w:footnote>
  <w:footnote w:type="continuationSeparator" w:id="0">
    <w:p w14:paraId="070ACB5A" w14:textId="77777777" w:rsidR="005D1F49" w:rsidRDefault="005D1F49" w:rsidP="0059797D">
      <w:pPr>
        <w:spacing w:after="0" w:line="240" w:lineRule="auto"/>
      </w:pPr>
      <w:r>
        <w:continuationSeparator/>
      </w:r>
    </w:p>
  </w:footnote>
  <w:footnote w:id="1">
    <w:p w14:paraId="1F673D75" w14:textId="0BF98A29" w:rsidR="0059797D" w:rsidRPr="00FD215D" w:rsidRDefault="0059797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This work was supported by the Slovak Research and Development Agency under the Contract no. APVV-24-0484.</w:t>
      </w:r>
    </w:p>
  </w:footnote>
  <w:footnote w:id="2">
    <w:p w14:paraId="5DFADEFF" w14:textId="016C041F" w:rsidR="00A34DFD" w:rsidRPr="00FD215D" w:rsidRDefault="00A34DF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5C4DAE" w:rsidRPr="00FD215D">
        <w:rPr>
          <w:rFonts w:ascii="Times New Roman" w:hAnsi="Times New Roman" w:cs="Times New Roman"/>
          <w:lang w:val="en-GB"/>
        </w:rPr>
        <w:t>For the canonical articulation of the Lutheranisation thesis in English-language scholarship, see VAJDA, J.: </w:t>
      </w:r>
      <w:r w:rsidR="005C4DAE" w:rsidRPr="00FD215D">
        <w:rPr>
          <w:rFonts w:ascii="Times New Roman" w:hAnsi="Times New Roman" w:cs="Times New Roman"/>
          <w:i/>
          <w:iCs/>
          <w:lang w:val="en-GB"/>
        </w:rPr>
        <w:t>A History of the Cithara Sanctorum</w:t>
      </w:r>
      <w:r w:rsidR="005C4DAE" w:rsidRPr="00FD215D">
        <w:rPr>
          <w:rFonts w:ascii="Times New Roman" w:hAnsi="Times New Roman" w:cs="Times New Roman"/>
          <w:lang w:val="en-GB"/>
        </w:rPr>
        <w:t>. B.Div. thesis, Concordia Seminary, St. Louis, Missouri, 1944. Vajda traces Tranovský</w:t>
      </w:r>
      <w:r w:rsidR="00FD1986" w:rsidRPr="00FD215D">
        <w:rPr>
          <w:rFonts w:ascii="Times New Roman" w:hAnsi="Times New Roman" w:cs="Times New Roman"/>
          <w:lang w:val="en-GB"/>
        </w:rPr>
        <w:t>’</w:t>
      </w:r>
      <w:r w:rsidR="005C4DAE" w:rsidRPr="00FD215D">
        <w:rPr>
          <w:rFonts w:ascii="Times New Roman" w:hAnsi="Times New Roman" w:cs="Times New Roman"/>
          <w:lang w:val="en-GB"/>
        </w:rPr>
        <w:t>s editorial filtering from a confessionally heterogeneous Czech-Reformation hymnodic inheritance to a confessionally Lutheran Slovak corpus. The thesis has been refined but not displaced. </w:t>
      </w:r>
    </w:p>
  </w:footnote>
  <w:footnote w:id="3">
    <w:p w14:paraId="68D90D14" w14:textId="534DD89F" w:rsidR="005C4DAE" w:rsidRPr="00FD215D" w:rsidRDefault="005C4DAE">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F930E5" w:rsidRPr="00FD215D">
        <w:rPr>
          <w:rFonts w:ascii="Times New Roman" w:hAnsi="Times New Roman" w:cs="Times New Roman"/>
          <w:lang w:val="en-GB"/>
        </w:rPr>
        <w:t>GREŠOVÁ-SEKELSKÁ, A.: Príspevok k vzniku a obsahu Cithary sanctorum. In: </w:t>
      </w:r>
      <w:r w:rsidR="00F930E5" w:rsidRPr="00FD215D">
        <w:rPr>
          <w:rFonts w:ascii="Times New Roman" w:hAnsi="Times New Roman" w:cs="Times New Roman"/>
          <w:i/>
          <w:iCs/>
          <w:lang w:val="en-GB"/>
        </w:rPr>
        <w:t>Clavibus unitis</w:t>
      </w:r>
      <w:r w:rsidR="00F930E5" w:rsidRPr="00FD215D">
        <w:rPr>
          <w:rFonts w:ascii="Times New Roman" w:hAnsi="Times New Roman" w:cs="Times New Roman"/>
          <w:lang w:val="en-GB"/>
        </w:rPr>
        <w:t>, vol. 10, no. 4 (2021), pp. 5 – 14, here p. 6.</w:t>
      </w:r>
    </w:p>
  </w:footnote>
  <w:footnote w:id="4">
    <w:p w14:paraId="0BD94818" w14:textId="54A2B89C" w:rsidR="00F930E5" w:rsidRPr="00FD215D" w:rsidRDefault="00F930E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E0208D" w:rsidRPr="00FD215D">
        <w:rPr>
          <w:rFonts w:ascii="Times New Roman" w:hAnsi="Times New Roman" w:cs="Times New Roman"/>
          <w:lang w:val="en-GB"/>
        </w:rPr>
        <w:t>GREŠOVÁ-SEKELSKÁ, A.: </w:t>
      </w:r>
      <w:r w:rsidR="00E0208D" w:rsidRPr="00FD215D">
        <w:rPr>
          <w:rFonts w:ascii="Times New Roman" w:hAnsi="Times New Roman" w:cs="Times New Roman"/>
          <w:i/>
          <w:iCs/>
          <w:lang w:val="en-GB"/>
        </w:rPr>
        <w:t>Georgius Tranoscius Teschiniensis / Jiří Třanovský (1592–1637): Hymns from the Cithara Sanctorum (1636) – Selection</w:t>
      </w:r>
      <w:r w:rsidR="00E0208D" w:rsidRPr="00FD215D">
        <w:rPr>
          <w:rFonts w:ascii="Times New Roman" w:hAnsi="Times New Roman" w:cs="Times New Roman"/>
          <w:lang w:val="en-GB"/>
        </w:rPr>
        <w:t>. Musicalia Istropolitana 4/2. Bratislava: Stimul, 2023, in the introductory study. The differential strategy is discussed at greater length in Grešová-Sekelská 2021 (above, n. 3).</w:t>
      </w:r>
    </w:p>
  </w:footnote>
  <w:footnote w:id="5">
    <w:p w14:paraId="171CB14C" w14:textId="7B24E2BC" w:rsidR="00E0208D" w:rsidRPr="00FD215D" w:rsidRDefault="00E0208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711DA" w:rsidRPr="00FD215D">
        <w:rPr>
          <w:rFonts w:ascii="Times New Roman" w:hAnsi="Times New Roman" w:cs="Times New Roman"/>
          <w:lang w:val="pt-PT"/>
        </w:rPr>
        <w:t>BENKA, P. (ed.): </w:t>
      </w:r>
      <w:r w:rsidR="004711DA" w:rsidRPr="00FD215D">
        <w:rPr>
          <w:rFonts w:ascii="Times New Roman" w:hAnsi="Times New Roman" w:cs="Times New Roman"/>
          <w:i/>
          <w:iCs/>
          <w:lang w:val="pt-PT"/>
        </w:rPr>
        <w:t>Agenda Neosoliensia: Agenda Czeská 1581 a Bystrická agenda 1585</w:t>
      </w:r>
      <w:r w:rsidR="004711DA" w:rsidRPr="00FD215D">
        <w:rPr>
          <w:rFonts w:ascii="Times New Roman" w:hAnsi="Times New Roman" w:cs="Times New Roman"/>
          <w:lang w:val="pt-PT"/>
        </w:rPr>
        <w:t xml:space="preserve">. Monumenta Linguae Slovacae X. Documenta Theologico-Religionistica, Tomus 2. Bratislava: Univerzita Komenského, 2024, 388 pp. </w:t>
      </w:r>
      <w:r w:rsidR="004711DA" w:rsidRPr="00FD215D">
        <w:rPr>
          <w:rFonts w:ascii="Times New Roman" w:hAnsi="Times New Roman" w:cs="Times New Roman"/>
          <w:lang w:val="en-GB"/>
        </w:rPr>
        <w:t>ISBN 978-80-223-5971-9 (print); 978-80-223-6072-2 (online). The edition is freely available under a CC BY-SA 4.0 licence.</w:t>
      </w:r>
    </w:p>
  </w:footnote>
  <w:footnote w:id="6">
    <w:p w14:paraId="4455435F" w14:textId="59E21C02" w:rsidR="004711DA" w:rsidRPr="00FD215D" w:rsidRDefault="004711DA">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263422" w:rsidRPr="00FD215D">
        <w:rPr>
          <w:rFonts w:ascii="Times New Roman" w:hAnsi="Times New Roman" w:cs="Times New Roman"/>
          <w:lang w:val="pt-PT"/>
        </w:rPr>
        <w:t>BENKA, P. (ed.): </w:t>
      </w:r>
      <w:r w:rsidR="00263422" w:rsidRPr="00FD215D">
        <w:rPr>
          <w:rFonts w:ascii="Times New Roman" w:hAnsi="Times New Roman" w:cs="Times New Roman"/>
          <w:i/>
          <w:iCs/>
          <w:lang w:val="pt-PT"/>
        </w:rPr>
        <w:t>Agenda Neosoliensia: Agenda Czeská 1581 a Bystrická agenda 1585</w:t>
      </w:r>
      <w:r w:rsidR="00263422" w:rsidRPr="00FD215D">
        <w:rPr>
          <w:rFonts w:ascii="Times New Roman" w:hAnsi="Times New Roman" w:cs="Times New Roman"/>
          <w:lang w:val="pt-PT"/>
        </w:rPr>
        <w:t xml:space="preserve">. Monumenta Linguae Slovacae X. Documenta Theologico-Religionistica, Tomus 2. Bratislava: Univerzita Komenského, 2024, pp. 78 – 79. </w:t>
      </w:r>
      <w:r w:rsidR="00263422" w:rsidRPr="00FD215D">
        <w:rPr>
          <w:rFonts w:ascii="Times New Roman" w:hAnsi="Times New Roman" w:cs="Times New Roman"/>
          <w:lang w:val="en-GB"/>
        </w:rPr>
        <w:t>The verbatim quotations from both witnesses, with Benka</w:t>
      </w:r>
      <w:r w:rsidR="00FD1986" w:rsidRPr="00FD215D">
        <w:rPr>
          <w:rFonts w:ascii="Times New Roman" w:hAnsi="Times New Roman" w:cs="Times New Roman"/>
          <w:lang w:val="en-GB"/>
        </w:rPr>
        <w:t>’</w:t>
      </w:r>
      <w:r w:rsidR="00263422" w:rsidRPr="00FD215D">
        <w:rPr>
          <w:rFonts w:ascii="Times New Roman" w:hAnsi="Times New Roman" w:cs="Times New Roman"/>
          <w:lang w:val="en-GB"/>
        </w:rPr>
        <w:t>s analytical observations, will be examined in detail in §§3–4 below.</w:t>
      </w:r>
    </w:p>
  </w:footnote>
  <w:footnote w:id="7">
    <w:p w14:paraId="27F82A0C" w14:textId="49581416" w:rsidR="00263422" w:rsidRPr="00FD215D" w:rsidRDefault="0026342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211A35" w:rsidRPr="00FD215D">
        <w:rPr>
          <w:rFonts w:ascii="Times New Roman" w:hAnsi="Times New Roman" w:cs="Times New Roman"/>
          <w:lang w:val="pt-PT"/>
        </w:rPr>
        <w:t>BENKA, P. (ed.): </w:t>
      </w:r>
      <w:r w:rsidR="00211A35" w:rsidRPr="00FD215D">
        <w:rPr>
          <w:rFonts w:ascii="Times New Roman" w:hAnsi="Times New Roman" w:cs="Times New Roman"/>
          <w:i/>
          <w:iCs/>
          <w:lang w:val="pt-PT"/>
        </w:rPr>
        <w:t>Agenda Neosoliensia: Agenda Czeská 1581 a Bystrická agenda 1585</w:t>
      </w:r>
      <w:r w:rsidR="00211A35" w:rsidRPr="00FD215D">
        <w:rPr>
          <w:rFonts w:ascii="Times New Roman" w:hAnsi="Times New Roman" w:cs="Times New Roman"/>
          <w:lang w:val="pt-PT"/>
        </w:rPr>
        <w:t xml:space="preserve">. </w:t>
      </w:r>
      <w:r w:rsidR="00211A35" w:rsidRPr="00FD215D">
        <w:rPr>
          <w:rFonts w:ascii="Times New Roman" w:hAnsi="Times New Roman" w:cs="Times New Roman"/>
          <w:lang w:val="en-GB"/>
        </w:rPr>
        <w:t>Monumenta Linguae Slovacae X. Documenta Theologico-Religionistica, Tomus 2. Bratislava: Univerzita Komenského, 2024, pp. 10 – 90 (Benka</w:t>
      </w:r>
      <w:r w:rsidR="00FD1986" w:rsidRPr="00FD215D">
        <w:rPr>
          <w:rFonts w:ascii="Times New Roman" w:hAnsi="Times New Roman" w:cs="Times New Roman"/>
          <w:lang w:val="en-GB"/>
        </w:rPr>
        <w:t>’</w:t>
      </w:r>
      <w:r w:rsidR="00211A35" w:rsidRPr="00FD215D">
        <w:rPr>
          <w:rFonts w:ascii="Times New Roman" w:hAnsi="Times New Roman" w:cs="Times New Roman"/>
          <w:lang w:val="en-GB"/>
        </w:rPr>
        <w:t>s historical introduction); the editorial reconstruction of the codex is described in detail at pp. 104 – 106. </w:t>
      </w:r>
    </w:p>
  </w:footnote>
  <w:footnote w:id="8">
    <w:p w14:paraId="7433F70E" w14:textId="27EF23B8" w:rsidR="00211A35" w:rsidRPr="00FD215D" w:rsidRDefault="00211A3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733382" w:rsidRPr="00FD215D">
        <w:rPr>
          <w:rFonts w:ascii="Times New Roman" w:hAnsi="Times New Roman" w:cs="Times New Roman"/>
          <w:lang w:val="pt-PT"/>
        </w:rPr>
        <w:t>BENKA, P. (ed.): </w:t>
      </w:r>
      <w:r w:rsidR="00733382" w:rsidRPr="00FD215D">
        <w:rPr>
          <w:rFonts w:ascii="Times New Roman" w:hAnsi="Times New Roman" w:cs="Times New Roman"/>
          <w:i/>
          <w:iCs/>
          <w:lang w:val="pt-PT"/>
        </w:rPr>
        <w:t>Agenda Neosoliensia: Agenda Czeská 1581 a Bystrická agenda 1585</w:t>
      </w:r>
      <w:r w:rsidR="00733382" w:rsidRPr="00FD215D">
        <w:rPr>
          <w:rFonts w:ascii="Times New Roman" w:hAnsi="Times New Roman" w:cs="Times New Roman"/>
          <w:lang w:val="pt-PT"/>
        </w:rPr>
        <w:t xml:space="preserve">. </w:t>
      </w:r>
      <w:r w:rsidR="00733382" w:rsidRPr="00FD215D">
        <w:rPr>
          <w:rFonts w:ascii="Times New Roman" w:hAnsi="Times New Roman" w:cs="Times New Roman"/>
          <w:lang w:val="en-GB"/>
        </w:rPr>
        <w:t>Monumenta Linguae Slovacae X. Documenta Theologico-Religionistica, Tomus 2. Bratislava: Univerzita Komenského, 2024, pp. 14 – 17, where Benka summarises the </w:t>
      </w:r>
      <w:r w:rsidR="00733382" w:rsidRPr="00FD215D">
        <w:rPr>
          <w:rFonts w:ascii="Times New Roman" w:hAnsi="Times New Roman" w:cs="Times New Roman"/>
          <w:i/>
          <w:iCs/>
          <w:lang w:val="en-GB"/>
        </w:rPr>
        <w:t>Agenda Česká</w:t>
      </w:r>
      <w:r w:rsidR="00FD1986" w:rsidRPr="00FD215D">
        <w:rPr>
          <w:rFonts w:ascii="Times New Roman" w:hAnsi="Times New Roman" w:cs="Times New Roman"/>
          <w:lang w:val="en-GB"/>
        </w:rPr>
        <w:t>’</w:t>
      </w:r>
      <w:r w:rsidR="00733382" w:rsidRPr="00FD215D">
        <w:rPr>
          <w:rFonts w:ascii="Times New Roman" w:hAnsi="Times New Roman" w:cs="Times New Roman"/>
          <w:lang w:val="en-GB"/>
        </w:rPr>
        <w:t xml:space="preserve">s preface (the preface itself is reproduced at pp. 108 – 112 of the edition). The Czech-language formulation Benka highlights is </w:t>
      </w:r>
      <w:r w:rsidR="00FD1986" w:rsidRPr="00FD215D">
        <w:rPr>
          <w:rFonts w:ascii="Times New Roman" w:hAnsi="Times New Roman" w:cs="Times New Roman"/>
          <w:lang w:val="en-GB"/>
        </w:rPr>
        <w:t>“</w:t>
      </w:r>
      <w:r w:rsidR="00733382" w:rsidRPr="00FD215D">
        <w:rPr>
          <w:rFonts w:ascii="Times New Roman" w:hAnsi="Times New Roman" w:cs="Times New Roman"/>
          <w:lang w:val="en-GB"/>
        </w:rPr>
        <w:t>ani naymenssijho Artykule</w:t>
      </w:r>
      <w:r w:rsidR="00FD1986" w:rsidRPr="00FD215D">
        <w:rPr>
          <w:rFonts w:ascii="Times New Roman" w:hAnsi="Times New Roman" w:cs="Times New Roman"/>
          <w:lang w:val="en-GB"/>
        </w:rPr>
        <w:t>”</w:t>
      </w:r>
      <w:r w:rsidR="00733382" w:rsidRPr="00FD215D">
        <w:rPr>
          <w:rFonts w:ascii="Times New Roman" w:hAnsi="Times New Roman" w:cs="Times New Roman"/>
          <w:lang w:val="en-GB"/>
        </w:rPr>
        <w:t xml:space="preserve"> (p. 15 of the introductory study).</w:t>
      </w:r>
    </w:p>
  </w:footnote>
  <w:footnote w:id="9">
    <w:p w14:paraId="1D0E7793" w14:textId="1A79DCF1" w:rsidR="00733382" w:rsidRPr="00FD215D" w:rsidRDefault="0073338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C126D" w:rsidRPr="00FD215D">
        <w:rPr>
          <w:rFonts w:ascii="Times New Roman" w:hAnsi="Times New Roman" w:cs="Times New Roman"/>
          <w:lang w:val="pt-PT"/>
        </w:rPr>
        <w:t>BENKA, P. (ed.): </w:t>
      </w:r>
      <w:r w:rsidR="00AC126D" w:rsidRPr="00FD215D">
        <w:rPr>
          <w:rFonts w:ascii="Times New Roman" w:hAnsi="Times New Roman" w:cs="Times New Roman"/>
          <w:i/>
          <w:iCs/>
          <w:lang w:val="pt-PT"/>
        </w:rPr>
        <w:t>Agenda Neosoliensia</w:t>
      </w:r>
      <w:r w:rsidR="00AC126D" w:rsidRPr="00FD215D">
        <w:rPr>
          <w:rFonts w:ascii="Times New Roman" w:hAnsi="Times New Roman" w:cs="Times New Roman"/>
          <w:lang w:val="pt-PT"/>
        </w:rPr>
        <w:t xml:space="preserve">. </w:t>
      </w:r>
      <w:r w:rsidR="00AC126D" w:rsidRPr="00FD215D">
        <w:rPr>
          <w:rFonts w:ascii="Times New Roman" w:hAnsi="Times New Roman" w:cs="Times New Roman"/>
          <w:lang w:val="en-GB"/>
        </w:rPr>
        <w:t>Monumenta Linguae Slovacae X. Bratislava: Univerzita Komenského, 2024, pp. 265 – 368, where the edition prints the </w:t>
      </w:r>
      <w:r w:rsidR="00AC126D" w:rsidRPr="00FD215D">
        <w:rPr>
          <w:rFonts w:ascii="Times New Roman" w:hAnsi="Times New Roman" w:cs="Times New Roman"/>
          <w:i/>
          <w:iCs/>
          <w:lang w:val="en-GB"/>
        </w:rPr>
        <w:t>Bystrická agenda</w:t>
      </w:r>
      <w:r w:rsidR="00AC126D" w:rsidRPr="00FD215D">
        <w:rPr>
          <w:rFonts w:ascii="Times New Roman" w:hAnsi="Times New Roman" w:cs="Times New Roman"/>
          <w:lang w:val="en-GB"/>
        </w:rPr>
        <w:t> in full. The structural layout — confession and Eucharistic preparation (pp. 265 – 302), marriage with a </w:t>
      </w:r>
      <w:r w:rsidR="00AC126D" w:rsidRPr="00FD215D">
        <w:rPr>
          <w:rFonts w:ascii="Times New Roman" w:hAnsi="Times New Roman" w:cs="Times New Roman"/>
          <w:i/>
          <w:iCs/>
          <w:lang w:val="en-GB"/>
        </w:rPr>
        <w:t>Haustafel</w:t>
      </w:r>
      <w:r w:rsidR="00AC126D" w:rsidRPr="00FD215D">
        <w:rPr>
          <w:rFonts w:ascii="Times New Roman" w:hAnsi="Times New Roman" w:cs="Times New Roman"/>
          <w:lang w:val="en-GB"/>
        </w:rPr>
        <w:t>-influenced moral exhortation (pp. 302 – 340), funeral hymns (pp. 340 – 368) — is summarised at p. 105. </w:t>
      </w:r>
    </w:p>
  </w:footnote>
  <w:footnote w:id="10">
    <w:p w14:paraId="2DF5C194" w14:textId="2A144831" w:rsidR="00AC126D" w:rsidRPr="00FD215D" w:rsidRDefault="00AC126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6046F5" w:rsidRPr="00FD215D">
        <w:rPr>
          <w:rFonts w:ascii="Times New Roman" w:hAnsi="Times New Roman" w:cs="Times New Roman"/>
          <w:lang w:val="pt-PT"/>
        </w:rPr>
        <w:t>BENKA, P. (ed.): </w:t>
      </w:r>
      <w:r w:rsidR="006046F5" w:rsidRPr="00FD215D">
        <w:rPr>
          <w:rFonts w:ascii="Times New Roman" w:hAnsi="Times New Roman" w:cs="Times New Roman"/>
          <w:i/>
          <w:iCs/>
          <w:lang w:val="pt-PT"/>
        </w:rPr>
        <w:t>Agenda Neosoliensia</w:t>
      </w:r>
      <w:r w:rsidR="006046F5" w:rsidRPr="00FD215D">
        <w:rPr>
          <w:rFonts w:ascii="Times New Roman" w:hAnsi="Times New Roman" w:cs="Times New Roman"/>
          <w:lang w:val="pt-PT"/>
        </w:rPr>
        <w:t xml:space="preserve">. </w:t>
      </w:r>
      <w:r w:rsidR="006046F5" w:rsidRPr="00FD215D">
        <w:rPr>
          <w:rFonts w:ascii="Times New Roman" w:hAnsi="Times New Roman" w:cs="Times New Roman"/>
          <w:lang w:val="en-GB"/>
        </w:rPr>
        <w:t>Monumenta Linguae Slovacae X. Bratislava: Univerzita Komenského, 2024, pp. 77 – 78, where Benka discusses Georg Creutzer</w:t>
      </w:r>
      <w:r w:rsidR="00FD1986" w:rsidRPr="00FD215D">
        <w:rPr>
          <w:rFonts w:ascii="Times New Roman" w:hAnsi="Times New Roman" w:cs="Times New Roman"/>
          <w:lang w:val="en-GB"/>
        </w:rPr>
        <w:t>’</w:t>
      </w:r>
      <w:r w:rsidR="006046F5" w:rsidRPr="00FD215D">
        <w:rPr>
          <w:rFonts w:ascii="Times New Roman" w:hAnsi="Times New Roman" w:cs="Times New Roman"/>
          <w:lang w:val="en-GB"/>
        </w:rPr>
        <w:t>s handbook for identifying hidden Calvinists, in which the denial of </w:t>
      </w:r>
      <w:r w:rsidR="006046F5" w:rsidRPr="00FD215D">
        <w:rPr>
          <w:rFonts w:ascii="Times New Roman" w:hAnsi="Times New Roman" w:cs="Times New Roman"/>
          <w:i/>
          <w:iCs/>
          <w:lang w:val="en-GB"/>
        </w:rPr>
        <w:t>manducatio impiorum</w:t>
      </w:r>
      <w:r w:rsidR="006046F5" w:rsidRPr="00FD215D">
        <w:rPr>
          <w:rFonts w:ascii="Times New Roman" w:hAnsi="Times New Roman" w:cs="Times New Roman"/>
          <w:lang w:val="en-GB"/>
        </w:rPr>
        <w:t> appeared as a suspicion marker.</w:t>
      </w:r>
    </w:p>
  </w:footnote>
  <w:footnote w:id="11">
    <w:p w14:paraId="5E83AB76" w14:textId="7D1EA640" w:rsidR="006046F5" w:rsidRPr="00FD215D" w:rsidRDefault="006046F5">
      <w:pPr>
        <w:pStyle w:val="FootnoteText"/>
        <w:rPr>
          <w:rFonts w:ascii="Times New Roman" w:hAnsi="Times New Roman" w:cs="Times New Roman"/>
          <w:lang w:val="de-DE"/>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A112C2" w:rsidRPr="00FD215D">
        <w:rPr>
          <w:rFonts w:ascii="Times New Roman" w:hAnsi="Times New Roman" w:cs="Times New Roman"/>
          <w:lang w:val="de-DE"/>
        </w:rPr>
        <w:t>CSEPREGI, Z.: Die Confessio Pentapolitana: Fragen nach Autorschaft und Datierung. In: KÓNYA, P. (ed.): </w:t>
      </w:r>
      <w:r w:rsidR="00A112C2" w:rsidRPr="00FD215D">
        <w:rPr>
          <w:rFonts w:ascii="Times New Roman" w:hAnsi="Times New Roman" w:cs="Times New Roman"/>
          <w:i/>
          <w:iCs/>
          <w:lang w:val="de-DE"/>
        </w:rPr>
        <w:t>„Nezameniteľné je dedičstvo otcov…</w:t>
      </w:r>
      <w:r w:rsidR="00FD1986" w:rsidRPr="00FD215D">
        <w:rPr>
          <w:rFonts w:ascii="Times New Roman" w:hAnsi="Times New Roman" w:cs="Times New Roman"/>
          <w:i/>
          <w:iCs/>
          <w:lang w:val="de-DE"/>
        </w:rPr>
        <w:t>”</w:t>
      </w:r>
      <w:r w:rsidR="00A112C2" w:rsidRPr="00FD215D">
        <w:rPr>
          <w:rFonts w:ascii="Times New Roman" w:hAnsi="Times New Roman" w:cs="Times New Roman"/>
          <w:i/>
          <w:iCs/>
          <w:lang w:val="de-DE"/>
        </w:rPr>
        <w:t xml:space="preserve"> Štúdie k dejinám a súčasnosti protestantizmu v strednej Európe k osemdesiatym narodeninám biskupa Jána Midriaka</w:t>
      </w:r>
      <w:r w:rsidR="00A112C2" w:rsidRPr="00FD215D">
        <w:rPr>
          <w:rFonts w:ascii="Times New Roman" w:hAnsi="Times New Roman" w:cs="Times New Roman"/>
          <w:lang w:val="de-DE"/>
        </w:rPr>
        <w:t>. Acta Collegii Evangelici Prešoviensis X. Prešov: Prešovská univerzita, 2009, pp. 73 – 85, here pp. 82 – 83. For the critical edition of all three Upper-Hungarian Lutheran confessions, see KÓNYA, P. – CSEPREGI, Z. (eds.): </w:t>
      </w:r>
      <w:r w:rsidR="00A112C2" w:rsidRPr="00FD215D">
        <w:rPr>
          <w:rFonts w:ascii="Times New Roman" w:hAnsi="Times New Roman" w:cs="Times New Roman"/>
          <w:i/>
          <w:iCs/>
          <w:lang w:val="de-DE"/>
        </w:rPr>
        <w:t>Tri lutherské vyznania viery z Uhorska / Három lutheri hitvallás Magyarországon / Drei lutherische Glaubensbekenntnisse aus Ungarn</w:t>
      </w:r>
      <w:r w:rsidR="00A112C2" w:rsidRPr="00FD215D">
        <w:rPr>
          <w:rFonts w:ascii="Times New Roman" w:hAnsi="Times New Roman" w:cs="Times New Roman"/>
          <w:lang w:val="de-DE"/>
        </w:rPr>
        <w:t>. Prešov: Vydavateľstvo Prešovskej univerzity, 2013. </w:t>
      </w:r>
    </w:p>
  </w:footnote>
  <w:footnote w:id="12">
    <w:p w14:paraId="3BF65E51" w14:textId="062FEFE3" w:rsidR="00A112C2" w:rsidRPr="00FD215D" w:rsidRDefault="00A112C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01527D" w:rsidRPr="00FD215D">
        <w:rPr>
          <w:rFonts w:ascii="Times New Roman" w:hAnsi="Times New Roman" w:cs="Times New Roman"/>
          <w:lang w:val="de-DE"/>
        </w:rPr>
        <w:t>CSEPREGI, Z.: Die Confessio Pentapolitana: Fragen nach Autorschaft und Datierung. In: KÓNYA, P. (ed.): </w:t>
      </w:r>
      <w:r w:rsidR="0001527D" w:rsidRPr="00FD215D">
        <w:rPr>
          <w:rFonts w:ascii="Times New Roman" w:hAnsi="Times New Roman" w:cs="Times New Roman"/>
          <w:i/>
          <w:iCs/>
          <w:lang w:val="de-DE"/>
        </w:rPr>
        <w:t>„Nezameniteľné je dedičstvo otcov…</w:t>
      </w:r>
      <w:r w:rsidR="00FD1986" w:rsidRPr="00FD215D">
        <w:rPr>
          <w:rFonts w:ascii="Times New Roman" w:hAnsi="Times New Roman" w:cs="Times New Roman"/>
          <w:i/>
          <w:iCs/>
          <w:lang w:val="de-DE"/>
        </w:rPr>
        <w:t>”</w:t>
      </w:r>
      <w:r w:rsidR="0001527D" w:rsidRPr="00FD215D">
        <w:rPr>
          <w:rFonts w:ascii="Times New Roman" w:hAnsi="Times New Roman" w:cs="Times New Roman"/>
          <w:i/>
          <w:iCs/>
          <w:lang w:val="de-DE"/>
        </w:rPr>
        <w:t xml:space="preserve"> Štúdie k dejinám a súčasnosti protestantizmu v strednej Európe k osemdesiatym narodeninám biskupa Jána Midriaka</w:t>
      </w:r>
      <w:r w:rsidR="0001527D" w:rsidRPr="00FD215D">
        <w:rPr>
          <w:rFonts w:ascii="Times New Roman" w:hAnsi="Times New Roman" w:cs="Times New Roman"/>
          <w:lang w:val="de-DE"/>
        </w:rPr>
        <w:t xml:space="preserve">. </w:t>
      </w:r>
      <w:r w:rsidR="0001527D" w:rsidRPr="00FD215D">
        <w:rPr>
          <w:rFonts w:ascii="Times New Roman" w:hAnsi="Times New Roman" w:cs="Times New Roman"/>
          <w:lang w:val="en-GB"/>
        </w:rPr>
        <w:t>Acta Collegii Evangelici Prešoviensis X. Prešov: Prešovská univerzita, 2009, pp. 73 – 85, here pp. 73 – 76. This corrects an older protestant-historiographical reading that took the 1548 diet</w:t>
      </w:r>
      <w:r w:rsidR="00FD1986" w:rsidRPr="00FD215D">
        <w:rPr>
          <w:rFonts w:ascii="Times New Roman" w:hAnsi="Times New Roman" w:cs="Times New Roman"/>
          <w:lang w:val="en-GB"/>
        </w:rPr>
        <w:t>’</w:t>
      </w:r>
      <w:r w:rsidR="0001527D" w:rsidRPr="00FD215D">
        <w:rPr>
          <w:rFonts w:ascii="Times New Roman" w:hAnsi="Times New Roman" w:cs="Times New Roman"/>
          <w:lang w:val="en-GB"/>
        </w:rPr>
        <w:t>s measures as constituting a </w:t>
      </w:r>
      <w:r w:rsidR="0001527D" w:rsidRPr="00FD215D">
        <w:rPr>
          <w:rFonts w:ascii="Times New Roman" w:hAnsi="Times New Roman" w:cs="Times New Roman"/>
          <w:i/>
          <w:iCs/>
          <w:lang w:val="en-GB"/>
        </w:rPr>
        <w:t>de facto</w:t>
      </w:r>
      <w:r w:rsidR="0001527D" w:rsidRPr="00FD215D">
        <w:rPr>
          <w:rFonts w:ascii="Times New Roman" w:hAnsi="Times New Roman" w:cs="Times New Roman"/>
          <w:lang w:val="en-GB"/>
        </w:rPr>
        <w:t> toleration of the Augsburg Confession; Csepregi shows that the diet aimed at </w:t>
      </w:r>
      <w:r w:rsidR="0001527D" w:rsidRPr="00FD215D">
        <w:rPr>
          <w:rFonts w:ascii="Times New Roman" w:hAnsi="Times New Roman" w:cs="Times New Roman"/>
          <w:i/>
          <w:iCs/>
          <w:lang w:val="en-GB"/>
        </w:rPr>
        <w:t>reformatio catholica</w:t>
      </w:r>
      <w:r w:rsidR="0001527D" w:rsidRPr="00FD215D">
        <w:rPr>
          <w:rFonts w:ascii="Times New Roman" w:hAnsi="Times New Roman" w:cs="Times New Roman"/>
          <w:lang w:val="en-GB"/>
        </w:rPr>
        <w:t> and that the Lutheran population had to defend its orthodoxy under sustained pressure rather than under royal protection.</w:t>
      </w:r>
    </w:p>
  </w:footnote>
  <w:footnote w:id="13">
    <w:p w14:paraId="2FD6C80A" w14:textId="2B485E02" w:rsidR="0001527D" w:rsidRPr="00FD215D" w:rsidRDefault="0001527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D422A4" w:rsidRPr="00FD215D">
        <w:rPr>
          <w:rFonts w:ascii="Times New Roman" w:hAnsi="Times New Roman" w:cs="Times New Roman"/>
          <w:lang w:val="pt-PT"/>
        </w:rPr>
        <w:t>BENKA, P. (ed.): </w:t>
      </w:r>
      <w:r w:rsidR="00D422A4" w:rsidRPr="00FD215D">
        <w:rPr>
          <w:rFonts w:ascii="Times New Roman" w:hAnsi="Times New Roman" w:cs="Times New Roman"/>
          <w:i/>
          <w:iCs/>
          <w:lang w:val="pt-PT"/>
        </w:rPr>
        <w:t>Agenda Neosoliensia</w:t>
      </w:r>
      <w:r w:rsidR="00D422A4" w:rsidRPr="00FD215D">
        <w:rPr>
          <w:rFonts w:ascii="Times New Roman" w:hAnsi="Times New Roman" w:cs="Times New Roman"/>
          <w:lang w:val="pt-PT"/>
        </w:rPr>
        <w:t xml:space="preserve">. </w:t>
      </w:r>
      <w:r w:rsidR="00D422A4" w:rsidRPr="00FD215D">
        <w:rPr>
          <w:rFonts w:ascii="Times New Roman" w:hAnsi="Times New Roman" w:cs="Times New Roman"/>
          <w:lang w:val="en-GB"/>
        </w:rPr>
        <w:t>Monumenta Linguae Slovacae X. Bratislava: Univerzita Komenského, 2024, pp. 50 – 60 (the 1558 synod and adiaphora), pp. 73 – 77 (private confession and Eucharistic preparation in the 1558 synod, the 1580 regulations, and the </w:t>
      </w:r>
      <w:r w:rsidR="00D422A4" w:rsidRPr="00FD215D">
        <w:rPr>
          <w:rFonts w:ascii="Times New Roman" w:hAnsi="Times New Roman" w:cs="Times New Roman"/>
          <w:i/>
          <w:iCs/>
          <w:lang w:val="en-GB"/>
        </w:rPr>
        <w:t>Bystrická agenda</w:t>
      </w:r>
      <w:r w:rsidR="00D422A4" w:rsidRPr="00FD215D">
        <w:rPr>
          <w:rFonts w:ascii="Times New Roman" w:hAnsi="Times New Roman" w:cs="Times New Roman"/>
          <w:lang w:val="en-GB"/>
        </w:rPr>
        <w:t>).</w:t>
      </w:r>
    </w:p>
  </w:footnote>
  <w:footnote w:id="14">
    <w:p w14:paraId="109B5AE4" w14:textId="1DB2821F" w:rsidR="00D422A4" w:rsidRPr="00FD215D" w:rsidRDefault="00D422A4">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7832C2" w:rsidRPr="00FD215D">
        <w:rPr>
          <w:rFonts w:ascii="Times New Roman" w:hAnsi="Times New Roman" w:cs="Times New Roman"/>
          <w:lang w:val="pt-PT"/>
        </w:rPr>
        <w:t>BENKA, P. (ed.): </w:t>
      </w:r>
      <w:r w:rsidR="007832C2" w:rsidRPr="00FD215D">
        <w:rPr>
          <w:rFonts w:ascii="Times New Roman" w:hAnsi="Times New Roman" w:cs="Times New Roman"/>
          <w:i/>
          <w:iCs/>
          <w:lang w:val="pt-PT"/>
        </w:rPr>
        <w:t>Agenda Neosoliensia: Agenda Czeská 1581 a Bystrická agenda 1585</w:t>
      </w:r>
      <w:r w:rsidR="007832C2" w:rsidRPr="00FD215D">
        <w:rPr>
          <w:rFonts w:ascii="Times New Roman" w:hAnsi="Times New Roman" w:cs="Times New Roman"/>
          <w:lang w:val="pt-PT"/>
        </w:rPr>
        <w:t>. Monumenta Linguae Slovacae X. Documenta Theologico-Religionistica, Tomus 2. Bratislava: Univerzita Komenského, 2024, p. 131.</w:t>
      </w:r>
    </w:p>
  </w:footnote>
  <w:footnote w:id="15">
    <w:p w14:paraId="626EEA9B" w14:textId="4CE8B5A5" w:rsidR="007832C2" w:rsidRPr="00FD215D" w:rsidRDefault="007832C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F5247" w:rsidRPr="00FD215D">
        <w:rPr>
          <w:rFonts w:ascii="Times New Roman" w:hAnsi="Times New Roman" w:cs="Times New Roman"/>
          <w:lang w:val="pt-PT"/>
        </w:rPr>
        <w:t>BENKA, P. (ed.): </w:t>
      </w:r>
      <w:r w:rsidR="004F5247" w:rsidRPr="00FD215D">
        <w:rPr>
          <w:rFonts w:ascii="Times New Roman" w:hAnsi="Times New Roman" w:cs="Times New Roman"/>
          <w:i/>
          <w:iCs/>
          <w:lang w:val="pt-PT"/>
        </w:rPr>
        <w:t>Agenda Neosoliensia</w:t>
      </w:r>
      <w:r w:rsidR="004F5247" w:rsidRPr="00FD215D">
        <w:rPr>
          <w:rFonts w:ascii="Times New Roman" w:hAnsi="Times New Roman" w:cs="Times New Roman"/>
          <w:lang w:val="pt-PT"/>
        </w:rPr>
        <w:t>. Monumenta Linguae Slovacae X. Bratislava: Univerzita Komenského, 2024, pp. 131 – 150 </w:t>
      </w:r>
      <w:r w:rsidR="004F5247" w:rsidRPr="00FD215D">
        <w:rPr>
          <w:rFonts w:ascii="Times New Roman" w:hAnsi="Times New Roman" w:cs="Times New Roman"/>
          <w:i/>
          <w:iCs/>
          <w:lang w:val="pt-PT"/>
        </w:rPr>
        <w:t>passim</w:t>
      </w:r>
      <w:r w:rsidR="004F5247" w:rsidRPr="00FD215D">
        <w:rPr>
          <w:rFonts w:ascii="Times New Roman" w:hAnsi="Times New Roman" w:cs="Times New Roman"/>
          <w:lang w:val="pt-PT"/>
        </w:rPr>
        <w:t xml:space="preserve">. </w:t>
      </w:r>
      <w:r w:rsidR="004F5247" w:rsidRPr="00FD215D">
        <w:rPr>
          <w:rFonts w:ascii="Times New Roman" w:hAnsi="Times New Roman" w:cs="Times New Roman"/>
          <w:lang w:val="en-GB"/>
        </w:rPr>
        <w:t>The structural homology with the Lutheran Mass-orders of the German lands is discussed in Benka</w:t>
      </w:r>
      <w:r w:rsidR="00FD1986" w:rsidRPr="00FD215D">
        <w:rPr>
          <w:rFonts w:ascii="Times New Roman" w:hAnsi="Times New Roman" w:cs="Times New Roman"/>
          <w:lang w:val="en-GB"/>
        </w:rPr>
        <w:t>’</w:t>
      </w:r>
      <w:r w:rsidR="004F5247" w:rsidRPr="00FD215D">
        <w:rPr>
          <w:rFonts w:ascii="Times New Roman" w:hAnsi="Times New Roman" w:cs="Times New Roman"/>
          <w:lang w:val="en-GB"/>
        </w:rPr>
        <w:t>s introductory study at pp. 60 – 70.</w:t>
      </w:r>
    </w:p>
  </w:footnote>
  <w:footnote w:id="16">
    <w:p w14:paraId="35C55074" w14:textId="77104C47" w:rsidR="00CC04AF" w:rsidRPr="00FD215D" w:rsidRDefault="00CC04AF">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5C3292" w:rsidRPr="00FD215D">
        <w:rPr>
          <w:rFonts w:ascii="Times New Roman" w:hAnsi="Times New Roman" w:cs="Times New Roman"/>
          <w:lang w:val="en-GB"/>
        </w:rPr>
        <w:t xml:space="preserve">The classic specialist study is SPINKS, B. D.: </w:t>
      </w:r>
      <w:r w:rsidR="005C3292" w:rsidRPr="00FD215D">
        <w:rPr>
          <w:rFonts w:ascii="Times New Roman" w:hAnsi="Times New Roman" w:cs="Times New Roman"/>
          <w:i/>
          <w:iCs/>
          <w:lang w:val="en-GB"/>
        </w:rPr>
        <w:t>Luther</w:t>
      </w:r>
      <w:r w:rsidR="00FD1986" w:rsidRPr="00FD215D">
        <w:rPr>
          <w:rFonts w:ascii="Times New Roman" w:hAnsi="Times New Roman" w:cs="Times New Roman"/>
          <w:i/>
          <w:iCs/>
          <w:lang w:val="en-GB"/>
        </w:rPr>
        <w:t>’</w:t>
      </w:r>
      <w:r w:rsidR="005C3292" w:rsidRPr="00FD215D">
        <w:rPr>
          <w:rFonts w:ascii="Times New Roman" w:hAnsi="Times New Roman" w:cs="Times New Roman"/>
          <w:i/>
          <w:iCs/>
          <w:lang w:val="en-GB"/>
        </w:rPr>
        <w:t>s Liturgical Criteria and His Reform of the Canon of the Mass</w:t>
      </w:r>
      <w:r w:rsidR="005C3292" w:rsidRPr="00FD215D">
        <w:rPr>
          <w:rFonts w:ascii="Times New Roman" w:hAnsi="Times New Roman" w:cs="Times New Roman"/>
          <w:lang w:val="en-GB"/>
        </w:rPr>
        <w:t>. Grove Liturgical Studies 30. Bramcote, Notts.: Grove Books, 1982, esp. pp. 18 – 30. For a more recent synthesis situating Luther</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terminological retention within the broader Lutheran liturgical inheritance, see SENN, F. C.: </w:t>
      </w:r>
      <w:r w:rsidR="005C3292" w:rsidRPr="00FD215D">
        <w:rPr>
          <w:rFonts w:ascii="Times New Roman" w:hAnsi="Times New Roman" w:cs="Times New Roman"/>
          <w:i/>
          <w:iCs/>
          <w:lang w:val="en-GB"/>
        </w:rPr>
        <w:t>Christian Liturgy: Catholic and Evangelical</w:t>
      </w:r>
      <w:r w:rsidR="005C3292" w:rsidRPr="00FD215D">
        <w:rPr>
          <w:rFonts w:ascii="Times New Roman" w:hAnsi="Times New Roman" w:cs="Times New Roman"/>
          <w:lang w:val="en-GB"/>
        </w:rPr>
        <w:t>. Minneapolis: Fortress Press, 1997, pp. 274 – 290. The point, briefly: Luther</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1523 reform retained the structural framework of the Latin Mass (including the term itself) while excising the </w:t>
      </w:r>
      <w:r w:rsidR="005C3292" w:rsidRPr="00FD215D">
        <w:rPr>
          <w:rFonts w:ascii="Times New Roman" w:hAnsi="Times New Roman" w:cs="Times New Roman"/>
          <w:i/>
          <w:iCs/>
          <w:lang w:val="en-GB"/>
        </w:rPr>
        <w:t>Canon Missae</w:t>
      </w:r>
      <w:r w:rsidR="00FD1986" w:rsidRPr="00FD215D">
        <w:rPr>
          <w:rFonts w:ascii="Times New Roman" w:hAnsi="Times New Roman" w:cs="Times New Roman"/>
          <w:lang w:val="en-GB"/>
        </w:rPr>
        <w:t>’</w:t>
      </w:r>
      <w:r w:rsidR="005C3292" w:rsidRPr="00FD215D">
        <w:rPr>
          <w:rFonts w:ascii="Times New Roman" w:hAnsi="Times New Roman" w:cs="Times New Roman"/>
          <w:lang w:val="en-GB"/>
        </w:rPr>
        <w:t xml:space="preserve">s sacrificial language (the </w:t>
      </w:r>
      <w:r w:rsidR="005C3292" w:rsidRPr="00FD215D">
        <w:rPr>
          <w:rFonts w:ascii="Times New Roman" w:hAnsi="Times New Roman" w:cs="Times New Roman"/>
          <w:i/>
          <w:iCs/>
          <w:lang w:val="en-GB"/>
        </w:rPr>
        <w:t>oblatio</w:t>
      </w:r>
      <w:r w:rsidR="005C3292" w:rsidRPr="00FD215D">
        <w:rPr>
          <w:rFonts w:ascii="Times New Roman" w:hAnsi="Times New Roman" w:cs="Times New Roman"/>
          <w:lang w:val="en-GB"/>
        </w:rPr>
        <w:t xml:space="preserve">, the </w:t>
      </w:r>
      <w:r w:rsidR="005C3292" w:rsidRPr="00FD215D">
        <w:rPr>
          <w:rFonts w:ascii="Times New Roman" w:hAnsi="Times New Roman" w:cs="Times New Roman"/>
          <w:i/>
          <w:iCs/>
          <w:lang w:val="en-GB"/>
        </w:rPr>
        <w:t>Unde et memores</w:t>
      </w:r>
      <w:r w:rsidR="005C3292" w:rsidRPr="00FD215D">
        <w:rPr>
          <w:rFonts w:ascii="Times New Roman" w:hAnsi="Times New Roman" w:cs="Times New Roman"/>
          <w:lang w:val="en-GB"/>
        </w:rPr>
        <w:t xml:space="preserve">, the priestly </w:t>
      </w:r>
      <w:r w:rsidR="005C3292" w:rsidRPr="00FD215D">
        <w:rPr>
          <w:rFonts w:ascii="Times New Roman" w:hAnsi="Times New Roman" w:cs="Times New Roman"/>
          <w:i/>
          <w:iCs/>
          <w:lang w:val="en-GB"/>
        </w:rPr>
        <w:t>offerimus</w:t>
      </w:r>
      <w:r w:rsidR="005C3292" w:rsidRPr="00FD215D">
        <w:rPr>
          <w:rFonts w:ascii="Times New Roman" w:hAnsi="Times New Roman" w:cs="Times New Roman"/>
          <w:lang w:val="en-GB"/>
        </w:rPr>
        <w:t>); what he retained was Mass-as-thanksgiving-and-distribution, what he excised was Mass-as-sacrifice-offered-to-God.</w:t>
      </w:r>
    </w:p>
  </w:footnote>
  <w:footnote w:id="17">
    <w:p w14:paraId="0489465C" w14:textId="4211803C" w:rsidR="004F5247" w:rsidRPr="00FD215D" w:rsidRDefault="004F5247">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A32F08" w:rsidRPr="00FD215D">
        <w:rPr>
          <w:rFonts w:ascii="Times New Roman" w:hAnsi="Times New Roman" w:cs="Times New Roman"/>
          <w:lang w:val="en-GB"/>
        </w:rPr>
        <w:t>For Luther</w:t>
      </w:r>
      <w:r w:rsidR="00FD1986" w:rsidRPr="00FD215D">
        <w:rPr>
          <w:rFonts w:ascii="Times New Roman" w:hAnsi="Times New Roman" w:cs="Times New Roman"/>
          <w:lang w:val="en-GB"/>
        </w:rPr>
        <w:t>’</w:t>
      </w:r>
      <w:r w:rsidR="00A32F08" w:rsidRPr="00FD215D">
        <w:rPr>
          <w:rFonts w:ascii="Times New Roman" w:hAnsi="Times New Roman" w:cs="Times New Roman"/>
          <w:lang w:val="en-GB"/>
        </w:rPr>
        <w:t>s terminological retention, see LUTHER, M.: </w:t>
      </w:r>
      <w:r w:rsidR="00A32F08" w:rsidRPr="00FD215D">
        <w:rPr>
          <w:rFonts w:ascii="Times New Roman" w:hAnsi="Times New Roman" w:cs="Times New Roman"/>
          <w:i/>
          <w:iCs/>
          <w:lang w:val="en-GB"/>
        </w:rPr>
        <w:t>Formula Missae et communionis pro ecclesia Vuittembergensi</w:t>
      </w:r>
      <w:r w:rsidR="00A32F08" w:rsidRPr="00FD215D">
        <w:rPr>
          <w:rFonts w:ascii="Times New Roman" w:hAnsi="Times New Roman" w:cs="Times New Roman"/>
          <w:lang w:val="en-GB"/>
        </w:rPr>
        <w:t xml:space="preserve"> (1523). </w:t>
      </w:r>
      <w:r w:rsidR="00A32F08" w:rsidRPr="00FD215D">
        <w:rPr>
          <w:rFonts w:ascii="Times New Roman" w:hAnsi="Times New Roman" w:cs="Times New Roman"/>
          <w:lang w:val="de-DE"/>
        </w:rPr>
        <w:t>In: </w:t>
      </w:r>
      <w:r w:rsidR="00A32F08" w:rsidRPr="00FD215D">
        <w:rPr>
          <w:rFonts w:ascii="Times New Roman" w:hAnsi="Times New Roman" w:cs="Times New Roman"/>
          <w:i/>
          <w:iCs/>
          <w:lang w:val="de-DE"/>
        </w:rPr>
        <w:t>D. Martin Luthers Werke. Kritische Gesamtausgabe</w:t>
      </w:r>
      <w:r w:rsidR="00A32F08" w:rsidRPr="00FD215D">
        <w:rPr>
          <w:rFonts w:ascii="Times New Roman" w:hAnsi="Times New Roman" w:cs="Times New Roman"/>
          <w:lang w:val="de-DE"/>
        </w:rPr>
        <w:t xml:space="preserve"> [WA], vol. 12. Weimar: Hermann Böhlau, 1891, pp. 205 – 220. </w:t>
      </w:r>
      <w:r w:rsidR="00A32F08" w:rsidRPr="00FD215D">
        <w:rPr>
          <w:rFonts w:ascii="Times New Roman" w:hAnsi="Times New Roman" w:cs="Times New Roman"/>
          <w:lang w:val="en-GB"/>
        </w:rPr>
        <w:t>The </w:t>
      </w:r>
      <w:r w:rsidR="00A32F08" w:rsidRPr="00FD215D">
        <w:rPr>
          <w:rFonts w:ascii="Times New Roman" w:hAnsi="Times New Roman" w:cs="Times New Roman"/>
          <w:i/>
          <w:iCs/>
          <w:lang w:val="en-GB"/>
        </w:rPr>
        <w:t>Agenda Česká</w:t>
      </w:r>
      <w:r w:rsidR="00FD1986" w:rsidRPr="00FD215D">
        <w:rPr>
          <w:rFonts w:ascii="Times New Roman" w:hAnsi="Times New Roman" w:cs="Times New Roman"/>
          <w:lang w:val="en-GB"/>
        </w:rPr>
        <w:t>’</w:t>
      </w:r>
      <w:r w:rsidR="00A32F08" w:rsidRPr="00FD215D">
        <w:rPr>
          <w:rFonts w:ascii="Times New Roman" w:hAnsi="Times New Roman" w:cs="Times New Roman"/>
          <w:lang w:val="en-GB"/>
        </w:rPr>
        <w:t>s adoption of this convention is consistent with the Wittenberg-derived agenda traditions on which Benka shows it depends: BENKA, P. (ed.): </w:t>
      </w:r>
      <w:r w:rsidR="00A32F08" w:rsidRPr="00FD215D">
        <w:rPr>
          <w:rFonts w:ascii="Times New Roman" w:hAnsi="Times New Roman" w:cs="Times New Roman"/>
          <w:i/>
          <w:iCs/>
          <w:lang w:val="en-GB"/>
        </w:rPr>
        <w:t>Agenda Neosoliensia</w:t>
      </w:r>
      <w:r w:rsidR="00A32F08" w:rsidRPr="00FD215D">
        <w:rPr>
          <w:rFonts w:ascii="Times New Roman" w:hAnsi="Times New Roman" w:cs="Times New Roman"/>
          <w:lang w:val="en-GB"/>
        </w:rPr>
        <w:t xml:space="preserve">. </w:t>
      </w:r>
      <w:r w:rsidR="00A32F08" w:rsidRPr="00FD215D">
        <w:rPr>
          <w:rFonts w:ascii="Times New Roman" w:hAnsi="Times New Roman" w:cs="Times New Roman"/>
          <w:lang w:val="pt-PT"/>
        </w:rPr>
        <w:t>Monumenta Linguae Slovacae X. Bratislava: Univerzita Komenského, 2024, pp. 14 – 17. </w:t>
      </w:r>
    </w:p>
  </w:footnote>
  <w:footnote w:id="18">
    <w:p w14:paraId="74F1A5ED" w14:textId="0CE755AF" w:rsidR="00A32F08" w:rsidRPr="00FD215D" w:rsidRDefault="00A32F08">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B0CF5" w:rsidRPr="00FD215D">
        <w:rPr>
          <w:rFonts w:ascii="Times New Roman" w:hAnsi="Times New Roman" w:cs="Times New Roman"/>
          <w:lang w:val="pt-PT"/>
        </w:rPr>
        <w:t>BENKA, P. (ed.): </w:t>
      </w:r>
      <w:r w:rsidR="00AB0CF5" w:rsidRPr="00FD215D">
        <w:rPr>
          <w:rFonts w:ascii="Times New Roman" w:hAnsi="Times New Roman" w:cs="Times New Roman"/>
          <w:i/>
          <w:iCs/>
          <w:lang w:val="pt-PT"/>
        </w:rPr>
        <w:t>Agenda Neosoliensia</w:t>
      </w:r>
      <w:r w:rsidR="00AB0CF5" w:rsidRPr="00FD215D">
        <w:rPr>
          <w:rFonts w:ascii="Times New Roman" w:hAnsi="Times New Roman" w:cs="Times New Roman"/>
          <w:lang w:val="pt-PT"/>
        </w:rPr>
        <w:t xml:space="preserve">. Monumenta Linguae Slovacae X. Bratislava: Univerzita Komenského, 2024, pp. 142 – 143. </w:t>
      </w:r>
      <w:r w:rsidR="00AB0CF5" w:rsidRPr="00FD215D">
        <w:rPr>
          <w:rFonts w:ascii="Times New Roman" w:hAnsi="Times New Roman" w:cs="Times New Roman"/>
          <w:lang w:val="en-GB"/>
        </w:rPr>
        <w:t xml:space="preserve">The translation is mine. An exactly parallel formula immediately follows for the cup: </w:t>
      </w:r>
      <w:r w:rsidR="00FD1986" w:rsidRPr="00FD215D">
        <w:rPr>
          <w:rFonts w:ascii="Times New Roman" w:hAnsi="Times New Roman" w:cs="Times New Roman"/>
          <w:lang w:val="en-GB"/>
        </w:rPr>
        <w:t>“</w:t>
      </w:r>
      <w:r w:rsidR="00AB0CF5" w:rsidRPr="00FD215D">
        <w:rPr>
          <w:rFonts w:ascii="Times New Roman" w:hAnsi="Times New Roman" w:cs="Times New Roman"/>
          <w:lang w:val="en-GB"/>
        </w:rPr>
        <w:t>Toho na gisté dokázanij a swědomij / dáwám wám mau Krew k nápogi</w:t>
      </w:r>
      <w:r w:rsidR="00FD1986" w:rsidRPr="00FD215D">
        <w:rPr>
          <w:rFonts w:ascii="Times New Roman" w:hAnsi="Times New Roman" w:cs="Times New Roman"/>
          <w:lang w:val="en-GB"/>
        </w:rPr>
        <w:t>”</w:t>
      </w:r>
      <w:r w:rsidR="00AB0CF5" w:rsidRPr="00FD215D">
        <w:rPr>
          <w:rFonts w:ascii="Times New Roman" w:hAnsi="Times New Roman" w:cs="Times New Roman"/>
          <w:lang w:val="en-GB"/>
        </w:rPr>
        <w:t xml:space="preserve"> (</w:t>
      </w:r>
      <w:r w:rsidR="00FD1986" w:rsidRPr="00FD215D">
        <w:rPr>
          <w:rFonts w:ascii="Times New Roman" w:hAnsi="Times New Roman" w:cs="Times New Roman"/>
          <w:lang w:val="en-GB"/>
        </w:rPr>
        <w:t>“</w:t>
      </w:r>
      <w:r w:rsidR="00AB0CF5" w:rsidRPr="00FD215D">
        <w:rPr>
          <w:rFonts w:ascii="Times New Roman" w:hAnsi="Times New Roman" w:cs="Times New Roman"/>
          <w:lang w:val="en-GB"/>
        </w:rPr>
        <w:t>For sure proof and testimony of this, I give you my Blood for drink</w:t>
      </w:r>
      <w:r w:rsidR="00FD1986" w:rsidRPr="00FD215D">
        <w:rPr>
          <w:rFonts w:ascii="Times New Roman" w:hAnsi="Times New Roman" w:cs="Times New Roman"/>
          <w:lang w:val="en-GB"/>
        </w:rPr>
        <w:t>”</w:t>
      </w:r>
      <w:r w:rsidR="00AB0CF5" w:rsidRPr="00FD215D">
        <w:rPr>
          <w:rFonts w:ascii="Times New Roman" w:hAnsi="Times New Roman" w:cs="Times New Roman"/>
          <w:lang w:val="en-GB"/>
        </w:rPr>
        <w:t>), p. 143.</w:t>
      </w:r>
    </w:p>
  </w:footnote>
  <w:footnote w:id="19">
    <w:p w14:paraId="5FB256A0" w14:textId="6189CBC2" w:rsidR="005C3292" w:rsidRPr="00FD215D" w:rsidRDefault="005C3292" w:rsidP="005C3292">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On Chemnitz</w:t>
      </w:r>
      <w:r w:rsidR="00FD1986" w:rsidRPr="00FD215D">
        <w:rPr>
          <w:rFonts w:ascii="Times New Roman" w:hAnsi="Times New Roman" w:cs="Times New Roman"/>
          <w:lang w:val="en-GB"/>
        </w:rPr>
        <w:t>’</w:t>
      </w:r>
      <w:r w:rsidRPr="00FD215D">
        <w:rPr>
          <w:rFonts w:ascii="Times New Roman" w:hAnsi="Times New Roman" w:cs="Times New Roman"/>
          <w:lang w:val="en-GB"/>
        </w:rPr>
        <w:t>s eucharistic christology and its relation to the Lutheran sacramental tradition see VALČO, M.: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Eucharistic Christology as an Impulse for Ecumenical Dialogue between East and West. In: </w:t>
      </w:r>
      <w:r w:rsidRPr="00FD215D">
        <w:rPr>
          <w:rFonts w:ascii="Times New Roman" w:hAnsi="Times New Roman" w:cs="Times New Roman"/>
          <w:i/>
          <w:iCs/>
          <w:lang w:val="en-GB"/>
        </w:rPr>
        <w:t>Konštantínove listy</w:t>
      </w:r>
      <w:r w:rsidRPr="00FD215D">
        <w:rPr>
          <w:rFonts w:ascii="Times New Roman" w:hAnsi="Times New Roman" w:cs="Times New Roman"/>
          <w:lang w:val="en-GB"/>
        </w:rPr>
        <w:t xml:space="preserve">, vol. 10, no. 2 (2017), pp. 141 – 150, here pp. 144 – 146. The standard German account of the </w:t>
      </w:r>
      <w:r w:rsidRPr="00FD215D">
        <w:rPr>
          <w:rFonts w:ascii="Times New Roman" w:hAnsi="Times New Roman" w:cs="Times New Roman"/>
          <w:i/>
          <w:iCs/>
          <w:lang w:val="en-GB"/>
        </w:rPr>
        <w:t>genus maiestaticum</w:t>
      </w:r>
      <w:r w:rsidRPr="00FD215D">
        <w:rPr>
          <w:rFonts w:ascii="Times New Roman" w:hAnsi="Times New Roman" w:cs="Times New Roman"/>
          <w:lang w:val="en-GB"/>
        </w:rPr>
        <w:t xml:space="preserve"> in Chemnitz</w:t>
      </w:r>
      <w:r w:rsidR="00FD1986" w:rsidRPr="00FD215D">
        <w:rPr>
          <w:rFonts w:ascii="Times New Roman" w:hAnsi="Times New Roman" w:cs="Times New Roman"/>
          <w:lang w:val="en-GB"/>
        </w:rPr>
        <w:t>’</w:t>
      </w:r>
      <w:r w:rsidRPr="00FD215D">
        <w:rPr>
          <w:rFonts w:ascii="Times New Roman" w:hAnsi="Times New Roman" w:cs="Times New Roman"/>
          <w:lang w:val="en-GB"/>
        </w:rPr>
        <w:t xml:space="preserve">s elaboration is MAHLMANN, T.: </w:t>
      </w:r>
      <w:r w:rsidRPr="00FD215D">
        <w:rPr>
          <w:rFonts w:ascii="Times New Roman" w:hAnsi="Times New Roman" w:cs="Times New Roman"/>
          <w:i/>
          <w:iCs/>
          <w:lang w:val="en-GB"/>
        </w:rPr>
        <w:t>Das neue Dogma der lutherischen Christologie: Problem und Geschichte seiner Begründung</w:t>
      </w:r>
      <w:r w:rsidRPr="00FD215D">
        <w:rPr>
          <w:rFonts w:ascii="Times New Roman" w:hAnsi="Times New Roman" w:cs="Times New Roman"/>
          <w:lang w:val="en-GB"/>
        </w:rPr>
        <w:t xml:space="preserve">. Gütersloh: Gütersloher Verlagshaus Gerd Mohn, 1969. The codification in the </w:t>
      </w:r>
      <w:r w:rsidRPr="00FD215D">
        <w:rPr>
          <w:rFonts w:ascii="Times New Roman" w:hAnsi="Times New Roman" w:cs="Times New Roman"/>
          <w:i/>
          <w:iCs/>
          <w:lang w:val="en-GB"/>
        </w:rPr>
        <w:t>Formula of Concord</w:t>
      </w:r>
      <w:r w:rsidRPr="00FD215D">
        <w:rPr>
          <w:rFonts w:ascii="Times New Roman" w:hAnsi="Times New Roman" w:cs="Times New Roman"/>
          <w:lang w:val="en-GB"/>
        </w:rPr>
        <w:t xml:space="preserve"> is at SD VIII; see KOLB, R. – WENGERT, T. J. (eds.): </w:t>
      </w:r>
      <w:r w:rsidRPr="00FD215D">
        <w:rPr>
          <w:rFonts w:ascii="Times New Roman" w:hAnsi="Times New Roman" w:cs="Times New Roman"/>
          <w:i/>
          <w:iCs/>
          <w:lang w:val="en-GB"/>
        </w:rPr>
        <w:t>The Book of Concord</w:t>
      </w:r>
      <w:r w:rsidRPr="00FD215D">
        <w:rPr>
          <w:rFonts w:ascii="Times New Roman" w:hAnsi="Times New Roman" w:cs="Times New Roman"/>
          <w:lang w:val="en-GB"/>
        </w:rPr>
        <w:t>. Minneapolis: Fortress Press, 2000, pp. 616 – 634.</w:t>
      </w:r>
    </w:p>
  </w:footnote>
  <w:footnote w:id="20">
    <w:p w14:paraId="6F7FD67F" w14:textId="010D6643" w:rsidR="00AB0CF5" w:rsidRPr="00FD215D" w:rsidRDefault="00AB0CF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rPr>
        <w:t xml:space="preserve"> </w:t>
      </w:r>
      <w:r w:rsidR="00825649" w:rsidRPr="00FD215D">
        <w:rPr>
          <w:rFonts w:ascii="Times New Roman" w:hAnsi="Times New Roman" w:cs="Times New Roman"/>
        </w:rPr>
        <w:t>BENKA, P. (ed.): </w:t>
      </w:r>
      <w:r w:rsidR="00825649" w:rsidRPr="00FD215D">
        <w:rPr>
          <w:rFonts w:ascii="Times New Roman" w:hAnsi="Times New Roman" w:cs="Times New Roman"/>
          <w:i/>
          <w:iCs/>
        </w:rPr>
        <w:t>Agenda Neosoliensia</w:t>
      </w:r>
      <w:r w:rsidR="00825649" w:rsidRPr="00FD215D">
        <w:rPr>
          <w:rFonts w:ascii="Times New Roman" w:hAnsi="Times New Roman" w:cs="Times New Roman"/>
        </w:rPr>
        <w:t xml:space="preserve">. Monumenta Linguae Slovacae X. Bratislava: Univerzita Komenského, 2024, p. 79. </w:t>
      </w:r>
      <w:r w:rsidR="00825649" w:rsidRPr="00FD215D">
        <w:rPr>
          <w:rFonts w:ascii="Times New Roman" w:hAnsi="Times New Roman" w:cs="Times New Roman"/>
          <w:lang w:val="en-GB"/>
        </w:rPr>
        <w:t>Benka cites the formula from the </w:t>
      </w:r>
      <w:r w:rsidR="00825649" w:rsidRPr="00FD215D">
        <w:rPr>
          <w:rFonts w:ascii="Times New Roman" w:hAnsi="Times New Roman" w:cs="Times New Roman"/>
          <w:i/>
          <w:iCs/>
          <w:lang w:val="en-GB"/>
        </w:rPr>
        <w:t>Agenda Česká</w:t>
      </w:r>
      <w:r w:rsidR="00825649" w:rsidRPr="00FD215D">
        <w:rPr>
          <w:rFonts w:ascii="Times New Roman" w:hAnsi="Times New Roman" w:cs="Times New Roman"/>
          <w:lang w:val="en-GB"/>
        </w:rPr>
        <w:t> itself; the parallel passage in the rite proper is at p. 143 of the edition.</w:t>
      </w:r>
    </w:p>
  </w:footnote>
  <w:footnote w:id="21">
    <w:p w14:paraId="610FD9CC" w14:textId="3A3443E3" w:rsidR="00825649" w:rsidRPr="00FD215D" w:rsidRDefault="00825649">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19616C" w:rsidRPr="00FD215D">
        <w:rPr>
          <w:rFonts w:ascii="Times New Roman" w:hAnsi="Times New Roman" w:cs="Times New Roman"/>
          <w:lang w:val="pt-PT"/>
        </w:rPr>
        <w:t>BENKA, P. (ed.): </w:t>
      </w:r>
      <w:r w:rsidR="0019616C" w:rsidRPr="00FD215D">
        <w:rPr>
          <w:rFonts w:ascii="Times New Roman" w:hAnsi="Times New Roman" w:cs="Times New Roman"/>
          <w:i/>
          <w:iCs/>
          <w:lang w:val="pt-PT"/>
        </w:rPr>
        <w:t>Agenda Neosoliensia</w:t>
      </w:r>
      <w:r w:rsidR="0019616C" w:rsidRPr="00FD215D">
        <w:rPr>
          <w:rFonts w:ascii="Times New Roman" w:hAnsi="Times New Roman" w:cs="Times New Roman"/>
          <w:lang w:val="pt-PT"/>
        </w:rPr>
        <w:t>. Monumenta Linguae Slovacae X. Bratislava: Univerzita Komenského, 2024, p. 79. </w:t>
      </w:r>
    </w:p>
  </w:footnote>
  <w:footnote w:id="22">
    <w:p w14:paraId="7F0889C8" w14:textId="573514E1" w:rsidR="0019616C" w:rsidRPr="00FD215D" w:rsidRDefault="0019616C" w:rsidP="009F241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C82123" w:rsidRPr="00FD215D">
        <w:rPr>
          <w:rFonts w:ascii="Times New Roman" w:hAnsi="Times New Roman" w:cs="Times New Roman"/>
          <w:lang w:val="pt-PT"/>
        </w:rPr>
        <w:t>BENKA, P. (ed.): </w:t>
      </w:r>
      <w:r w:rsidR="00C82123" w:rsidRPr="00FD215D">
        <w:rPr>
          <w:rFonts w:ascii="Times New Roman" w:hAnsi="Times New Roman" w:cs="Times New Roman"/>
          <w:i/>
          <w:iCs/>
          <w:lang w:val="pt-PT"/>
        </w:rPr>
        <w:t>Agenda Neosoliensia</w:t>
      </w:r>
      <w:r w:rsidR="00C82123" w:rsidRPr="00FD215D">
        <w:rPr>
          <w:rFonts w:ascii="Times New Roman" w:hAnsi="Times New Roman" w:cs="Times New Roman"/>
          <w:lang w:val="pt-PT"/>
        </w:rPr>
        <w:t>. Monumenta Linguae Slovacae X. Bratislava: Univerzita Komenského, 2024, p. 142.</w:t>
      </w:r>
      <w:r w:rsidR="002149E6" w:rsidRPr="00FD215D">
        <w:rPr>
          <w:rFonts w:ascii="Times New Roman" w:hAnsi="Times New Roman" w:cs="Times New Roman"/>
          <w:lang w:val="pt-PT"/>
        </w:rPr>
        <w:t xml:space="preserve"> </w:t>
      </w:r>
      <w:r w:rsidR="002149E6" w:rsidRPr="00FD215D">
        <w:rPr>
          <w:rFonts w:ascii="Times New Roman" w:hAnsi="Times New Roman" w:cs="Times New Roman"/>
        </w:rPr>
        <w:t xml:space="preserve">The </w:t>
      </w:r>
      <w:r w:rsidR="002149E6" w:rsidRPr="00FD215D">
        <w:rPr>
          <w:rFonts w:ascii="Times New Roman" w:hAnsi="Times New Roman" w:cs="Times New Roman"/>
          <w:i/>
          <w:iCs/>
        </w:rPr>
        <w:t>consolatio conscientiae</w:t>
      </w:r>
      <w:r w:rsidR="002149E6" w:rsidRPr="00FD215D">
        <w:rPr>
          <w:rFonts w:ascii="Times New Roman" w:hAnsi="Times New Roman" w:cs="Times New Roman"/>
        </w:rPr>
        <w:t xml:space="preserve"> characterisation here follows the trajectory established in Luther</w:t>
      </w:r>
      <w:r w:rsidR="00FD1986" w:rsidRPr="00FD215D">
        <w:rPr>
          <w:rFonts w:ascii="Times New Roman" w:hAnsi="Times New Roman" w:cs="Times New Roman"/>
        </w:rPr>
        <w:t>’</w:t>
      </w:r>
      <w:r w:rsidR="002149E6" w:rsidRPr="00FD215D">
        <w:rPr>
          <w:rFonts w:ascii="Times New Roman" w:hAnsi="Times New Roman" w:cs="Times New Roman"/>
        </w:rPr>
        <w:t xml:space="preserve">s own catechetical articulation of the sacrament — see LUTHER, M.: </w:t>
      </w:r>
      <w:r w:rsidR="002149E6" w:rsidRPr="00FD215D">
        <w:rPr>
          <w:rFonts w:ascii="Times New Roman" w:hAnsi="Times New Roman" w:cs="Times New Roman"/>
          <w:i/>
          <w:iCs/>
        </w:rPr>
        <w:t>Kleiner Katechismus</w:t>
      </w:r>
      <w:r w:rsidR="002149E6" w:rsidRPr="00FD215D">
        <w:rPr>
          <w:rFonts w:ascii="Times New Roman" w:hAnsi="Times New Roman" w:cs="Times New Roman"/>
        </w:rPr>
        <w:t xml:space="preserve"> (1529), </w:t>
      </w:r>
      <w:r w:rsidR="00FD1986" w:rsidRPr="00FD215D">
        <w:rPr>
          <w:rFonts w:ascii="Times New Roman" w:hAnsi="Times New Roman" w:cs="Times New Roman"/>
        </w:rPr>
        <w:t>“</w:t>
      </w:r>
      <w:r w:rsidR="002149E6" w:rsidRPr="00FD215D">
        <w:rPr>
          <w:rFonts w:ascii="Times New Roman" w:hAnsi="Times New Roman" w:cs="Times New Roman"/>
        </w:rPr>
        <w:t>Vom Sakrament des Altars,</w:t>
      </w:r>
      <w:r w:rsidR="00FD1986" w:rsidRPr="00FD215D">
        <w:rPr>
          <w:rFonts w:ascii="Times New Roman" w:hAnsi="Times New Roman" w:cs="Times New Roman"/>
        </w:rPr>
        <w:t>”</w:t>
      </w:r>
      <w:r w:rsidR="002149E6" w:rsidRPr="00FD215D">
        <w:rPr>
          <w:rFonts w:ascii="Times New Roman" w:hAnsi="Times New Roman" w:cs="Times New Roman"/>
        </w:rPr>
        <w:t xml:space="preserve"> and especially </w:t>
      </w:r>
      <w:r w:rsidR="002149E6" w:rsidRPr="00FD215D">
        <w:rPr>
          <w:rFonts w:ascii="Times New Roman" w:hAnsi="Times New Roman" w:cs="Times New Roman"/>
          <w:i/>
          <w:iCs/>
        </w:rPr>
        <w:t>Großer Katechismus</w:t>
      </w:r>
      <w:r w:rsidR="002149E6" w:rsidRPr="00FD215D">
        <w:rPr>
          <w:rFonts w:ascii="Times New Roman" w:hAnsi="Times New Roman" w:cs="Times New Roman"/>
        </w:rPr>
        <w:t xml:space="preserve"> (1529), </w:t>
      </w:r>
      <w:r w:rsidR="00FD1986" w:rsidRPr="00FD215D">
        <w:rPr>
          <w:rFonts w:ascii="Times New Roman" w:hAnsi="Times New Roman" w:cs="Times New Roman"/>
        </w:rPr>
        <w:t>“</w:t>
      </w:r>
      <w:r w:rsidR="002149E6" w:rsidRPr="00FD215D">
        <w:rPr>
          <w:rFonts w:ascii="Times New Roman" w:hAnsi="Times New Roman" w:cs="Times New Roman"/>
        </w:rPr>
        <w:t>Vom Sakrament des Altars,</w:t>
      </w:r>
      <w:r w:rsidR="00FD1986" w:rsidRPr="00FD215D">
        <w:rPr>
          <w:rFonts w:ascii="Times New Roman" w:hAnsi="Times New Roman" w:cs="Times New Roman"/>
        </w:rPr>
        <w:t>”</w:t>
      </w:r>
      <w:r w:rsidR="002149E6" w:rsidRPr="00FD215D">
        <w:rPr>
          <w:rFonts w:ascii="Times New Roman" w:hAnsi="Times New Roman" w:cs="Times New Roman"/>
        </w:rPr>
        <w:t xml:space="preserve"> in</w:t>
      </w:r>
      <w:r w:rsidR="006D3DC7" w:rsidRPr="00FD215D">
        <w:rPr>
          <w:rFonts w:ascii="Times New Roman" w:hAnsi="Times New Roman" w:cs="Times New Roman"/>
        </w:rPr>
        <w:t xml:space="preserve"> </w:t>
      </w:r>
      <w:r w:rsidR="00BB03F8" w:rsidRPr="00FD215D">
        <w:rPr>
          <w:rFonts w:ascii="Times New Roman" w:hAnsi="Times New Roman" w:cs="Times New Roman"/>
        </w:rPr>
        <w:t>DINGEL</w:t>
      </w:r>
      <w:r w:rsidR="006D3DC7" w:rsidRPr="00FD215D">
        <w:rPr>
          <w:rFonts w:ascii="Times New Roman" w:hAnsi="Times New Roman" w:cs="Times New Roman"/>
        </w:rPr>
        <w:t>, Irene, ed. </w:t>
      </w:r>
      <w:r w:rsidR="006D3DC7" w:rsidRPr="00FD215D">
        <w:rPr>
          <w:rFonts w:ascii="Times New Roman" w:hAnsi="Times New Roman" w:cs="Times New Roman"/>
          <w:i/>
          <w:iCs/>
        </w:rPr>
        <w:t>Die Bekenntnisschriften der Evangelisch-Lutherischen Kirche</w:t>
      </w:r>
      <w:r w:rsidR="00BB03F8" w:rsidRPr="00FD215D">
        <w:rPr>
          <w:rFonts w:ascii="Times New Roman" w:hAnsi="Times New Roman" w:cs="Times New Roman"/>
          <w:i/>
          <w:iCs/>
        </w:rPr>
        <w:t xml:space="preserve"> </w:t>
      </w:r>
      <w:r w:rsidR="00BB03F8" w:rsidRPr="00FD215D">
        <w:rPr>
          <w:rFonts w:ascii="Times New Roman" w:hAnsi="Times New Roman" w:cs="Times New Roman"/>
        </w:rPr>
        <w:t>[BSELK]</w:t>
      </w:r>
      <w:r w:rsidR="006D3DC7" w:rsidRPr="00FD215D">
        <w:rPr>
          <w:rFonts w:ascii="Times New Roman" w:hAnsi="Times New Roman" w:cs="Times New Roman"/>
        </w:rPr>
        <w:t>. Vollständige Neuedition. Göttingen: Vandenhoeck &amp; Ruprecht, 2014</w:t>
      </w:r>
      <w:r w:rsidR="002149E6" w:rsidRPr="00FD215D">
        <w:rPr>
          <w:rFonts w:ascii="Times New Roman" w:hAnsi="Times New Roman" w:cs="Times New Roman"/>
          <w:lang w:val="en-GB"/>
        </w:rPr>
        <w:t xml:space="preserve">, pp. 882 – 898 and pp. 1112 – 1142 — and given its mature confessional form in </w:t>
      </w:r>
      <w:r w:rsidR="002149E6" w:rsidRPr="00FD215D">
        <w:rPr>
          <w:rFonts w:ascii="Times New Roman" w:hAnsi="Times New Roman" w:cs="Times New Roman"/>
          <w:i/>
          <w:iCs/>
          <w:lang w:val="en-GB"/>
        </w:rPr>
        <w:t>Apologia Confessionis Augustanae</w:t>
      </w:r>
      <w:r w:rsidR="002149E6" w:rsidRPr="00FD215D">
        <w:rPr>
          <w:rFonts w:ascii="Times New Roman" w:hAnsi="Times New Roman" w:cs="Times New Roman"/>
          <w:lang w:val="en-GB"/>
        </w:rPr>
        <w:t xml:space="preserve"> XXIV (Melanchthon</w:t>
      </w:r>
      <w:r w:rsidR="00FD1986" w:rsidRPr="00FD215D">
        <w:rPr>
          <w:rFonts w:ascii="Times New Roman" w:hAnsi="Times New Roman" w:cs="Times New Roman"/>
          <w:lang w:val="en-GB"/>
        </w:rPr>
        <w:t>’</w:t>
      </w:r>
      <w:r w:rsidR="002149E6" w:rsidRPr="00FD215D">
        <w:rPr>
          <w:rFonts w:ascii="Times New Roman" w:hAnsi="Times New Roman" w:cs="Times New Roman"/>
          <w:lang w:val="en-GB"/>
        </w:rPr>
        <w:t>s defence of the Mass), where the sacrament</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pastoral purpose is articulated as the strengthening of consciences against terror of sin and judgment; see KOLB – WENGERT 2000, pp. 258 – 294, esp. pp. 268 – 270. On </w:t>
      </w:r>
      <w:r w:rsidR="002149E6" w:rsidRPr="00FD215D">
        <w:rPr>
          <w:rFonts w:ascii="Times New Roman" w:hAnsi="Times New Roman" w:cs="Times New Roman"/>
          <w:i/>
          <w:iCs/>
          <w:lang w:val="en-GB"/>
        </w:rPr>
        <w:t>consolatio</w:t>
      </w:r>
      <w:r w:rsidR="002149E6" w:rsidRPr="00FD215D">
        <w:rPr>
          <w:rFonts w:ascii="Times New Roman" w:hAnsi="Times New Roman" w:cs="Times New Roman"/>
          <w:lang w:val="en-GB"/>
        </w:rPr>
        <w:t xml:space="preserve"> as an organising key for Luther</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whole theology, see BAYER, O.: </w:t>
      </w:r>
      <w:r w:rsidR="002149E6" w:rsidRPr="00FD215D">
        <w:rPr>
          <w:rFonts w:ascii="Times New Roman" w:hAnsi="Times New Roman" w:cs="Times New Roman"/>
          <w:i/>
          <w:iCs/>
          <w:lang w:val="en-GB"/>
        </w:rPr>
        <w:t>Martin Luther</w:t>
      </w:r>
      <w:r w:rsidR="00FD1986" w:rsidRPr="00FD215D">
        <w:rPr>
          <w:rFonts w:ascii="Times New Roman" w:hAnsi="Times New Roman" w:cs="Times New Roman"/>
          <w:i/>
          <w:iCs/>
          <w:lang w:val="en-GB"/>
        </w:rPr>
        <w:t>’</w:t>
      </w:r>
      <w:r w:rsidR="002149E6" w:rsidRPr="00FD215D">
        <w:rPr>
          <w:rFonts w:ascii="Times New Roman" w:hAnsi="Times New Roman" w:cs="Times New Roman"/>
          <w:i/>
          <w:iCs/>
          <w:lang w:val="en-GB"/>
        </w:rPr>
        <w:t>s Theology: A Contemporary Interpretation</w:t>
      </w:r>
      <w:r w:rsidR="002149E6" w:rsidRPr="00FD215D">
        <w:rPr>
          <w:rFonts w:ascii="Times New Roman" w:hAnsi="Times New Roman" w:cs="Times New Roman"/>
          <w:lang w:val="en-GB"/>
        </w:rPr>
        <w:t xml:space="preserve">. Trans. Thomas H. Trapp. Grand Rapids: Eerdmans, 2008. The contrast: the Utraquist sacramental piety preserved the late-medieval Czech accent on the Eucharist as the sanctifying-transformative reception of the </w:t>
      </w:r>
      <w:r w:rsidR="002149E6" w:rsidRPr="00FD215D">
        <w:rPr>
          <w:rFonts w:ascii="Times New Roman" w:hAnsi="Times New Roman" w:cs="Times New Roman"/>
          <w:i/>
          <w:iCs/>
          <w:lang w:val="en-GB"/>
        </w:rPr>
        <w:t>corpus Christi verum</w:t>
      </w:r>
      <w:r w:rsidR="002149E6" w:rsidRPr="00FD215D">
        <w:rPr>
          <w:rFonts w:ascii="Times New Roman" w:hAnsi="Times New Roman" w:cs="Times New Roman"/>
          <w:lang w:val="en-GB"/>
        </w:rPr>
        <w:t xml:space="preserve"> — the inheritance of Hus</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defence of frequent communion as the means of progressive participation in Christ; see </w:t>
      </w:r>
      <w:r w:rsidR="009F2415" w:rsidRPr="00FD215D">
        <w:rPr>
          <w:rFonts w:ascii="Times New Roman" w:hAnsi="Times New Roman" w:cs="Times New Roman"/>
          <w:lang w:val="en-GB"/>
        </w:rPr>
        <w:t xml:space="preserve">GRAHAM, B. F.H. </w:t>
      </w:r>
      <w:r w:rsidR="00FD1986" w:rsidRPr="00FD215D">
        <w:rPr>
          <w:rFonts w:ascii="Times New Roman" w:hAnsi="Times New Roman" w:cs="Times New Roman"/>
          <w:lang w:val="en-GB"/>
        </w:rPr>
        <w:t>“</w:t>
      </w:r>
      <w:r w:rsidR="009F2415" w:rsidRPr="00FD215D">
        <w:rPr>
          <w:rFonts w:ascii="Times New Roman" w:hAnsi="Times New Roman" w:cs="Times New Roman"/>
          <w:lang w:val="en-GB"/>
        </w:rPr>
        <w:t>The evolution of the Utraquist Mass, 1420-1620.</w:t>
      </w:r>
      <w:r w:rsidR="00FD1986" w:rsidRPr="00FD215D">
        <w:rPr>
          <w:rFonts w:ascii="Times New Roman" w:hAnsi="Times New Roman" w:cs="Times New Roman"/>
          <w:lang w:val="en-GB"/>
        </w:rPr>
        <w:t>”</w:t>
      </w:r>
      <w:r w:rsidR="009F2415" w:rsidRPr="00FD215D">
        <w:rPr>
          <w:rFonts w:ascii="Times New Roman" w:hAnsi="Times New Roman" w:cs="Times New Roman"/>
          <w:lang w:val="en-GB"/>
        </w:rPr>
        <w:t> </w:t>
      </w:r>
      <w:r w:rsidR="009F2415" w:rsidRPr="00FD215D">
        <w:rPr>
          <w:rFonts w:ascii="Times New Roman" w:hAnsi="Times New Roman" w:cs="Times New Roman"/>
          <w:i/>
          <w:iCs/>
          <w:lang w:val="de-DE"/>
        </w:rPr>
        <w:t>Catholic Historical Review</w:t>
      </w:r>
      <w:r w:rsidR="009F2415" w:rsidRPr="00FD215D">
        <w:rPr>
          <w:rFonts w:ascii="Times New Roman" w:hAnsi="Times New Roman" w:cs="Times New Roman"/>
          <w:lang w:val="de-DE"/>
        </w:rPr>
        <w:t xml:space="preserve"> (2006): 553-573; </w:t>
      </w:r>
      <w:r w:rsidR="002149E6" w:rsidRPr="00FD215D">
        <w:rPr>
          <w:rFonts w:ascii="Times New Roman" w:hAnsi="Times New Roman" w:cs="Times New Roman"/>
          <w:lang w:val="de-DE"/>
        </w:rPr>
        <w:t xml:space="preserve">SCHOEN, </w:t>
      </w:r>
      <w:r w:rsidR="009F2415" w:rsidRPr="00FD215D">
        <w:rPr>
          <w:rFonts w:ascii="Times New Roman" w:hAnsi="Times New Roman" w:cs="Times New Roman"/>
          <w:lang w:val="de-DE"/>
        </w:rPr>
        <w:t xml:space="preserve">C. </w:t>
      </w:r>
      <w:r w:rsidR="002149E6" w:rsidRPr="00FD215D">
        <w:rPr>
          <w:rFonts w:ascii="Times New Roman" w:hAnsi="Times New Roman" w:cs="Times New Roman"/>
          <w:lang w:val="de-DE"/>
        </w:rPr>
        <w:t>M.:</w:t>
      </w:r>
      <w:r w:rsidR="009F2415" w:rsidRPr="00FD215D">
        <w:rPr>
          <w:rFonts w:ascii="Times New Roman" w:hAnsi="Times New Roman" w:cs="Times New Roman"/>
          <w:i/>
          <w:iCs/>
          <w:lang w:val="de-DE"/>
        </w:rPr>
        <w:t xml:space="preserve"> Der böhmische Utraquismus als Konfession im 16. </w:t>
      </w:r>
      <w:r w:rsidR="009F2415" w:rsidRPr="00FD215D">
        <w:rPr>
          <w:rFonts w:ascii="Times New Roman" w:hAnsi="Times New Roman" w:cs="Times New Roman"/>
          <w:i/>
          <w:iCs/>
          <w:lang w:val="en-GB"/>
        </w:rPr>
        <w:t xml:space="preserve">Jahrhundert. </w:t>
      </w:r>
      <w:r w:rsidR="009F2415" w:rsidRPr="00FD215D">
        <w:rPr>
          <w:rFonts w:ascii="Times New Roman" w:hAnsi="Times New Roman" w:cs="Times New Roman"/>
          <w:lang w:val="en-GB"/>
        </w:rPr>
        <w:t>[Gütersloher Verlagshaus],</w:t>
      </w:r>
      <w:r w:rsidR="009F2415" w:rsidRPr="00FD215D">
        <w:rPr>
          <w:rFonts w:ascii="Times New Roman" w:hAnsi="Times New Roman" w:cs="Times New Roman"/>
          <w:i/>
          <w:iCs/>
          <w:lang w:val="en-GB"/>
        </w:rPr>
        <w:t xml:space="preserve"> </w:t>
      </w:r>
      <w:r w:rsidR="009F2415" w:rsidRPr="00FD215D">
        <w:rPr>
          <w:rFonts w:ascii="Times New Roman" w:hAnsi="Times New Roman" w:cs="Times New Roman"/>
          <w:lang w:val="en-GB"/>
        </w:rPr>
        <w:t>2022</w:t>
      </w:r>
      <w:r w:rsidR="00585974" w:rsidRPr="00FD215D">
        <w:rPr>
          <w:rFonts w:ascii="Times New Roman" w:hAnsi="Times New Roman" w:cs="Times New Roman"/>
          <w:i/>
          <w:iCs/>
          <w:lang w:val="en-GB"/>
        </w:rPr>
        <w:t xml:space="preserve">, </w:t>
      </w:r>
      <w:r w:rsidR="009E0906" w:rsidRPr="00FD215D">
        <w:rPr>
          <w:rFonts w:ascii="Times New Roman" w:hAnsi="Times New Roman" w:cs="Times New Roman"/>
        </w:rPr>
        <w:t xml:space="preserve">HOLETON, David R.: "The Evolution of Utraquist Liturgy: A Precursor of Western Liturgical Reform." </w:t>
      </w:r>
      <w:r w:rsidR="009E0906" w:rsidRPr="00FD215D">
        <w:rPr>
          <w:rFonts w:ascii="Times New Roman" w:hAnsi="Times New Roman" w:cs="Times New Roman"/>
          <w:i/>
          <w:iCs/>
        </w:rPr>
        <w:t>Religio</w:t>
      </w:r>
      <w:r w:rsidR="009E0906" w:rsidRPr="00FD215D">
        <w:rPr>
          <w:rFonts w:ascii="Times New Roman" w:hAnsi="Times New Roman" w:cs="Times New Roman"/>
        </w:rPr>
        <w:t xml:space="preserve"> 1, no. 2 (1993): [155]–164</w:t>
      </w:r>
      <w:r w:rsidR="00585974" w:rsidRPr="00FD215D">
        <w:rPr>
          <w:rFonts w:ascii="Times New Roman" w:hAnsi="Times New Roman" w:cs="Times New Roman"/>
          <w:lang w:val="en-GB"/>
        </w:rPr>
        <w:t xml:space="preserve">; and DAVID, Z. V.: </w:t>
      </w:r>
      <w:r w:rsidR="00FD1986" w:rsidRPr="00FD215D">
        <w:rPr>
          <w:rFonts w:ascii="Times New Roman" w:hAnsi="Times New Roman" w:cs="Times New Roman"/>
          <w:lang w:val="en-GB"/>
        </w:rPr>
        <w:t>“</w:t>
      </w:r>
      <w:r w:rsidR="00585974" w:rsidRPr="00FD215D">
        <w:rPr>
          <w:rFonts w:ascii="Times New Roman" w:hAnsi="Times New Roman" w:cs="Times New Roman"/>
          <w:lang w:val="en-GB"/>
        </w:rPr>
        <w:t>Utraquists, Lutherans, and the Bohemian Confession of 1575.</w:t>
      </w:r>
      <w:r w:rsidR="00FD1986" w:rsidRPr="00FD215D">
        <w:rPr>
          <w:rFonts w:ascii="Times New Roman" w:hAnsi="Times New Roman" w:cs="Times New Roman"/>
          <w:lang w:val="en-GB"/>
        </w:rPr>
        <w:t>”</w:t>
      </w:r>
      <w:r w:rsidR="00585974" w:rsidRPr="00FD215D">
        <w:rPr>
          <w:rFonts w:ascii="Times New Roman" w:hAnsi="Times New Roman" w:cs="Times New Roman"/>
          <w:lang w:val="en-GB"/>
        </w:rPr>
        <w:t> </w:t>
      </w:r>
      <w:r w:rsidR="00585974" w:rsidRPr="00FD215D">
        <w:rPr>
          <w:rFonts w:ascii="Times New Roman" w:hAnsi="Times New Roman" w:cs="Times New Roman"/>
          <w:i/>
          <w:iCs/>
          <w:lang w:val="en-GB"/>
        </w:rPr>
        <w:t>Church History</w:t>
      </w:r>
      <w:r w:rsidR="00585974" w:rsidRPr="00FD215D">
        <w:rPr>
          <w:rFonts w:ascii="Times New Roman" w:hAnsi="Times New Roman" w:cs="Times New Roman"/>
          <w:lang w:val="en-GB"/>
        </w:rPr>
        <w:t xml:space="preserve"> 68, no. 2 (1999): 294–337. https://doi.org/10.2307/3170859. </w:t>
      </w:r>
      <w:r w:rsidR="002149E6" w:rsidRPr="00FD215D">
        <w:rPr>
          <w:rFonts w:ascii="Times New Roman" w:hAnsi="Times New Roman" w:cs="Times New Roman"/>
          <w:lang w:val="en-GB"/>
        </w:rPr>
        <w:t>The Unity of Brethren preserved instead a disciplinary-communal accent. The Eucharist was perceived as (also) the ratification of the worthy communicant</w:t>
      </w:r>
      <w:r w:rsidR="00FD1986" w:rsidRPr="00FD215D">
        <w:rPr>
          <w:rFonts w:ascii="Times New Roman" w:hAnsi="Times New Roman" w:cs="Times New Roman"/>
          <w:lang w:val="en-GB"/>
        </w:rPr>
        <w:t>’</w:t>
      </w:r>
      <w:r w:rsidR="002149E6" w:rsidRPr="00FD215D">
        <w:rPr>
          <w:rFonts w:ascii="Times New Roman" w:hAnsi="Times New Roman" w:cs="Times New Roman"/>
          <w:lang w:val="en-GB"/>
        </w:rPr>
        <w:t xml:space="preserve">s standing within the gathered community of the disciplined, with Brethren self-examination, confession, and church discipline functioning as the matrix in which Eucharistic reception was situated; see ATWOOD, C. D.: </w:t>
      </w:r>
      <w:r w:rsidR="002149E6" w:rsidRPr="00FD215D">
        <w:rPr>
          <w:rFonts w:ascii="Times New Roman" w:hAnsi="Times New Roman" w:cs="Times New Roman"/>
          <w:i/>
          <w:iCs/>
          <w:lang w:val="en-GB"/>
        </w:rPr>
        <w:t>The Theology of the Czech Brethren from Hus to Comenius</w:t>
      </w:r>
      <w:r w:rsidR="002149E6" w:rsidRPr="00FD215D">
        <w:rPr>
          <w:rFonts w:ascii="Times New Roman" w:hAnsi="Times New Roman" w:cs="Times New Roman"/>
          <w:lang w:val="en-GB"/>
        </w:rPr>
        <w:t>. University Park, PA: Pennsylvania State University Press, 2009.</w:t>
      </w:r>
      <w:r w:rsidR="009F2415" w:rsidRPr="00FD215D">
        <w:rPr>
          <w:rFonts w:ascii="Times New Roman" w:hAnsi="Times New Roman" w:cs="Times New Roman"/>
          <w:lang w:val="en-GB"/>
        </w:rPr>
        <w:t xml:space="preserve"> </w:t>
      </w:r>
    </w:p>
  </w:footnote>
  <w:footnote w:id="23">
    <w:p w14:paraId="25F28BE9" w14:textId="15F077EE" w:rsidR="00C82123" w:rsidRPr="00FD215D" w:rsidRDefault="00C82123">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C506D6" w:rsidRPr="00FD215D">
        <w:rPr>
          <w:rFonts w:ascii="Times New Roman" w:hAnsi="Times New Roman" w:cs="Times New Roman"/>
          <w:lang w:val="en-GB"/>
        </w:rPr>
        <w:t>BENKA, P. (ed.): </w:t>
      </w:r>
      <w:r w:rsidR="00C506D6" w:rsidRPr="00FD215D">
        <w:rPr>
          <w:rFonts w:ascii="Times New Roman" w:hAnsi="Times New Roman" w:cs="Times New Roman"/>
          <w:i/>
          <w:iCs/>
          <w:lang w:val="en-GB"/>
        </w:rPr>
        <w:t>Agenda Neosoliensia</w:t>
      </w:r>
      <w:r w:rsidR="00C506D6" w:rsidRPr="00FD215D">
        <w:rPr>
          <w:rFonts w:ascii="Times New Roman" w:hAnsi="Times New Roman" w:cs="Times New Roman"/>
          <w:lang w:val="en-GB"/>
        </w:rPr>
        <w:t xml:space="preserve">. Monumenta Linguae Slovacae X. Bratislava: Univerzita Komenského, 2024, pp. 149 – 150 (Form 2 of the Thanksgiving). Form 1 of the Thanksgiving (p. 149) speaks more generically of </w:t>
      </w:r>
      <w:r w:rsidR="00FD1986" w:rsidRPr="00FD215D">
        <w:rPr>
          <w:rFonts w:ascii="Times New Roman" w:hAnsi="Times New Roman" w:cs="Times New Roman"/>
          <w:lang w:val="en-GB"/>
        </w:rPr>
        <w:t>“</w:t>
      </w:r>
      <w:r w:rsidR="00C506D6" w:rsidRPr="00FD215D">
        <w:rPr>
          <w:rFonts w:ascii="Times New Roman" w:hAnsi="Times New Roman" w:cs="Times New Roman"/>
          <w:lang w:val="en-GB"/>
        </w:rPr>
        <w:t>tyto spasytedlné dary</w:t>
      </w:r>
      <w:r w:rsidR="00FD1986" w:rsidRPr="00FD215D">
        <w:rPr>
          <w:rFonts w:ascii="Times New Roman" w:hAnsi="Times New Roman" w:cs="Times New Roman"/>
          <w:lang w:val="en-GB"/>
        </w:rPr>
        <w:t>”</w:t>
      </w:r>
      <w:r w:rsidR="00C506D6" w:rsidRPr="00FD215D">
        <w:rPr>
          <w:rFonts w:ascii="Times New Roman" w:hAnsi="Times New Roman" w:cs="Times New Roman"/>
          <w:lang w:val="en-GB"/>
        </w:rPr>
        <w:t xml:space="preserve"> (</w:t>
      </w:r>
      <w:r w:rsidR="00FD1986" w:rsidRPr="00FD215D">
        <w:rPr>
          <w:rFonts w:ascii="Times New Roman" w:hAnsi="Times New Roman" w:cs="Times New Roman"/>
          <w:lang w:val="en-GB"/>
        </w:rPr>
        <w:t>“</w:t>
      </w:r>
      <w:r w:rsidR="00C506D6" w:rsidRPr="00FD215D">
        <w:rPr>
          <w:rFonts w:ascii="Times New Roman" w:hAnsi="Times New Roman" w:cs="Times New Roman"/>
          <w:lang w:val="en-GB"/>
        </w:rPr>
        <w:t>these salvific gifts</w:t>
      </w:r>
      <w:r w:rsidR="00FD1986" w:rsidRPr="00FD215D">
        <w:rPr>
          <w:rFonts w:ascii="Times New Roman" w:hAnsi="Times New Roman" w:cs="Times New Roman"/>
          <w:lang w:val="en-GB"/>
        </w:rPr>
        <w:t>”</w:t>
      </w:r>
      <w:r w:rsidR="00C506D6" w:rsidRPr="00FD215D">
        <w:rPr>
          <w:rFonts w:ascii="Times New Roman" w:hAnsi="Times New Roman" w:cs="Times New Roman"/>
          <w:lang w:val="en-GB"/>
        </w:rPr>
        <w:t>) — even more open in its identification of what has been received.</w:t>
      </w:r>
    </w:p>
  </w:footnote>
  <w:footnote w:id="24">
    <w:p w14:paraId="30E8AB4A" w14:textId="1E6CC9AB" w:rsidR="00C506D6" w:rsidRPr="00FD215D" w:rsidRDefault="00C506D6">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5A32E1" w:rsidRPr="00FD215D">
        <w:rPr>
          <w:rFonts w:ascii="Times New Roman" w:hAnsi="Times New Roman" w:cs="Times New Roman"/>
          <w:lang w:val="pt-PT"/>
        </w:rPr>
        <w:t>BENKA, P. (ed.): </w:t>
      </w:r>
      <w:r w:rsidR="005A32E1" w:rsidRPr="00FD215D">
        <w:rPr>
          <w:rFonts w:ascii="Times New Roman" w:hAnsi="Times New Roman" w:cs="Times New Roman"/>
          <w:i/>
          <w:iCs/>
          <w:lang w:val="pt-PT"/>
        </w:rPr>
        <w:t>Agenda Neosoliensia: Agenda Czeská 1581 a Bystrická agenda 1585</w:t>
      </w:r>
      <w:r w:rsidR="005A32E1" w:rsidRPr="00FD215D">
        <w:rPr>
          <w:rFonts w:ascii="Times New Roman" w:hAnsi="Times New Roman" w:cs="Times New Roman"/>
          <w:lang w:val="pt-PT"/>
        </w:rPr>
        <w:t xml:space="preserve">. Monumenta Linguae Slovacae X. Documenta Theologico-Religionistica, Tomus 2. Bratislava: Univerzita Komenského, 2024, pp. 265 – 368. </w:t>
      </w:r>
      <w:r w:rsidR="005A32E1" w:rsidRPr="00FD215D">
        <w:rPr>
          <w:rFonts w:ascii="Times New Roman" w:hAnsi="Times New Roman" w:cs="Times New Roman"/>
          <w:lang w:val="en-GB"/>
        </w:rPr>
        <w:t>The structural layout is summarised at p. 105 of Benka</w:t>
      </w:r>
      <w:r w:rsidR="00FD1986" w:rsidRPr="00FD215D">
        <w:rPr>
          <w:rFonts w:ascii="Times New Roman" w:hAnsi="Times New Roman" w:cs="Times New Roman"/>
          <w:lang w:val="en-GB"/>
        </w:rPr>
        <w:t>’</w:t>
      </w:r>
      <w:r w:rsidR="005A32E1" w:rsidRPr="00FD215D">
        <w:rPr>
          <w:rFonts w:ascii="Times New Roman" w:hAnsi="Times New Roman" w:cs="Times New Roman"/>
          <w:lang w:val="en-GB"/>
        </w:rPr>
        <w:t>s editorial methodology.</w:t>
      </w:r>
    </w:p>
  </w:footnote>
  <w:footnote w:id="25">
    <w:p w14:paraId="5C7E3CF7" w14:textId="538133A2" w:rsidR="005A32E1" w:rsidRPr="00FD215D" w:rsidRDefault="005A32E1">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BF4697" w:rsidRPr="00FD215D">
        <w:rPr>
          <w:rFonts w:ascii="Times New Roman" w:hAnsi="Times New Roman" w:cs="Times New Roman"/>
          <w:lang w:val="pt-PT"/>
        </w:rPr>
        <w:t>BENKA, P. (ed.): </w:t>
      </w:r>
      <w:r w:rsidR="00BF4697" w:rsidRPr="00FD215D">
        <w:rPr>
          <w:rFonts w:ascii="Times New Roman" w:hAnsi="Times New Roman" w:cs="Times New Roman"/>
          <w:i/>
          <w:iCs/>
          <w:lang w:val="pt-PT"/>
        </w:rPr>
        <w:t>Agenda Neosoliensia</w:t>
      </w:r>
      <w:r w:rsidR="00BF4697" w:rsidRPr="00FD215D">
        <w:rPr>
          <w:rFonts w:ascii="Times New Roman" w:hAnsi="Times New Roman" w:cs="Times New Roman"/>
          <w:lang w:val="pt-PT"/>
        </w:rPr>
        <w:t xml:space="preserve">. Monumenta Linguae Slovacae X. Bratislava: Univerzita Komenského, 2024, pp. 77 – 78. </w:t>
      </w:r>
      <w:r w:rsidR="00BF4697" w:rsidRPr="00FD215D">
        <w:rPr>
          <w:rFonts w:ascii="Times New Roman" w:hAnsi="Times New Roman" w:cs="Times New Roman"/>
          <w:lang w:val="en-GB"/>
        </w:rPr>
        <w:t>Benka discusses Georg Creutzer</w:t>
      </w:r>
      <w:r w:rsidR="00FD1986" w:rsidRPr="00FD215D">
        <w:rPr>
          <w:rFonts w:ascii="Times New Roman" w:hAnsi="Times New Roman" w:cs="Times New Roman"/>
          <w:lang w:val="en-GB"/>
        </w:rPr>
        <w:t>’</w:t>
      </w:r>
      <w:r w:rsidR="00BF4697" w:rsidRPr="00FD215D">
        <w:rPr>
          <w:rFonts w:ascii="Times New Roman" w:hAnsi="Times New Roman" w:cs="Times New Roman"/>
          <w:lang w:val="en-GB"/>
        </w:rPr>
        <w:t>s handbook, in which the denial of </w:t>
      </w:r>
      <w:r w:rsidR="00BF4697" w:rsidRPr="00FD215D">
        <w:rPr>
          <w:rFonts w:ascii="Times New Roman" w:hAnsi="Times New Roman" w:cs="Times New Roman"/>
          <w:i/>
          <w:iCs/>
          <w:lang w:val="en-GB"/>
        </w:rPr>
        <w:t>manducatio impiorum</w:t>
      </w:r>
      <w:r w:rsidR="00BF4697" w:rsidRPr="00FD215D">
        <w:rPr>
          <w:rFonts w:ascii="Times New Roman" w:hAnsi="Times New Roman" w:cs="Times New Roman"/>
          <w:lang w:val="en-GB"/>
        </w:rPr>
        <w:t> was listed among the doctrinal markers for identifying crypto-Calvinist clergy.</w:t>
      </w:r>
    </w:p>
  </w:footnote>
  <w:footnote w:id="26">
    <w:p w14:paraId="07C9061C" w14:textId="16C9CB37" w:rsidR="00BF4697" w:rsidRPr="00FD215D" w:rsidRDefault="00BF4697">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B75995" w:rsidRPr="00FD215D">
        <w:rPr>
          <w:rFonts w:ascii="Times New Roman" w:hAnsi="Times New Roman" w:cs="Times New Roman"/>
          <w:lang w:val="pt-PT"/>
        </w:rPr>
        <w:t>BENKA, P. (ed.): </w:t>
      </w:r>
      <w:r w:rsidR="00B75995" w:rsidRPr="00FD215D">
        <w:rPr>
          <w:rFonts w:ascii="Times New Roman" w:hAnsi="Times New Roman" w:cs="Times New Roman"/>
          <w:i/>
          <w:iCs/>
          <w:lang w:val="pt-PT"/>
        </w:rPr>
        <w:t>Agenda Neosoliensia</w:t>
      </w:r>
      <w:r w:rsidR="00B75995" w:rsidRPr="00FD215D">
        <w:rPr>
          <w:rFonts w:ascii="Times New Roman" w:hAnsi="Times New Roman" w:cs="Times New Roman"/>
          <w:lang w:val="pt-PT"/>
        </w:rPr>
        <w:t>. Monumenta Linguae Slovacae X. Bratislava: Univerzita Komenského, 2024, pp. 78 – 79.</w:t>
      </w:r>
    </w:p>
  </w:footnote>
  <w:footnote w:id="27">
    <w:p w14:paraId="4318401E" w14:textId="7CE8F92B" w:rsidR="00B75995" w:rsidRPr="00FD215D" w:rsidRDefault="00B7599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36307B" w:rsidRPr="00FD215D">
        <w:rPr>
          <w:rFonts w:ascii="Times New Roman" w:hAnsi="Times New Roman" w:cs="Times New Roman"/>
          <w:lang w:val="en-GB"/>
        </w:rPr>
        <w:t>For the Latin and German texts of the Formula of Concord, Solid Declaration, Article VII (1577), see KOLB, R. – WENGERT, T. J. (eds.): </w:t>
      </w:r>
      <w:r w:rsidR="0036307B" w:rsidRPr="00FD215D">
        <w:rPr>
          <w:rFonts w:ascii="Times New Roman" w:hAnsi="Times New Roman" w:cs="Times New Roman"/>
          <w:i/>
          <w:iCs/>
          <w:lang w:val="en-GB"/>
        </w:rPr>
        <w:t>The Book of Concord: The Confessions of the Evangelical Lutheran Church</w:t>
      </w:r>
      <w:r w:rsidR="0036307B" w:rsidRPr="00FD215D">
        <w:rPr>
          <w:rFonts w:ascii="Times New Roman" w:hAnsi="Times New Roman" w:cs="Times New Roman"/>
          <w:lang w:val="en-GB"/>
        </w:rPr>
        <w:t>. Minneapolis: Fortress Press, 2000, pp. 591 – 615; for the older Triglot edition (Latin, German, English in parallel), see BENTE, F. – DAU, W. H. T. (eds.): </w:t>
      </w:r>
      <w:r w:rsidR="0036307B" w:rsidRPr="00FD215D">
        <w:rPr>
          <w:rFonts w:ascii="Times New Roman" w:hAnsi="Times New Roman" w:cs="Times New Roman"/>
          <w:i/>
          <w:iCs/>
          <w:lang w:val="en-GB"/>
        </w:rPr>
        <w:t>Concordia Triglotta</w:t>
      </w:r>
      <w:r w:rsidR="0036307B" w:rsidRPr="00FD215D">
        <w:rPr>
          <w:rFonts w:ascii="Times New Roman" w:hAnsi="Times New Roman" w:cs="Times New Roman"/>
          <w:lang w:val="en-GB"/>
        </w:rPr>
        <w:t xml:space="preserve">. St. Louis: Concordia Publishing House, 1921, pp. 971 – 1015. The corresponding Latin formula of FC SD VII reads: </w:t>
      </w:r>
      <w:r w:rsidR="00FD1986" w:rsidRPr="00FD215D">
        <w:rPr>
          <w:rFonts w:ascii="Times New Roman" w:hAnsi="Times New Roman" w:cs="Times New Roman"/>
          <w:lang w:val="en-GB"/>
        </w:rPr>
        <w:t>“</w:t>
      </w:r>
      <w:r w:rsidR="0036307B" w:rsidRPr="00FD215D">
        <w:rPr>
          <w:rFonts w:ascii="Times New Roman" w:hAnsi="Times New Roman" w:cs="Times New Roman"/>
          <w:i/>
          <w:iCs/>
          <w:lang w:val="en-GB"/>
        </w:rPr>
        <w:t>Veracissime non solum vere credentes et digni, sed etiam indigni et increduli verum corpus et verum sanguinem Christi accipiant; sed non ad vitam et consolationem, verum ad iudicium et condemnationem</w:t>
      </w:r>
      <w:r w:rsidR="00FD1986" w:rsidRPr="00FD215D">
        <w:rPr>
          <w:rFonts w:ascii="Times New Roman" w:hAnsi="Times New Roman" w:cs="Times New Roman"/>
          <w:lang w:val="en-GB"/>
        </w:rPr>
        <w:t>”</w:t>
      </w:r>
      <w:r w:rsidR="0036307B" w:rsidRPr="00FD215D">
        <w:rPr>
          <w:rFonts w:ascii="Times New Roman" w:hAnsi="Times New Roman" w:cs="Times New Roman"/>
          <w:lang w:val="en-GB"/>
        </w:rPr>
        <w:t xml:space="preserve"> (Triglot ed., p. 990, §16). </w:t>
      </w:r>
    </w:p>
  </w:footnote>
  <w:footnote w:id="28">
    <w:p w14:paraId="013DCBC3" w14:textId="48C0D7C5" w:rsidR="0036307B" w:rsidRPr="00FD215D" w:rsidRDefault="0036307B">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8716AB" w:rsidRPr="00FD215D">
        <w:rPr>
          <w:rFonts w:ascii="Times New Roman" w:hAnsi="Times New Roman" w:cs="Times New Roman"/>
          <w:lang w:val="pt-PT"/>
        </w:rPr>
        <w:t>BENKA, P. (ed.): </w:t>
      </w:r>
      <w:r w:rsidR="008716AB" w:rsidRPr="00FD215D">
        <w:rPr>
          <w:rFonts w:ascii="Times New Roman" w:hAnsi="Times New Roman" w:cs="Times New Roman"/>
          <w:i/>
          <w:iCs/>
          <w:lang w:val="pt-PT"/>
        </w:rPr>
        <w:t>Agenda Neosoliensia</w:t>
      </w:r>
      <w:r w:rsidR="008716AB" w:rsidRPr="00FD215D">
        <w:rPr>
          <w:rFonts w:ascii="Times New Roman" w:hAnsi="Times New Roman" w:cs="Times New Roman"/>
          <w:lang w:val="pt-PT"/>
        </w:rPr>
        <w:t>. Monumenta Linguae Slovacae X. Bratislava: Univerzita Komenského, 2024, pp. 78 – 79.</w:t>
      </w:r>
    </w:p>
  </w:footnote>
  <w:footnote w:id="29">
    <w:p w14:paraId="3C4D8B9D" w14:textId="7A5F4443" w:rsidR="008716AB" w:rsidRPr="00FD215D" w:rsidRDefault="008716AB">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AD2AFC" w:rsidRPr="00FD215D">
        <w:rPr>
          <w:rFonts w:ascii="Times New Roman" w:hAnsi="Times New Roman" w:cs="Times New Roman"/>
          <w:lang w:val="pt-PT"/>
        </w:rPr>
        <w:t>BENKA, P. (ed.): </w:t>
      </w:r>
      <w:r w:rsidR="00AD2AFC" w:rsidRPr="00FD215D">
        <w:rPr>
          <w:rFonts w:ascii="Times New Roman" w:hAnsi="Times New Roman" w:cs="Times New Roman"/>
          <w:i/>
          <w:iCs/>
          <w:lang w:val="pt-PT"/>
        </w:rPr>
        <w:t>Agenda Neosoliensia</w:t>
      </w:r>
      <w:r w:rsidR="00AD2AFC" w:rsidRPr="00FD215D">
        <w:rPr>
          <w:rFonts w:ascii="Times New Roman" w:hAnsi="Times New Roman" w:cs="Times New Roman"/>
          <w:lang w:val="pt-PT"/>
        </w:rPr>
        <w:t xml:space="preserve">. Monumenta Linguae Slovacae X. Bratislava: Univerzita Komenského, 2024, pp. 73 – 78. </w:t>
      </w:r>
      <w:r w:rsidR="00AD2AFC" w:rsidRPr="00FD215D">
        <w:rPr>
          <w:rFonts w:ascii="Times New Roman" w:hAnsi="Times New Roman" w:cs="Times New Roman"/>
          <w:lang w:val="en-GB"/>
        </w:rPr>
        <w:t>For broader context on post-Formula Lutheran disciplinary culture, see KOLB, R. (ed.): </w:t>
      </w:r>
      <w:r w:rsidR="00AD2AFC" w:rsidRPr="00FD215D">
        <w:rPr>
          <w:rFonts w:ascii="Times New Roman" w:hAnsi="Times New Roman" w:cs="Times New Roman"/>
          <w:i/>
          <w:iCs/>
          <w:lang w:val="en-GB"/>
        </w:rPr>
        <w:t>Lutheran Ecclesiastical Culture, 1550 – 1675</w:t>
      </w:r>
      <w:r w:rsidR="00AD2AFC" w:rsidRPr="00FD215D">
        <w:rPr>
          <w:rFonts w:ascii="Times New Roman" w:hAnsi="Times New Roman" w:cs="Times New Roman"/>
          <w:lang w:val="en-GB"/>
        </w:rPr>
        <w:t>. Brill</w:t>
      </w:r>
      <w:r w:rsidR="00FD1986" w:rsidRPr="00FD215D">
        <w:rPr>
          <w:rFonts w:ascii="Times New Roman" w:hAnsi="Times New Roman" w:cs="Times New Roman"/>
          <w:lang w:val="en-GB"/>
        </w:rPr>
        <w:t>’</w:t>
      </w:r>
      <w:r w:rsidR="00AD2AFC" w:rsidRPr="00FD215D">
        <w:rPr>
          <w:rFonts w:ascii="Times New Roman" w:hAnsi="Times New Roman" w:cs="Times New Roman"/>
          <w:lang w:val="en-GB"/>
        </w:rPr>
        <w:t>s Companions to the Christian Tradition 11. Leiden: Brill, 2008.</w:t>
      </w:r>
    </w:p>
  </w:footnote>
  <w:footnote w:id="30">
    <w:p w14:paraId="4944FE63" w14:textId="0458A81C" w:rsidR="00AD2AFC" w:rsidRPr="00FD215D" w:rsidRDefault="00AD2AFC">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217C1D" w:rsidRPr="00FD215D">
        <w:rPr>
          <w:rFonts w:ascii="Times New Roman" w:hAnsi="Times New Roman" w:cs="Times New Roman"/>
          <w:lang w:val="en-GB"/>
        </w:rPr>
        <w:t>The personnel circulation between the Upper-Hungarian royal cities and the central mining towns is documented in: BODNÁROVÁ, M.: Reformácia v hornouhorských slobodných kráľovských mestách v 16. storočí. In: KÓNYOVÁ, A. – KÓNYA, P. (eds.): </w:t>
      </w:r>
      <w:r w:rsidR="00217C1D" w:rsidRPr="00FD215D">
        <w:rPr>
          <w:rFonts w:ascii="Times New Roman" w:hAnsi="Times New Roman" w:cs="Times New Roman"/>
          <w:i/>
          <w:iCs/>
          <w:lang w:val="en-GB"/>
        </w:rPr>
        <w:t>Reformácia v strednej Európe / Reformáció Közép-Európában / Reformation in Mittel-Europa I</w:t>
      </w:r>
      <w:r w:rsidR="00217C1D" w:rsidRPr="00FD215D">
        <w:rPr>
          <w:rFonts w:ascii="Times New Roman" w:hAnsi="Times New Roman" w:cs="Times New Roman"/>
          <w:lang w:val="en-GB"/>
        </w:rPr>
        <w:t>. Prešov: Vydavateľstvo Prešovskej univerzity, 2018, pp. 132 – 153, here p. 142, fn. 63, documenting a 1540 dispute between Bardejov and the town council of Banská Bystrica when Bardejov attempted to recruit Banská Bystrica</w:t>
      </w:r>
      <w:r w:rsidR="00FD1986" w:rsidRPr="00FD215D">
        <w:rPr>
          <w:rFonts w:ascii="Times New Roman" w:hAnsi="Times New Roman" w:cs="Times New Roman"/>
          <w:lang w:val="en-GB"/>
        </w:rPr>
        <w:t>’</w:t>
      </w:r>
      <w:r w:rsidR="00217C1D" w:rsidRPr="00FD215D">
        <w:rPr>
          <w:rFonts w:ascii="Times New Roman" w:hAnsi="Times New Roman" w:cs="Times New Roman"/>
          <w:lang w:val="en-GB"/>
        </w:rPr>
        <w:t>s German preacher Bartolomej Franck — concrete documentary evidence of clerical mobility (and competition for it) between the Pentapolitana and the central mining-town milieu. </w:t>
      </w:r>
    </w:p>
  </w:footnote>
  <w:footnote w:id="31">
    <w:p w14:paraId="384BC4DF" w14:textId="2660FCB2" w:rsidR="00217C1D" w:rsidRPr="00FD215D" w:rsidRDefault="00217C1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C627A" w:rsidRPr="00FD215D">
        <w:rPr>
          <w:rFonts w:ascii="Times New Roman" w:hAnsi="Times New Roman" w:cs="Times New Roman"/>
          <w:lang w:val="pt-PT"/>
        </w:rPr>
        <w:t>BENKA, P. (ed.): </w:t>
      </w:r>
      <w:r w:rsidR="004C627A" w:rsidRPr="00FD215D">
        <w:rPr>
          <w:rFonts w:ascii="Times New Roman" w:hAnsi="Times New Roman" w:cs="Times New Roman"/>
          <w:i/>
          <w:iCs/>
          <w:lang w:val="pt-PT"/>
        </w:rPr>
        <w:t>Agenda Neosoliensia</w:t>
      </w:r>
      <w:r w:rsidR="004C627A" w:rsidRPr="00FD215D">
        <w:rPr>
          <w:rFonts w:ascii="Times New Roman" w:hAnsi="Times New Roman" w:cs="Times New Roman"/>
          <w:lang w:val="pt-PT"/>
        </w:rPr>
        <w:t xml:space="preserve">. </w:t>
      </w:r>
      <w:r w:rsidR="004C627A" w:rsidRPr="00FD215D">
        <w:rPr>
          <w:rFonts w:ascii="Times New Roman" w:hAnsi="Times New Roman" w:cs="Times New Roman"/>
          <w:lang w:val="en-GB"/>
        </w:rPr>
        <w:t>Monumenta Linguae Slovacae X. Bratislava: Univerzita Komenského, 2024, pp. 265 – 302 (the </w:t>
      </w:r>
      <w:r w:rsidR="004C627A" w:rsidRPr="00FD215D">
        <w:rPr>
          <w:rFonts w:ascii="Times New Roman" w:hAnsi="Times New Roman" w:cs="Times New Roman"/>
          <w:i/>
          <w:iCs/>
          <w:lang w:val="en-GB"/>
        </w:rPr>
        <w:t>Bystrická agenda</w:t>
      </w:r>
      <w:r w:rsidR="00FD1986" w:rsidRPr="00FD215D">
        <w:rPr>
          <w:rFonts w:ascii="Times New Roman" w:hAnsi="Times New Roman" w:cs="Times New Roman"/>
          <w:lang w:val="en-GB"/>
        </w:rPr>
        <w:t>’</w:t>
      </w:r>
      <w:r w:rsidR="004C627A" w:rsidRPr="00FD215D">
        <w:rPr>
          <w:rFonts w:ascii="Times New Roman" w:hAnsi="Times New Roman" w:cs="Times New Roman"/>
          <w:lang w:val="en-GB"/>
        </w:rPr>
        <w:t>s confession and Eucharistic-preparation material).</w:t>
      </w:r>
    </w:p>
  </w:footnote>
  <w:footnote w:id="32">
    <w:p w14:paraId="06295349" w14:textId="58E0DA9A" w:rsidR="004C627A" w:rsidRPr="00FD215D" w:rsidRDefault="004C627A">
      <w:pPr>
        <w:pStyle w:val="FootnoteText"/>
        <w:rPr>
          <w:rFonts w:ascii="Times New Roman" w:hAnsi="Times New Roman" w:cs="Times New Roman"/>
          <w:lang w:val="pt-PT"/>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455A98" w:rsidRPr="00FD215D">
        <w:rPr>
          <w:rFonts w:ascii="Times New Roman" w:hAnsi="Times New Roman" w:cs="Times New Roman"/>
          <w:lang w:val="pt-PT"/>
        </w:rPr>
        <w:t>BENKA, P. (ed.): </w:t>
      </w:r>
      <w:r w:rsidR="00455A98" w:rsidRPr="00FD215D">
        <w:rPr>
          <w:rFonts w:ascii="Times New Roman" w:hAnsi="Times New Roman" w:cs="Times New Roman"/>
          <w:i/>
          <w:iCs/>
          <w:lang w:val="pt-PT"/>
        </w:rPr>
        <w:t>Agenda Neosoliensia</w:t>
      </w:r>
      <w:r w:rsidR="00455A98" w:rsidRPr="00FD215D">
        <w:rPr>
          <w:rFonts w:ascii="Times New Roman" w:hAnsi="Times New Roman" w:cs="Times New Roman"/>
          <w:lang w:val="pt-PT"/>
        </w:rPr>
        <w:t>. Monumenta Linguae Slovacae X. Bratislava: Univerzita Komenského, 2024, pp. 73 – 77. </w:t>
      </w:r>
    </w:p>
  </w:footnote>
  <w:footnote w:id="33">
    <w:p w14:paraId="43B93237" w14:textId="0C9057AC" w:rsidR="00455A98" w:rsidRPr="00FD215D" w:rsidRDefault="00455A98">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pt-PT"/>
        </w:rPr>
        <w:t xml:space="preserve"> </w:t>
      </w:r>
      <w:r w:rsidR="00E46113" w:rsidRPr="00FD215D">
        <w:rPr>
          <w:rFonts w:ascii="Times New Roman" w:hAnsi="Times New Roman" w:cs="Times New Roman"/>
          <w:lang w:val="pt-PT"/>
        </w:rPr>
        <w:t>The formula </w:t>
      </w:r>
      <w:r w:rsidR="00E46113" w:rsidRPr="00FD215D">
        <w:rPr>
          <w:rFonts w:ascii="Times New Roman" w:hAnsi="Times New Roman" w:cs="Times New Roman"/>
          <w:i/>
          <w:iCs/>
          <w:lang w:val="pt-PT"/>
        </w:rPr>
        <w:t>legem credendi lex statuat supplicandi</w:t>
      </w:r>
      <w:r w:rsidR="00E46113" w:rsidRPr="00FD215D">
        <w:rPr>
          <w:rFonts w:ascii="Times New Roman" w:hAnsi="Times New Roman" w:cs="Times New Roman"/>
          <w:lang w:val="pt-PT"/>
        </w:rPr>
        <w:t> derives from PROSPER OF AQUITAINE: </w:t>
      </w:r>
      <w:r w:rsidR="00E46113" w:rsidRPr="00FD215D">
        <w:rPr>
          <w:rFonts w:ascii="Times New Roman" w:hAnsi="Times New Roman" w:cs="Times New Roman"/>
          <w:i/>
          <w:iCs/>
          <w:lang w:val="pt-PT"/>
        </w:rPr>
        <w:t>Praeteritorum Sedis Apostolicae episcoporum auctoritates de gratia Dei</w:t>
      </w:r>
      <w:r w:rsidR="00E46113" w:rsidRPr="00FD215D">
        <w:rPr>
          <w:rFonts w:ascii="Times New Roman" w:hAnsi="Times New Roman" w:cs="Times New Roman"/>
          <w:lang w:val="pt-PT"/>
        </w:rPr>
        <w:t> (also known as the </w:t>
      </w:r>
      <w:r w:rsidR="00E46113" w:rsidRPr="00FD215D">
        <w:rPr>
          <w:rFonts w:ascii="Times New Roman" w:hAnsi="Times New Roman" w:cs="Times New Roman"/>
          <w:i/>
          <w:iCs/>
          <w:lang w:val="pt-PT"/>
        </w:rPr>
        <w:t>Indiculus de gratia Dei</w:t>
      </w:r>
      <w:r w:rsidR="00E46113" w:rsidRPr="00FD215D">
        <w:rPr>
          <w:rFonts w:ascii="Times New Roman" w:hAnsi="Times New Roman" w:cs="Times New Roman"/>
          <w:lang w:val="pt-PT"/>
        </w:rPr>
        <w:t> or the </w:t>
      </w:r>
      <w:r w:rsidR="00E46113" w:rsidRPr="00FD215D">
        <w:rPr>
          <w:rFonts w:ascii="Times New Roman" w:hAnsi="Times New Roman" w:cs="Times New Roman"/>
          <w:i/>
          <w:iCs/>
          <w:lang w:val="pt-PT"/>
        </w:rPr>
        <w:t>Capitula pseudo-Caelestini</w:t>
      </w:r>
      <w:r w:rsidR="00E46113" w:rsidRPr="00FD215D">
        <w:rPr>
          <w:rFonts w:ascii="Times New Roman" w:hAnsi="Times New Roman" w:cs="Times New Roman"/>
          <w:lang w:val="pt-PT"/>
        </w:rPr>
        <w:t>), c. 8 (5th century); standard reference at </w:t>
      </w:r>
      <w:r w:rsidR="00E46113" w:rsidRPr="00FD215D">
        <w:rPr>
          <w:rFonts w:ascii="Times New Roman" w:hAnsi="Times New Roman" w:cs="Times New Roman"/>
          <w:i/>
          <w:iCs/>
          <w:lang w:val="pt-PT"/>
        </w:rPr>
        <w:t>Patrologia Latina</w:t>
      </w:r>
      <w:r w:rsidR="00E46113" w:rsidRPr="00FD215D">
        <w:rPr>
          <w:rFonts w:ascii="Times New Roman" w:hAnsi="Times New Roman" w:cs="Times New Roman"/>
          <w:lang w:val="pt-PT"/>
        </w:rPr>
        <w:t xml:space="preserve"> 51, col. 209. </w:t>
      </w:r>
      <w:r w:rsidR="00E46113" w:rsidRPr="00FD215D">
        <w:rPr>
          <w:rFonts w:ascii="Times New Roman" w:hAnsi="Times New Roman" w:cs="Times New Roman"/>
          <w:lang w:val="en-GB"/>
        </w:rPr>
        <w:t>The brief invocation here treats the formula as a methodological orientation rather than a settled hermeneutical principle; the modern history of its uses and abuses in liturgical theology is extensive and is not the topic of the present paper. </w:t>
      </w:r>
      <w:r w:rsidR="00C53FE1" w:rsidRPr="00FD215D">
        <w:rPr>
          <w:rFonts w:ascii="Times New Roman" w:hAnsi="Times New Roman" w:cs="Times New Roman"/>
          <w:lang w:val="en-GB"/>
        </w:rPr>
        <w:t>On the other hand, the author of this paper leans toward a more robust reading of the formula</w:t>
      </w:r>
      <w:r w:rsidR="00520251" w:rsidRPr="00FD215D">
        <w:rPr>
          <w:rFonts w:ascii="Times New Roman" w:hAnsi="Times New Roman" w:cs="Times New Roman"/>
          <w:lang w:val="en-GB"/>
        </w:rPr>
        <w:t xml:space="preserve"> with distinct hermeneutical implications. </w:t>
      </w:r>
    </w:p>
  </w:footnote>
  <w:footnote w:id="34">
    <w:p w14:paraId="1C7EA69C" w14:textId="638371E9" w:rsidR="00903953" w:rsidRPr="00FD215D" w:rsidRDefault="00903953">
      <w:pPr>
        <w:pStyle w:val="FootnoteText"/>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w:t>
      </w:r>
      <w:r w:rsidR="00B92BA4" w:rsidRPr="00FD215D">
        <w:rPr>
          <w:rFonts w:ascii="Times New Roman" w:hAnsi="Times New Roman" w:cs="Times New Roman"/>
        </w:rPr>
        <w:t xml:space="preserve">HOLETON, D. R.: The Evolution of Utraquist Liturgy: A Precursor of Western Liturgical Reform. In: </w:t>
      </w:r>
      <w:r w:rsidR="00B92BA4" w:rsidRPr="00FD215D">
        <w:rPr>
          <w:rFonts w:ascii="Times New Roman" w:hAnsi="Times New Roman" w:cs="Times New Roman"/>
          <w:i/>
          <w:iCs/>
        </w:rPr>
        <w:t>Religio</w:t>
      </w:r>
      <w:r w:rsidR="00B92BA4" w:rsidRPr="00FD215D">
        <w:rPr>
          <w:rFonts w:ascii="Times New Roman" w:hAnsi="Times New Roman" w:cs="Times New Roman"/>
        </w:rPr>
        <w:t xml:space="preserve">, vol. 1, no. 2 (1993), pp. [155]–164, here p. 162 (the </w:t>
      </w:r>
      <w:r w:rsidR="00B92BA4" w:rsidRPr="00FD215D">
        <w:rPr>
          <w:rFonts w:ascii="Times New Roman" w:hAnsi="Times New Roman" w:cs="Times New Roman"/>
          <w:i/>
          <w:iCs/>
        </w:rPr>
        <w:t>lex credendi lex orandi</w:t>
      </w:r>
      <w:r w:rsidR="00B92BA4" w:rsidRPr="00FD215D">
        <w:rPr>
          <w:rFonts w:ascii="Times New Roman" w:hAnsi="Times New Roman" w:cs="Times New Roman"/>
        </w:rPr>
        <w:t xml:space="preserve"> formulation).</w:t>
      </w:r>
    </w:p>
  </w:footnote>
  <w:footnote w:id="35">
    <w:p w14:paraId="1212071B" w14:textId="202C32A5" w:rsidR="00B92BA4" w:rsidRPr="00FD215D" w:rsidRDefault="00B92BA4">
      <w:pPr>
        <w:pStyle w:val="FootnoteText"/>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HOLETON, D. R.: The Evolution of Utraquist Liturgy: A Precursor of Western Liturgical Reform. In: </w:t>
      </w:r>
      <w:r w:rsidRPr="00FD215D">
        <w:rPr>
          <w:rFonts w:ascii="Times New Roman" w:hAnsi="Times New Roman" w:cs="Times New Roman"/>
          <w:i/>
          <w:iCs/>
        </w:rPr>
        <w:t>Religio</w:t>
      </w:r>
      <w:r w:rsidRPr="00FD215D">
        <w:rPr>
          <w:rFonts w:ascii="Times New Roman" w:hAnsi="Times New Roman" w:cs="Times New Roman"/>
        </w:rPr>
        <w:t>, vol. 1, no. 2 (1993), pp. [155]–164, here p. 157 (the Milíč inheritance and the "vacuous gesture" formulation).</w:t>
      </w:r>
    </w:p>
  </w:footnote>
  <w:footnote w:id="36">
    <w:p w14:paraId="1C2A3AE0" w14:textId="7B9BABC2" w:rsidR="00B6231D" w:rsidRPr="00FD215D" w:rsidRDefault="00B6231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de-DE"/>
        </w:rPr>
        <w:t xml:space="preserve"> </w:t>
      </w:r>
      <w:r w:rsidR="009F2415" w:rsidRPr="00FD215D">
        <w:rPr>
          <w:rFonts w:ascii="Times New Roman" w:hAnsi="Times New Roman" w:cs="Times New Roman"/>
          <w:lang w:val="de-DE"/>
        </w:rPr>
        <w:t xml:space="preserve">For the classic articulations of the confessionalisation thesis, see SCHILLING, H.: Die Konfessionalisierung im Reich: Religiöser und gesellschaftlicher Wandel in Deutschland zwischen 1555 und 1620. In: </w:t>
      </w:r>
      <w:r w:rsidR="009F2415" w:rsidRPr="00FD215D">
        <w:rPr>
          <w:rFonts w:ascii="Times New Roman" w:hAnsi="Times New Roman" w:cs="Times New Roman"/>
          <w:i/>
          <w:iCs/>
          <w:lang w:val="de-DE"/>
        </w:rPr>
        <w:t>Historische Zeitschrift</w:t>
      </w:r>
      <w:r w:rsidR="009F2415" w:rsidRPr="00FD215D">
        <w:rPr>
          <w:rFonts w:ascii="Times New Roman" w:hAnsi="Times New Roman" w:cs="Times New Roman"/>
          <w:lang w:val="de-DE"/>
        </w:rPr>
        <w:t xml:space="preserve">, vol. 246 (1988), pp. 1 – 45; REINHARD, W.: Zwang zur Konfessionalisierung? Prolegomena zu einer Theorie des konfessionellen Zeitalters. In: </w:t>
      </w:r>
      <w:r w:rsidR="009F2415" w:rsidRPr="00FD215D">
        <w:rPr>
          <w:rFonts w:ascii="Times New Roman" w:hAnsi="Times New Roman" w:cs="Times New Roman"/>
          <w:i/>
          <w:iCs/>
          <w:lang w:val="de-DE"/>
        </w:rPr>
        <w:t>Zeitschrift für Historische Forschung</w:t>
      </w:r>
      <w:r w:rsidR="009F2415" w:rsidRPr="00FD215D">
        <w:rPr>
          <w:rFonts w:ascii="Times New Roman" w:hAnsi="Times New Roman" w:cs="Times New Roman"/>
          <w:lang w:val="de-DE"/>
        </w:rPr>
        <w:t xml:space="preserve">, vol. 10 (1983), pp. 257 – 277. </w:t>
      </w:r>
      <w:r w:rsidR="009F2415" w:rsidRPr="00FD215D">
        <w:rPr>
          <w:rFonts w:ascii="Times New Roman" w:hAnsi="Times New Roman" w:cs="Times New Roman"/>
          <w:lang w:val="en-GB"/>
        </w:rPr>
        <w:t xml:space="preserve">The argument here extends the confessionalisation framework into the dimension of intra-confessional liturgical register, observable at the codex level. As an interlocutor closer to the Slovak Lutheran milieu the codex inhabits, see DANIEL, D. P.: Melanchton, Stöckel a teologická orientácia evanjelikov v Uhorsku. In: </w:t>
      </w:r>
      <w:r w:rsidR="009F2415" w:rsidRPr="00FD215D">
        <w:rPr>
          <w:rFonts w:ascii="Times New Roman" w:hAnsi="Times New Roman" w:cs="Times New Roman"/>
          <w:i/>
          <w:iCs/>
          <w:lang w:val="en-GB"/>
        </w:rPr>
        <w:t>Acta Collegii Evangelici Prešoviensis</w:t>
      </w:r>
      <w:r w:rsidR="009F2415" w:rsidRPr="00FD215D">
        <w:rPr>
          <w:rFonts w:ascii="Times New Roman" w:hAnsi="Times New Roman" w:cs="Times New Roman"/>
          <w:lang w:val="en-GB"/>
        </w:rPr>
        <w:t xml:space="preserve"> XI: </w:t>
      </w:r>
      <w:r w:rsidR="009F2415" w:rsidRPr="00FD215D">
        <w:rPr>
          <w:rFonts w:ascii="Times New Roman" w:hAnsi="Times New Roman" w:cs="Times New Roman"/>
          <w:i/>
          <w:iCs/>
          <w:lang w:val="en-GB"/>
        </w:rPr>
        <w:t>Leonard Stöckel a reformácia v strednej Európe</w:t>
      </w:r>
      <w:r w:rsidR="009F2415" w:rsidRPr="00FD215D">
        <w:rPr>
          <w:rFonts w:ascii="Times New Roman" w:hAnsi="Times New Roman" w:cs="Times New Roman"/>
          <w:lang w:val="en-GB"/>
        </w:rPr>
        <w:t xml:space="preserve">. Prešov: Vydavateľstvo Prešovskej univerzity, 2011, pp. 31 – 36. Daniel localises the confessionalisation paradigm in Upper Hungary by reading the moderate register of the </w:t>
      </w:r>
      <w:r w:rsidR="009F2415" w:rsidRPr="00FD215D">
        <w:rPr>
          <w:rFonts w:ascii="Times New Roman" w:hAnsi="Times New Roman" w:cs="Times New Roman"/>
          <w:i/>
          <w:iCs/>
          <w:lang w:val="en-GB"/>
        </w:rPr>
        <w:t>Confessio Pentapolitana</w:t>
      </w:r>
      <w:r w:rsidR="009F2415" w:rsidRPr="00FD215D">
        <w:rPr>
          <w:rFonts w:ascii="Times New Roman" w:hAnsi="Times New Roman" w:cs="Times New Roman"/>
          <w:lang w:val="en-GB"/>
        </w:rPr>
        <w:t xml:space="preserve"> (1549) not as a crypto-Calvinist concession but as a defensive register choice forced by the 1548 royal diet</w:t>
      </w:r>
      <w:r w:rsidR="00FD1986" w:rsidRPr="00FD215D">
        <w:rPr>
          <w:rFonts w:ascii="Times New Roman" w:hAnsi="Times New Roman" w:cs="Times New Roman"/>
          <w:lang w:val="en-GB"/>
        </w:rPr>
        <w:t>’</w:t>
      </w:r>
      <w:r w:rsidR="009F2415" w:rsidRPr="00FD215D">
        <w:rPr>
          <w:rFonts w:ascii="Times New Roman" w:hAnsi="Times New Roman" w:cs="Times New Roman"/>
          <w:lang w:val="en-GB"/>
        </w:rPr>
        <w:t>s anti-sacramentarian law — a structurally homologous move to the codex-level register shift this paper documents. Daniel</w:t>
      </w:r>
      <w:r w:rsidR="00FD1986" w:rsidRPr="00FD215D">
        <w:rPr>
          <w:rFonts w:ascii="Times New Roman" w:hAnsi="Times New Roman" w:cs="Times New Roman"/>
          <w:lang w:val="en-GB"/>
        </w:rPr>
        <w:t>’</w:t>
      </w:r>
      <w:r w:rsidR="009F2415" w:rsidRPr="00FD215D">
        <w:rPr>
          <w:rFonts w:ascii="Times New Roman" w:hAnsi="Times New Roman" w:cs="Times New Roman"/>
          <w:lang w:val="en-GB"/>
        </w:rPr>
        <w:t>s reading of Stöckel</w:t>
      </w:r>
      <w:r w:rsidR="00FD1986" w:rsidRPr="00FD215D">
        <w:rPr>
          <w:rFonts w:ascii="Times New Roman" w:hAnsi="Times New Roman" w:cs="Times New Roman"/>
          <w:lang w:val="en-GB"/>
        </w:rPr>
        <w:t>’</w:t>
      </w:r>
      <w:r w:rsidR="009F2415" w:rsidRPr="00FD215D">
        <w:rPr>
          <w:rFonts w:ascii="Times New Roman" w:hAnsi="Times New Roman" w:cs="Times New Roman"/>
          <w:lang w:val="en-GB"/>
        </w:rPr>
        <w:t xml:space="preserve">s </w:t>
      </w:r>
      <w:r w:rsidR="009F2415" w:rsidRPr="00FD215D">
        <w:rPr>
          <w:rFonts w:ascii="Times New Roman" w:hAnsi="Times New Roman" w:cs="Times New Roman"/>
          <w:i/>
          <w:iCs/>
          <w:lang w:val="en-GB"/>
        </w:rPr>
        <w:t>Annotationes in locos communium doctrinae christianae Philippi Melanchtonis</w:t>
      </w:r>
      <w:r w:rsidR="009F2415" w:rsidRPr="00FD215D">
        <w:rPr>
          <w:rFonts w:ascii="Times New Roman" w:hAnsi="Times New Roman" w:cs="Times New Roman"/>
          <w:lang w:val="en-GB"/>
        </w:rPr>
        <w:t xml:space="preserve"> (Basel, 1561) as a clear Lutheran-orthodox specification (pp. 33 – 35) secures the Bardejov-Wittenberg filiation that the Banská Bystrica milieu inherited; cf. also DANIEL, D. P.: K problému konfesionalizácie na Slovensku. In: KÓNYA, P. (ed.): </w:t>
      </w:r>
      <w:r w:rsidR="009F2415" w:rsidRPr="00FD215D">
        <w:rPr>
          <w:rFonts w:ascii="Times New Roman" w:hAnsi="Times New Roman" w:cs="Times New Roman"/>
          <w:i/>
          <w:iCs/>
          <w:lang w:val="en-GB"/>
        </w:rPr>
        <w:t>Konfesionalizácia na Slovensku v 16. – 18. storočí</w:t>
      </w:r>
      <w:r w:rsidR="009F2415" w:rsidRPr="00FD215D">
        <w:rPr>
          <w:rFonts w:ascii="Times New Roman" w:hAnsi="Times New Roman" w:cs="Times New Roman"/>
          <w:lang w:val="en-GB"/>
        </w:rPr>
        <w:t>. Prešov: Vydavateľstvo Prešovskej univerzity, 2010, pp. 9 – 22.</w:t>
      </w:r>
      <w:r w:rsidR="00CB5832" w:rsidRPr="00FD215D">
        <w:rPr>
          <w:rFonts w:ascii="Times New Roman" w:hAnsi="Times New Roman" w:cs="Times New Roman"/>
          <w:lang w:val="en-GB"/>
        </w:rPr>
        <w:t xml:space="preserve"> </w:t>
      </w:r>
    </w:p>
  </w:footnote>
  <w:footnote w:id="37">
    <w:p w14:paraId="016235C4" w14:textId="3B665A61" w:rsidR="00B971A7" w:rsidRPr="00FD215D" w:rsidRDefault="00B971A7">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A3666D" w:rsidRPr="00FD215D">
        <w:rPr>
          <w:rFonts w:ascii="Times New Roman" w:hAnsi="Times New Roman" w:cs="Times New Roman"/>
          <w:lang w:val="en-GB"/>
        </w:rPr>
        <w:t xml:space="preserve">For the older Calvinist characterisation, see, e.g., the </w:t>
      </w:r>
      <w:r w:rsidR="00FD1986" w:rsidRPr="00FD215D">
        <w:rPr>
          <w:rFonts w:ascii="Times New Roman" w:hAnsi="Times New Roman" w:cs="Times New Roman"/>
          <w:lang w:val="en-GB"/>
        </w:rPr>
        <w:t>“</w:t>
      </w:r>
      <w:r w:rsidR="00A3666D" w:rsidRPr="00FD215D">
        <w:rPr>
          <w:rFonts w:ascii="Times New Roman" w:hAnsi="Times New Roman" w:cs="Times New Roman"/>
          <w:lang w:val="en-GB"/>
        </w:rPr>
        <w:t>Bohemian Confession</w:t>
      </w:r>
      <w:r w:rsidR="00FD1986" w:rsidRPr="00FD215D">
        <w:rPr>
          <w:rFonts w:ascii="Times New Roman" w:hAnsi="Times New Roman" w:cs="Times New Roman"/>
          <w:lang w:val="en-GB"/>
        </w:rPr>
        <w:t>”</w:t>
      </w:r>
      <w:r w:rsidR="00A3666D" w:rsidRPr="00FD215D">
        <w:rPr>
          <w:rFonts w:ascii="Times New Roman" w:hAnsi="Times New Roman" w:cs="Times New Roman"/>
          <w:lang w:val="en-GB"/>
        </w:rPr>
        <w:t xml:space="preserve"> entry in older editions of the </w:t>
      </w:r>
      <w:r w:rsidR="00A3666D" w:rsidRPr="00FD215D">
        <w:rPr>
          <w:rFonts w:ascii="Times New Roman" w:hAnsi="Times New Roman" w:cs="Times New Roman"/>
          <w:i/>
          <w:iCs/>
          <w:lang w:val="en-GB"/>
        </w:rPr>
        <w:t>Encyclopaedia Britannica</w:t>
      </w:r>
      <w:r w:rsidR="00A3666D" w:rsidRPr="00FD215D">
        <w:rPr>
          <w:rFonts w:ascii="Times New Roman" w:hAnsi="Times New Roman" w:cs="Times New Roman"/>
          <w:lang w:val="en-GB"/>
        </w:rPr>
        <w:t>, where the document has been described in terms that the Czech text does not support. The fuller historiographical engagement with this characterisation, and its philological refutation through close reading of the CB</w:t>
      </w:r>
      <w:r w:rsidR="00FD1986" w:rsidRPr="00FD215D">
        <w:rPr>
          <w:rFonts w:ascii="Times New Roman" w:hAnsi="Times New Roman" w:cs="Times New Roman"/>
          <w:lang w:val="en-GB"/>
        </w:rPr>
        <w:t>’</w:t>
      </w:r>
      <w:r w:rsidR="00A3666D" w:rsidRPr="00FD215D">
        <w:rPr>
          <w:rFonts w:ascii="Times New Roman" w:hAnsi="Times New Roman" w:cs="Times New Roman"/>
          <w:lang w:val="en-GB"/>
        </w:rPr>
        <w:t>s Eucharistic article, is reserved for the forthcoming TEPALIT chapter. </w:t>
      </w:r>
    </w:p>
  </w:footnote>
  <w:footnote w:id="38">
    <w:p w14:paraId="04AC332E" w14:textId="521174E0" w:rsidR="00A3666D" w:rsidRPr="00FD215D" w:rsidRDefault="00A3666D">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E54052" w:rsidRPr="00FD215D">
        <w:rPr>
          <w:rFonts w:ascii="Times New Roman" w:hAnsi="Times New Roman" w:cs="Times New Roman"/>
          <w:lang w:val="en-GB"/>
        </w:rPr>
        <w:t>The verbatim Czech formula </w:t>
      </w:r>
      <w:r w:rsidR="00E54052" w:rsidRPr="00FD215D">
        <w:rPr>
          <w:rFonts w:ascii="Times New Roman" w:hAnsi="Times New Roman" w:cs="Times New Roman"/>
          <w:i/>
          <w:iCs/>
          <w:lang w:val="en-GB"/>
        </w:rPr>
        <w:t>duchovně i podstatně, věrou i také ústy</w:t>
      </w:r>
      <w:r w:rsidR="00E54052" w:rsidRPr="00FD215D">
        <w:rPr>
          <w:rFonts w:ascii="Times New Roman" w:hAnsi="Times New Roman" w:cs="Times New Roman"/>
          <w:lang w:val="en-GB"/>
        </w:rPr>
        <w:t> appears in the </w:t>
      </w:r>
      <w:r w:rsidR="00E54052" w:rsidRPr="00FD215D">
        <w:rPr>
          <w:rFonts w:ascii="Times New Roman" w:hAnsi="Times New Roman" w:cs="Times New Roman"/>
          <w:i/>
          <w:iCs/>
          <w:lang w:val="en-GB"/>
        </w:rPr>
        <w:t>Confessio Bohemica</w:t>
      </w:r>
      <w:r w:rsidR="00FD1986" w:rsidRPr="00FD215D">
        <w:rPr>
          <w:rFonts w:ascii="Times New Roman" w:hAnsi="Times New Roman" w:cs="Times New Roman"/>
          <w:lang w:val="en-GB"/>
        </w:rPr>
        <w:t>’</w:t>
      </w:r>
      <w:r w:rsidR="00E54052" w:rsidRPr="00FD215D">
        <w:rPr>
          <w:rFonts w:ascii="Times New Roman" w:hAnsi="Times New Roman" w:cs="Times New Roman"/>
          <w:lang w:val="en-GB"/>
        </w:rPr>
        <w:t>s Eucharistic article (Article XV, on the Lord’s Supper). For the standard early Czech edition and the foundational historical study, see HREJSA, F.: </w:t>
      </w:r>
      <w:r w:rsidR="00E54052" w:rsidRPr="00FD215D">
        <w:rPr>
          <w:rFonts w:ascii="Times New Roman" w:hAnsi="Times New Roman" w:cs="Times New Roman"/>
          <w:i/>
          <w:iCs/>
          <w:lang w:val="en-GB"/>
        </w:rPr>
        <w:t>Česká konfesse, její vznik, podstata a dějiny</w:t>
      </w:r>
      <w:r w:rsidR="00E54052" w:rsidRPr="00FD215D">
        <w:rPr>
          <w:rFonts w:ascii="Times New Roman" w:hAnsi="Times New Roman" w:cs="Times New Roman"/>
          <w:lang w:val="en-GB"/>
        </w:rPr>
        <w:t>. Praha: Česká akademie císaře Františka Josefa pro vědy, slovesnost a umění, 1912 (the Confession’s text is reproduced at pp. 695 – 717). The both/and irenic register and its philological details are treated in the forthcoming TEPALIT chapter.</w:t>
      </w:r>
    </w:p>
  </w:footnote>
  <w:footnote w:id="39">
    <w:p w14:paraId="5AAA2EB7" w14:textId="4092FB78" w:rsidR="00D23445" w:rsidRPr="00FD215D" w:rsidRDefault="00D23445">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GREŠOVÁ-SEKELSKÁ, A.: Príspevok k vzniku a obsahu Cithary sanctorum. In: </w:t>
      </w:r>
      <w:r w:rsidRPr="00FD215D">
        <w:rPr>
          <w:rFonts w:ascii="Times New Roman" w:hAnsi="Times New Roman" w:cs="Times New Roman"/>
          <w:i/>
          <w:iCs/>
          <w:lang w:val="en-GB"/>
        </w:rPr>
        <w:t>Clavibus unitis</w:t>
      </w:r>
      <w:r w:rsidRPr="00FD215D">
        <w:rPr>
          <w:rFonts w:ascii="Times New Roman" w:hAnsi="Times New Roman" w:cs="Times New Roman"/>
          <w:lang w:val="en-GB"/>
        </w:rPr>
        <w:t>, vol. 10, no. 4 (2021), pp. 5 – 14, on Tranovský</w:t>
      </w:r>
      <w:r w:rsidR="00FD1986" w:rsidRPr="00FD215D">
        <w:rPr>
          <w:rFonts w:ascii="Times New Roman" w:hAnsi="Times New Roman" w:cs="Times New Roman"/>
          <w:lang w:val="en-GB"/>
        </w:rPr>
        <w:t>’</w:t>
      </w:r>
      <w:r w:rsidRPr="00FD215D">
        <w:rPr>
          <w:rFonts w:ascii="Times New Roman" w:hAnsi="Times New Roman" w:cs="Times New Roman"/>
          <w:lang w:val="en-GB"/>
        </w:rPr>
        <w:t>s differential editorial strategy across confessionally neutral and confessionally weighted rubrics. See also Grešová-Sekelská 2023 (above, n. 4).</w:t>
      </w:r>
    </w:p>
  </w:footnote>
  <w:footnote w:id="40">
    <w:p w14:paraId="07C8B40F" w14:textId="5B0F67AE" w:rsidR="00EE62AB" w:rsidRPr="00FD215D" w:rsidRDefault="00EE62AB">
      <w:pPr>
        <w:pStyle w:val="FootnoteText"/>
        <w:rPr>
          <w:rFonts w:ascii="Times New Roman" w:hAnsi="Times New Roman" w:cs="Times New Roman"/>
          <w:lang w:val="en-GB"/>
        </w:rPr>
      </w:pPr>
      <w:r w:rsidRPr="00FD215D">
        <w:rPr>
          <w:rStyle w:val="FootnoteReference"/>
          <w:rFonts w:ascii="Times New Roman" w:hAnsi="Times New Roman" w:cs="Times New Roman"/>
          <w:lang w:val="en-GB"/>
        </w:rPr>
        <w:footnoteRef/>
      </w:r>
      <w:r w:rsidRPr="00FD215D">
        <w:rPr>
          <w:rFonts w:ascii="Times New Roman" w:hAnsi="Times New Roman" w:cs="Times New Roman"/>
          <w:lang w:val="en-GB"/>
        </w:rPr>
        <w:t xml:space="preserve"> </w:t>
      </w:r>
      <w:r w:rsidR="00CC4160" w:rsidRPr="00FD215D">
        <w:rPr>
          <w:rFonts w:ascii="Times New Roman" w:hAnsi="Times New Roman" w:cs="Times New Roman"/>
          <w:lang w:val="en-GB"/>
        </w:rPr>
        <w:t>VALČO, M.: </w:t>
      </w:r>
      <w:r w:rsidR="00CC4160" w:rsidRPr="00FD215D">
        <w:rPr>
          <w:rFonts w:ascii="Times New Roman" w:hAnsi="Times New Roman" w:cs="Times New Roman"/>
          <w:i/>
          <w:iCs/>
          <w:lang w:val="en-GB"/>
        </w:rPr>
        <w:t>TEPALIT Digital Companion: Theological Taxonomy and Hymn-Pair Dossier for the Lutheranisation Thesis</w:t>
      </w:r>
      <w:r w:rsidR="00CC4160" w:rsidRPr="00FD215D">
        <w:rPr>
          <w:rFonts w:ascii="Times New Roman" w:hAnsi="Times New Roman" w:cs="Times New Roman"/>
          <w:lang w:val="en-GB"/>
        </w:rPr>
        <w:t> (concept DOI: 10.5281/zenodo.20081435). Bratislava, 2026. CC BY 4.0. Record PAIR_006_AC_BA_EUCHARIST carries the trust signature FACTUAL / DOCUMENTED / VERIFIED; the verification dossier is published as part of the dataset.</w:t>
      </w:r>
    </w:p>
  </w:footnote>
  <w:footnote w:id="41">
    <w:p w14:paraId="3EB76A77" w14:textId="77777777" w:rsidR="007B1148" w:rsidRPr="00FD215D" w:rsidRDefault="007B1148" w:rsidP="007B1148">
      <w:pPr>
        <w:pStyle w:val="FootnoteText"/>
        <w:jc w:val="both"/>
        <w:rPr>
          <w:rFonts w:ascii="Times New Roman" w:hAnsi="Times New Roman" w:cs="Times New Roman"/>
        </w:rPr>
      </w:pPr>
      <w:r w:rsidRPr="00FD215D">
        <w:rPr>
          <w:rStyle w:val="FootnoteReference"/>
          <w:rFonts w:ascii="Times New Roman" w:hAnsi="Times New Roman" w:cs="Times New Roman"/>
        </w:rPr>
        <w:footnoteRef/>
      </w:r>
      <w:r w:rsidRPr="00FD215D">
        <w:rPr>
          <w:rFonts w:ascii="Times New Roman" w:hAnsi="Times New Roman" w:cs="Times New Roman"/>
        </w:rPr>
        <w:t xml:space="preserve"> Vnútorný predpis c. 2/2024, Smernica rektora Univerzity Komenského v Bratislave k používaniu nástrojov umelej inteligencie na Univerzite Komenského v Bratislave [Internal Regulation No. 2/2024: Rector’s Directive of Comenius University Bratislava on the Use of Artificial Intelligence Tools at Comenius University Bratislava]. Available at: https: //uniba.sk/fileadmin/ruk/legislativa/2024/VP_2024_02.pdf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6641"/>
    <w:multiLevelType w:val="multilevel"/>
    <w:tmpl w:val="1D4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72699"/>
    <w:multiLevelType w:val="multilevel"/>
    <w:tmpl w:val="0978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A2092"/>
    <w:multiLevelType w:val="multilevel"/>
    <w:tmpl w:val="86D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D359F"/>
    <w:multiLevelType w:val="multilevel"/>
    <w:tmpl w:val="B1C6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92880"/>
    <w:multiLevelType w:val="multilevel"/>
    <w:tmpl w:val="CE5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144D6"/>
    <w:multiLevelType w:val="multilevel"/>
    <w:tmpl w:val="0F0C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913126">
    <w:abstractNumId w:val="5"/>
  </w:num>
  <w:num w:numId="2" w16cid:durableId="1750537860">
    <w:abstractNumId w:val="1"/>
  </w:num>
  <w:num w:numId="3" w16cid:durableId="1378121491">
    <w:abstractNumId w:val="3"/>
  </w:num>
  <w:num w:numId="4" w16cid:durableId="1630472318">
    <w:abstractNumId w:val="2"/>
  </w:num>
  <w:num w:numId="5" w16cid:durableId="378281652">
    <w:abstractNumId w:val="4"/>
  </w:num>
  <w:num w:numId="6" w16cid:durableId="31125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C2"/>
    <w:rsid w:val="00005A9D"/>
    <w:rsid w:val="000069FE"/>
    <w:rsid w:val="0001527D"/>
    <w:rsid w:val="00015F25"/>
    <w:rsid w:val="00030BB3"/>
    <w:rsid w:val="000316A5"/>
    <w:rsid w:val="000341CF"/>
    <w:rsid w:val="000427FE"/>
    <w:rsid w:val="00043652"/>
    <w:rsid w:val="000528A2"/>
    <w:rsid w:val="0005407B"/>
    <w:rsid w:val="000546CE"/>
    <w:rsid w:val="00056DE3"/>
    <w:rsid w:val="00060AD2"/>
    <w:rsid w:val="000633A9"/>
    <w:rsid w:val="00065E13"/>
    <w:rsid w:val="00070554"/>
    <w:rsid w:val="00072769"/>
    <w:rsid w:val="000A05EB"/>
    <w:rsid w:val="000A205F"/>
    <w:rsid w:val="000C183A"/>
    <w:rsid w:val="000F2A15"/>
    <w:rsid w:val="000F34FB"/>
    <w:rsid w:val="000F3E3D"/>
    <w:rsid w:val="000F47C5"/>
    <w:rsid w:val="000F5B5F"/>
    <w:rsid w:val="0010511C"/>
    <w:rsid w:val="001053F1"/>
    <w:rsid w:val="00105C1E"/>
    <w:rsid w:val="00115D52"/>
    <w:rsid w:val="00115DA9"/>
    <w:rsid w:val="001178CD"/>
    <w:rsid w:val="001211E6"/>
    <w:rsid w:val="0012689E"/>
    <w:rsid w:val="0012764F"/>
    <w:rsid w:val="00141E79"/>
    <w:rsid w:val="00154471"/>
    <w:rsid w:val="0016735B"/>
    <w:rsid w:val="001801F3"/>
    <w:rsid w:val="00180A70"/>
    <w:rsid w:val="00182074"/>
    <w:rsid w:val="0018612D"/>
    <w:rsid w:val="0019616C"/>
    <w:rsid w:val="001A1BB0"/>
    <w:rsid w:val="001B3C6C"/>
    <w:rsid w:val="001C5B34"/>
    <w:rsid w:val="001D133A"/>
    <w:rsid w:val="001D22A6"/>
    <w:rsid w:val="001D3939"/>
    <w:rsid w:val="001D48F9"/>
    <w:rsid w:val="001D72C4"/>
    <w:rsid w:val="001E0C58"/>
    <w:rsid w:val="001F7997"/>
    <w:rsid w:val="00211A35"/>
    <w:rsid w:val="00214071"/>
    <w:rsid w:val="002149E6"/>
    <w:rsid w:val="00217C1D"/>
    <w:rsid w:val="00230F2F"/>
    <w:rsid w:val="00242D29"/>
    <w:rsid w:val="0024318A"/>
    <w:rsid w:val="00260F70"/>
    <w:rsid w:val="00263422"/>
    <w:rsid w:val="00267185"/>
    <w:rsid w:val="002710AE"/>
    <w:rsid w:val="002750CF"/>
    <w:rsid w:val="002916C0"/>
    <w:rsid w:val="002B01AA"/>
    <w:rsid w:val="002B5C09"/>
    <w:rsid w:val="002D1C59"/>
    <w:rsid w:val="002E1EBE"/>
    <w:rsid w:val="003052F6"/>
    <w:rsid w:val="00315809"/>
    <w:rsid w:val="0032211E"/>
    <w:rsid w:val="003409CF"/>
    <w:rsid w:val="003436C2"/>
    <w:rsid w:val="003477F3"/>
    <w:rsid w:val="00350F28"/>
    <w:rsid w:val="00353B46"/>
    <w:rsid w:val="0036307B"/>
    <w:rsid w:val="00373051"/>
    <w:rsid w:val="00394C73"/>
    <w:rsid w:val="003B5FB3"/>
    <w:rsid w:val="003D2F44"/>
    <w:rsid w:val="003E6880"/>
    <w:rsid w:val="003E76D7"/>
    <w:rsid w:val="003F3A04"/>
    <w:rsid w:val="004267CB"/>
    <w:rsid w:val="00444D8E"/>
    <w:rsid w:val="00455A98"/>
    <w:rsid w:val="00463817"/>
    <w:rsid w:val="004711DA"/>
    <w:rsid w:val="004808B7"/>
    <w:rsid w:val="00490107"/>
    <w:rsid w:val="004922D5"/>
    <w:rsid w:val="0049503F"/>
    <w:rsid w:val="004A61A2"/>
    <w:rsid w:val="004B36E9"/>
    <w:rsid w:val="004C627A"/>
    <w:rsid w:val="004C7B86"/>
    <w:rsid w:val="004E6E6F"/>
    <w:rsid w:val="004F5247"/>
    <w:rsid w:val="00513798"/>
    <w:rsid w:val="00520251"/>
    <w:rsid w:val="00521A30"/>
    <w:rsid w:val="00524666"/>
    <w:rsid w:val="00525785"/>
    <w:rsid w:val="00525879"/>
    <w:rsid w:val="00526507"/>
    <w:rsid w:val="0055132D"/>
    <w:rsid w:val="005736D3"/>
    <w:rsid w:val="00585974"/>
    <w:rsid w:val="0059797D"/>
    <w:rsid w:val="005A32E1"/>
    <w:rsid w:val="005B51B0"/>
    <w:rsid w:val="005B57F9"/>
    <w:rsid w:val="005C3292"/>
    <w:rsid w:val="005C4DAE"/>
    <w:rsid w:val="005D1F49"/>
    <w:rsid w:val="005D5946"/>
    <w:rsid w:val="005F692D"/>
    <w:rsid w:val="00600C0C"/>
    <w:rsid w:val="006046F5"/>
    <w:rsid w:val="00624107"/>
    <w:rsid w:val="006271DB"/>
    <w:rsid w:val="0063440A"/>
    <w:rsid w:val="00636DD6"/>
    <w:rsid w:val="0064088B"/>
    <w:rsid w:val="006414F0"/>
    <w:rsid w:val="00675815"/>
    <w:rsid w:val="006803BF"/>
    <w:rsid w:val="00697571"/>
    <w:rsid w:val="006A135F"/>
    <w:rsid w:val="006A782A"/>
    <w:rsid w:val="006B1C7E"/>
    <w:rsid w:val="006C1850"/>
    <w:rsid w:val="006D3DC7"/>
    <w:rsid w:val="006D4ADF"/>
    <w:rsid w:val="006F7CAF"/>
    <w:rsid w:val="007101EA"/>
    <w:rsid w:val="00721855"/>
    <w:rsid w:val="00733382"/>
    <w:rsid w:val="00736F57"/>
    <w:rsid w:val="007404ED"/>
    <w:rsid w:val="00746D1D"/>
    <w:rsid w:val="0075098D"/>
    <w:rsid w:val="0076071A"/>
    <w:rsid w:val="007832C2"/>
    <w:rsid w:val="00783418"/>
    <w:rsid w:val="00785081"/>
    <w:rsid w:val="0079300C"/>
    <w:rsid w:val="00796566"/>
    <w:rsid w:val="007A534D"/>
    <w:rsid w:val="007A53B9"/>
    <w:rsid w:val="007A544B"/>
    <w:rsid w:val="007B1148"/>
    <w:rsid w:val="007B166D"/>
    <w:rsid w:val="007B2162"/>
    <w:rsid w:val="007B362D"/>
    <w:rsid w:val="007C4402"/>
    <w:rsid w:val="007D214E"/>
    <w:rsid w:val="0080692A"/>
    <w:rsid w:val="00825649"/>
    <w:rsid w:val="00847DC8"/>
    <w:rsid w:val="0085063F"/>
    <w:rsid w:val="00851CA4"/>
    <w:rsid w:val="008553F7"/>
    <w:rsid w:val="00855A75"/>
    <w:rsid w:val="008716AB"/>
    <w:rsid w:val="00872E09"/>
    <w:rsid w:val="00875153"/>
    <w:rsid w:val="00880E6A"/>
    <w:rsid w:val="008810C6"/>
    <w:rsid w:val="008A23F4"/>
    <w:rsid w:val="008A5CD9"/>
    <w:rsid w:val="008A6880"/>
    <w:rsid w:val="008A7E12"/>
    <w:rsid w:val="008B2CC5"/>
    <w:rsid w:val="008C763C"/>
    <w:rsid w:val="008D7CF2"/>
    <w:rsid w:val="008F6F03"/>
    <w:rsid w:val="00901E74"/>
    <w:rsid w:val="00903953"/>
    <w:rsid w:val="00915D3E"/>
    <w:rsid w:val="00931855"/>
    <w:rsid w:val="00933876"/>
    <w:rsid w:val="00937647"/>
    <w:rsid w:val="00956B03"/>
    <w:rsid w:val="0096692C"/>
    <w:rsid w:val="00973ED9"/>
    <w:rsid w:val="009825DE"/>
    <w:rsid w:val="009A485E"/>
    <w:rsid w:val="009A79AE"/>
    <w:rsid w:val="009B265E"/>
    <w:rsid w:val="009D3A81"/>
    <w:rsid w:val="009D3C30"/>
    <w:rsid w:val="009D4D44"/>
    <w:rsid w:val="009E003E"/>
    <w:rsid w:val="009E0906"/>
    <w:rsid w:val="009F2415"/>
    <w:rsid w:val="00A112C2"/>
    <w:rsid w:val="00A13B75"/>
    <w:rsid w:val="00A32F08"/>
    <w:rsid w:val="00A34DFD"/>
    <w:rsid w:val="00A3666D"/>
    <w:rsid w:val="00A446F6"/>
    <w:rsid w:val="00A63367"/>
    <w:rsid w:val="00A826C0"/>
    <w:rsid w:val="00A82B6F"/>
    <w:rsid w:val="00AA4DB4"/>
    <w:rsid w:val="00AB0CF5"/>
    <w:rsid w:val="00AC0DE4"/>
    <w:rsid w:val="00AC126D"/>
    <w:rsid w:val="00AC7379"/>
    <w:rsid w:val="00AD2AFC"/>
    <w:rsid w:val="00AE21AC"/>
    <w:rsid w:val="00AE4CC6"/>
    <w:rsid w:val="00AF1ECF"/>
    <w:rsid w:val="00B12870"/>
    <w:rsid w:val="00B132BD"/>
    <w:rsid w:val="00B26B40"/>
    <w:rsid w:val="00B27887"/>
    <w:rsid w:val="00B31CEE"/>
    <w:rsid w:val="00B32A7F"/>
    <w:rsid w:val="00B43CBB"/>
    <w:rsid w:val="00B44FF6"/>
    <w:rsid w:val="00B56BCA"/>
    <w:rsid w:val="00B62150"/>
    <w:rsid w:val="00B6231D"/>
    <w:rsid w:val="00B66D82"/>
    <w:rsid w:val="00B75995"/>
    <w:rsid w:val="00B92BA4"/>
    <w:rsid w:val="00B94942"/>
    <w:rsid w:val="00B971A7"/>
    <w:rsid w:val="00BA0C58"/>
    <w:rsid w:val="00BA0C6D"/>
    <w:rsid w:val="00BA4AEE"/>
    <w:rsid w:val="00BB03F8"/>
    <w:rsid w:val="00BB7385"/>
    <w:rsid w:val="00BD41B5"/>
    <w:rsid w:val="00BD4CD8"/>
    <w:rsid w:val="00BE3BFE"/>
    <w:rsid w:val="00BE639D"/>
    <w:rsid w:val="00BE742B"/>
    <w:rsid w:val="00BF4697"/>
    <w:rsid w:val="00BF50C1"/>
    <w:rsid w:val="00C03788"/>
    <w:rsid w:val="00C117C0"/>
    <w:rsid w:val="00C1312B"/>
    <w:rsid w:val="00C1418A"/>
    <w:rsid w:val="00C4067A"/>
    <w:rsid w:val="00C47477"/>
    <w:rsid w:val="00C506D6"/>
    <w:rsid w:val="00C53FE1"/>
    <w:rsid w:val="00C63AC3"/>
    <w:rsid w:val="00C82123"/>
    <w:rsid w:val="00C902A8"/>
    <w:rsid w:val="00CB0FB2"/>
    <w:rsid w:val="00CB5832"/>
    <w:rsid w:val="00CB59E2"/>
    <w:rsid w:val="00CB7963"/>
    <w:rsid w:val="00CC04AF"/>
    <w:rsid w:val="00CC0C80"/>
    <w:rsid w:val="00CC4160"/>
    <w:rsid w:val="00CC5DBB"/>
    <w:rsid w:val="00CD0DE7"/>
    <w:rsid w:val="00CD50CA"/>
    <w:rsid w:val="00CE7D29"/>
    <w:rsid w:val="00CF0EC8"/>
    <w:rsid w:val="00CF5F4C"/>
    <w:rsid w:val="00D23445"/>
    <w:rsid w:val="00D32E38"/>
    <w:rsid w:val="00D37F1D"/>
    <w:rsid w:val="00D422A4"/>
    <w:rsid w:val="00D70E86"/>
    <w:rsid w:val="00D84099"/>
    <w:rsid w:val="00D97C68"/>
    <w:rsid w:val="00DB00C0"/>
    <w:rsid w:val="00DB573A"/>
    <w:rsid w:val="00DC2E1A"/>
    <w:rsid w:val="00DE2F5B"/>
    <w:rsid w:val="00DF6FE2"/>
    <w:rsid w:val="00E0208D"/>
    <w:rsid w:val="00E16944"/>
    <w:rsid w:val="00E36B54"/>
    <w:rsid w:val="00E372ED"/>
    <w:rsid w:val="00E46113"/>
    <w:rsid w:val="00E54052"/>
    <w:rsid w:val="00E60A4E"/>
    <w:rsid w:val="00E62DA1"/>
    <w:rsid w:val="00E775B6"/>
    <w:rsid w:val="00E81961"/>
    <w:rsid w:val="00E910FE"/>
    <w:rsid w:val="00EA0474"/>
    <w:rsid w:val="00EB751F"/>
    <w:rsid w:val="00EC2E65"/>
    <w:rsid w:val="00EC5FEE"/>
    <w:rsid w:val="00ED0968"/>
    <w:rsid w:val="00ED4D02"/>
    <w:rsid w:val="00EE62AB"/>
    <w:rsid w:val="00EF4FA6"/>
    <w:rsid w:val="00F01C09"/>
    <w:rsid w:val="00F14F71"/>
    <w:rsid w:val="00F21EA3"/>
    <w:rsid w:val="00F23FCF"/>
    <w:rsid w:val="00F24300"/>
    <w:rsid w:val="00F42518"/>
    <w:rsid w:val="00F52BC2"/>
    <w:rsid w:val="00F56548"/>
    <w:rsid w:val="00F657FF"/>
    <w:rsid w:val="00F73874"/>
    <w:rsid w:val="00F7442D"/>
    <w:rsid w:val="00F747BB"/>
    <w:rsid w:val="00F82B98"/>
    <w:rsid w:val="00F930E5"/>
    <w:rsid w:val="00F94CC6"/>
    <w:rsid w:val="00F9792B"/>
    <w:rsid w:val="00FA7531"/>
    <w:rsid w:val="00FC604A"/>
    <w:rsid w:val="00FD1986"/>
    <w:rsid w:val="00FD215D"/>
    <w:rsid w:val="00FD6084"/>
    <w:rsid w:val="00FE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5376"/>
  <w15:chartTrackingRefBased/>
  <w15:docId w15:val="{AAF7384E-8219-4026-A304-5FD2AAF3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6C2"/>
    <w:rPr>
      <w:rFonts w:eastAsiaTheme="majorEastAsia" w:cstheme="majorBidi"/>
      <w:color w:val="272727" w:themeColor="text1" w:themeTint="D8"/>
    </w:rPr>
  </w:style>
  <w:style w:type="paragraph" w:styleId="Title">
    <w:name w:val="Title"/>
    <w:basedOn w:val="Normal"/>
    <w:next w:val="Normal"/>
    <w:link w:val="TitleChar"/>
    <w:uiPriority w:val="10"/>
    <w:qFormat/>
    <w:rsid w:val="0034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6C2"/>
    <w:pPr>
      <w:spacing w:before="160"/>
      <w:jc w:val="center"/>
    </w:pPr>
    <w:rPr>
      <w:i/>
      <w:iCs/>
      <w:color w:val="404040" w:themeColor="text1" w:themeTint="BF"/>
    </w:rPr>
  </w:style>
  <w:style w:type="character" w:customStyle="1" w:styleId="QuoteChar">
    <w:name w:val="Quote Char"/>
    <w:basedOn w:val="DefaultParagraphFont"/>
    <w:link w:val="Quote"/>
    <w:uiPriority w:val="29"/>
    <w:rsid w:val="003436C2"/>
    <w:rPr>
      <w:i/>
      <w:iCs/>
      <w:color w:val="404040" w:themeColor="text1" w:themeTint="BF"/>
    </w:rPr>
  </w:style>
  <w:style w:type="paragraph" w:styleId="ListParagraph">
    <w:name w:val="List Paragraph"/>
    <w:basedOn w:val="Normal"/>
    <w:uiPriority w:val="34"/>
    <w:qFormat/>
    <w:rsid w:val="003436C2"/>
    <w:pPr>
      <w:ind w:left="720"/>
      <w:contextualSpacing/>
    </w:pPr>
  </w:style>
  <w:style w:type="character" w:styleId="IntenseEmphasis">
    <w:name w:val="Intense Emphasis"/>
    <w:basedOn w:val="DefaultParagraphFont"/>
    <w:uiPriority w:val="21"/>
    <w:qFormat/>
    <w:rsid w:val="003436C2"/>
    <w:rPr>
      <w:i/>
      <w:iCs/>
      <w:color w:val="0F4761" w:themeColor="accent1" w:themeShade="BF"/>
    </w:rPr>
  </w:style>
  <w:style w:type="paragraph" w:styleId="IntenseQuote">
    <w:name w:val="Intense Quote"/>
    <w:basedOn w:val="Normal"/>
    <w:next w:val="Normal"/>
    <w:link w:val="IntenseQuoteChar"/>
    <w:uiPriority w:val="30"/>
    <w:qFormat/>
    <w:rsid w:val="00343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6C2"/>
    <w:rPr>
      <w:i/>
      <w:iCs/>
      <w:color w:val="0F4761" w:themeColor="accent1" w:themeShade="BF"/>
    </w:rPr>
  </w:style>
  <w:style w:type="character" w:styleId="IntenseReference">
    <w:name w:val="Intense Reference"/>
    <w:basedOn w:val="DefaultParagraphFont"/>
    <w:uiPriority w:val="32"/>
    <w:qFormat/>
    <w:rsid w:val="003436C2"/>
    <w:rPr>
      <w:b/>
      <w:bCs/>
      <w:smallCaps/>
      <w:color w:val="0F4761" w:themeColor="accent1" w:themeShade="BF"/>
      <w:spacing w:val="5"/>
    </w:rPr>
  </w:style>
  <w:style w:type="character" w:styleId="Hyperlink">
    <w:name w:val="Hyperlink"/>
    <w:basedOn w:val="DefaultParagraphFont"/>
    <w:uiPriority w:val="99"/>
    <w:unhideWhenUsed/>
    <w:rsid w:val="003436C2"/>
    <w:rPr>
      <w:color w:val="467886" w:themeColor="hyperlink"/>
      <w:u w:val="single"/>
    </w:rPr>
  </w:style>
  <w:style w:type="character" w:styleId="UnresolvedMention">
    <w:name w:val="Unresolved Mention"/>
    <w:basedOn w:val="DefaultParagraphFont"/>
    <w:uiPriority w:val="99"/>
    <w:semiHidden/>
    <w:unhideWhenUsed/>
    <w:rsid w:val="003436C2"/>
    <w:rPr>
      <w:color w:val="605E5C"/>
      <w:shd w:val="clear" w:color="auto" w:fill="E1DFDD"/>
    </w:rPr>
  </w:style>
  <w:style w:type="paragraph" w:styleId="FootnoteText">
    <w:name w:val="footnote text"/>
    <w:basedOn w:val="Normal"/>
    <w:link w:val="FootnoteTextChar"/>
    <w:uiPriority w:val="99"/>
    <w:unhideWhenUsed/>
    <w:rsid w:val="0059797D"/>
    <w:pPr>
      <w:spacing w:after="0" w:line="240" w:lineRule="auto"/>
    </w:pPr>
    <w:rPr>
      <w:sz w:val="20"/>
      <w:szCs w:val="20"/>
    </w:rPr>
  </w:style>
  <w:style w:type="character" w:customStyle="1" w:styleId="FootnoteTextChar">
    <w:name w:val="Footnote Text Char"/>
    <w:basedOn w:val="DefaultParagraphFont"/>
    <w:link w:val="FootnoteText"/>
    <w:uiPriority w:val="99"/>
    <w:rsid w:val="0059797D"/>
    <w:rPr>
      <w:sz w:val="20"/>
      <w:szCs w:val="20"/>
    </w:rPr>
  </w:style>
  <w:style w:type="character" w:styleId="FootnoteReference">
    <w:name w:val="footnote reference"/>
    <w:basedOn w:val="DefaultParagraphFont"/>
    <w:uiPriority w:val="99"/>
    <w:semiHidden/>
    <w:unhideWhenUsed/>
    <w:rsid w:val="005979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valco/OneDrive/Documents/GitHub/apvv2026-hymnals/Drafts/Theologos_Draft_v0.1_Full.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csl.edu/bdiv/110/" TargetMode="External"/><Relationship Id="rId4" Type="http://schemas.openxmlformats.org/officeDocument/2006/relationships/settings" Target="settings.xml"/><Relationship Id="rId9" Type="http://schemas.openxmlformats.org/officeDocument/2006/relationships/hyperlink" Target="https://hdl.handle.net/11222.digilib/124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22BAD-479B-489F-88A0-17246AD39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23</Pages>
  <Words>10148</Words>
  <Characters>57844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40</cp:revision>
  <dcterms:created xsi:type="dcterms:W3CDTF">2026-05-10T12:59:00Z</dcterms:created>
  <dcterms:modified xsi:type="dcterms:W3CDTF">2026-06-28T13:05:00Z</dcterms:modified>
</cp:coreProperties>
</file>