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A4" w:rsidRDefault="003715A4">
      <w:r>
        <w:t>Testy</w:t>
      </w:r>
    </w:p>
    <w:p w:rsidR="003715A4" w:rsidRDefault="003715A4">
      <w:r>
        <w:t xml:space="preserve">Testy czasu wykorzystywały bibliotekę </w:t>
      </w:r>
      <w:proofErr w:type="spellStart"/>
      <w:r>
        <w:t>chrono</w:t>
      </w:r>
      <w:proofErr w:type="spellEnd"/>
      <w:r>
        <w:t xml:space="preserve"> i mierzyły </w:t>
      </w:r>
      <w:r w:rsidR="00070B27">
        <w:t xml:space="preserve">czas z dokładnością 1 nanosekundy. </w:t>
      </w:r>
      <w:r w:rsidR="00432FDB">
        <w:t>Program wykorzystany do testów na każdą fabrykę wykonywał 1000 prób i zapisywał</w:t>
      </w:r>
      <w:r>
        <w:t xml:space="preserve"> od razu uśredniony wynik do pliku tekstowego.</w:t>
      </w:r>
    </w:p>
    <w:p w:rsidR="00070B27" w:rsidRDefault="00070B27">
      <w:r>
        <w:t>Testy czasu zostały wykonane na maszynach:</w:t>
      </w:r>
    </w:p>
    <w:p w:rsidR="0004398D" w:rsidRDefault="00BD6488" w:rsidP="00BD6488">
      <w:pPr>
        <w:pStyle w:val="Akapitzlist"/>
        <w:numPr>
          <w:ilvl w:val="0"/>
          <w:numId w:val="1"/>
        </w:numPr>
      </w:pPr>
      <w:r>
        <w:t xml:space="preserve">Maszyna Wirtualna Linux </w:t>
      </w:r>
      <w:proofErr w:type="spellStart"/>
      <w:r>
        <w:t>Kubuntu</w:t>
      </w:r>
      <w:proofErr w:type="spellEnd"/>
      <w:r>
        <w:t xml:space="preserve"> 64-bit, 4 GB pamięci RAM</w:t>
      </w:r>
    </w:p>
    <w:p w:rsidR="00070B27" w:rsidRDefault="00BD6488" w:rsidP="00BD6488">
      <w:pPr>
        <w:pStyle w:val="Akapitzlist"/>
        <w:numPr>
          <w:ilvl w:val="0"/>
          <w:numId w:val="1"/>
        </w:numPr>
      </w:pPr>
      <w:proofErr w:type="spellStart"/>
      <w:r>
        <w:t>UnixLab</w:t>
      </w:r>
      <w:proofErr w:type="spellEnd"/>
      <w:r>
        <w:t xml:space="preserve"> </w:t>
      </w:r>
    </w:p>
    <w:p w:rsidR="00070B27" w:rsidRDefault="00070B27" w:rsidP="00070B27">
      <w:pPr>
        <w:keepNext/>
      </w:pPr>
      <w:r w:rsidRPr="00070B27">
        <w:drawing>
          <wp:inline distT="0" distB="0" distL="0" distR="0" wp14:anchorId="13BA0DF7" wp14:editId="346B7F47">
            <wp:extent cx="5760720" cy="57359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AC" w:rsidRDefault="00070B27" w:rsidP="00070B27">
      <w:pPr>
        <w:pStyle w:val="Legenda"/>
      </w:pPr>
      <w:r>
        <w:t xml:space="preserve">Rysunek </w:t>
      </w:r>
      <w:fldSimple w:instr=" SEQ Rysunek \* ARABIC ">
        <w:r w:rsidR="003304C6">
          <w:rPr>
            <w:noProof/>
          </w:rPr>
          <w:t>1</w:t>
        </w:r>
      </w:fldSimple>
      <w:r>
        <w:t xml:space="preserve"> Kod użyty do wykonania pomiarów czasów</w:t>
      </w:r>
    </w:p>
    <w:p w:rsidR="00AB7DC5" w:rsidRDefault="00FB58F0" w:rsidP="00FB58F0">
      <w:pPr>
        <w:pStyle w:val="Akapitzlist"/>
        <w:numPr>
          <w:ilvl w:val="0"/>
          <w:numId w:val="2"/>
        </w:numPr>
      </w:pPr>
      <w:r>
        <w:t>Testy czasu wykonania się programu dla instancji tai20-25</w:t>
      </w:r>
    </w:p>
    <w:p w:rsidR="003D2E63" w:rsidRDefault="003D2E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95"/>
        <w:gridCol w:w="3628"/>
        <w:gridCol w:w="3039"/>
      </w:tblGrid>
      <w:tr w:rsidR="00BD6488" w:rsidRPr="003D2E63" w:rsidTr="00BD6488">
        <w:trPr>
          <w:trHeight w:val="254"/>
        </w:trPr>
        <w:tc>
          <w:tcPr>
            <w:tcW w:w="2395" w:type="dxa"/>
            <w:noWrap/>
          </w:tcPr>
          <w:p w:rsidR="00BD6488" w:rsidRPr="003D2E63" w:rsidRDefault="00BD6488" w:rsidP="00BD6488">
            <w:r>
              <w:lastRenderedPageBreak/>
              <w:t>Instancja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noWrap/>
          </w:tcPr>
          <w:p w:rsidR="00BD6488" w:rsidRPr="003D2E63" w:rsidRDefault="00BD6488" w:rsidP="00BD6488">
            <w:r>
              <w:t>Średni czas wykonania algorytmu (nanosekundy) na maszynie 1</w:t>
            </w:r>
          </w:p>
        </w:tc>
        <w:tc>
          <w:tcPr>
            <w:tcW w:w="3039" w:type="dxa"/>
            <w:tcBorders>
              <w:bottom w:val="single" w:sz="4" w:space="0" w:color="auto"/>
            </w:tcBorders>
          </w:tcPr>
          <w:p w:rsidR="00BD6488" w:rsidRPr="003D2E63" w:rsidRDefault="00BD6488" w:rsidP="00BD6488">
            <w:r>
              <w:t xml:space="preserve">Średni czas wykonania algorytmu (nanosekundy) na maszynie </w:t>
            </w:r>
            <w:r>
              <w:t>2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tai20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295108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294899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tai21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427876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431494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tai22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392651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380268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tai23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371395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370940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tai24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414031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399364</w:t>
            </w:r>
          </w:p>
        </w:tc>
      </w:tr>
      <w:tr w:rsidR="00BD6488" w:rsidRPr="003D2E63" w:rsidTr="00BD6488">
        <w:trPr>
          <w:trHeight w:val="254"/>
        </w:trPr>
        <w:tc>
          <w:tcPr>
            <w:tcW w:w="2395" w:type="dxa"/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tai25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D6488" w:rsidRPr="003D2E63" w:rsidRDefault="00BD6488" w:rsidP="00BD6488">
            <w:pPr>
              <w:jc w:val="center"/>
            </w:pPr>
            <w:r w:rsidRPr="003D2E63">
              <w:t>395496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Pr="00BD6488" w:rsidRDefault="00BD6488" w:rsidP="00BD6488">
            <w:pPr>
              <w:jc w:val="center"/>
            </w:pPr>
            <w:r w:rsidRPr="00BD6488">
              <w:t>396084</w:t>
            </w:r>
          </w:p>
        </w:tc>
      </w:tr>
    </w:tbl>
    <w:p w:rsidR="003304C6" w:rsidRDefault="003304C6"/>
    <w:p w:rsidR="003D2E63" w:rsidRDefault="003D2E63">
      <w:r>
        <w:rPr>
          <w:noProof/>
        </w:rPr>
        <w:drawing>
          <wp:inline distT="0" distB="0" distL="0" distR="0" wp14:anchorId="64C18412" wp14:editId="6EF497D4">
            <wp:extent cx="6172200" cy="3019425"/>
            <wp:effectExtent l="0" t="0" r="0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CD1696F-21B8-423A-8F62-D64E19D8D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04C6" w:rsidRDefault="003304C6">
      <w:r>
        <w:rPr>
          <w:noProof/>
        </w:rPr>
        <w:drawing>
          <wp:inline distT="0" distB="0" distL="0" distR="0" wp14:anchorId="3ADEDDD9">
            <wp:extent cx="6181725" cy="303022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488" w:rsidRDefault="00BD6488">
      <w:r>
        <w:rPr>
          <w:noProof/>
        </w:rPr>
        <w:lastRenderedPageBreak/>
        <w:drawing>
          <wp:inline distT="0" distB="0" distL="0" distR="0" wp14:anchorId="65A3FD41" wp14:editId="5F378C11">
            <wp:extent cx="6286500" cy="3152775"/>
            <wp:effectExtent l="0" t="0" r="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7250CE07-F356-4C04-BCFC-4243B3D0C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04C6" w:rsidRDefault="003304C6">
      <w:r>
        <w:rPr>
          <w:noProof/>
        </w:rPr>
        <w:drawing>
          <wp:inline distT="0" distB="0" distL="0" distR="0" wp14:anchorId="1AF9CFBC">
            <wp:extent cx="6297930" cy="3164205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04C6" w:rsidRDefault="003304C6"/>
    <w:p w:rsidR="0095606E" w:rsidRDefault="0095606E">
      <w:r>
        <w:t xml:space="preserve">Obie maszyny wykazały bardzo podobne wyniki. Zdecydowanie najszybciej wykonywała się instancja tai20, wszystkie pozostałe wykonywały się około </w:t>
      </w:r>
      <w:r w:rsidR="003F0254">
        <w:t xml:space="preserve">100 mikrosekund szybciej. </w:t>
      </w:r>
    </w:p>
    <w:p w:rsidR="003F0254" w:rsidRDefault="003F0254">
      <w:r>
        <w:t xml:space="preserve">Może mieć to związek z wyznaczonym dolnym ograniczeniem wartości funkcji celu, gdyż i ten parametr był zdecydowanie najniższy dla tai20 spośród badanych instancji, jednak nie możemy tego jednoznacznie stwierdzić na podstawie tego jednego faktu. </w:t>
      </w:r>
    </w:p>
    <w:p w:rsidR="00FB58F0" w:rsidRPr="00FB58F0" w:rsidRDefault="00FB58F0" w:rsidP="00FB58F0">
      <w:pPr>
        <w:pStyle w:val="Akapitzlist"/>
        <w:numPr>
          <w:ilvl w:val="0"/>
          <w:numId w:val="2"/>
        </w:numPr>
      </w:pPr>
      <w:r w:rsidRPr="00FB58F0">
        <w:t>Testy czasu dla różnych ilości wczytanych pierwszych zadań dla instancji tai25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8"/>
        <w:gridCol w:w="2517"/>
        <w:gridCol w:w="2517"/>
      </w:tblGrid>
      <w:tr w:rsidR="00BD6488" w:rsidRPr="003D2E63" w:rsidTr="00F30160">
        <w:trPr>
          <w:trHeight w:val="335"/>
        </w:trPr>
        <w:tc>
          <w:tcPr>
            <w:tcW w:w="2048" w:type="dxa"/>
            <w:noWrap/>
          </w:tcPr>
          <w:p w:rsidR="00BD6488" w:rsidRPr="003D2E63" w:rsidRDefault="00BD6488" w:rsidP="00BD6488">
            <w:r w:rsidRPr="003D2E63">
              <w:t>Liczba wczytanych pierwszych zadań</w:t>
            </w:r>
          </w:p>
          <w:p w:rsidR="00BD6488" w:rsidRPr="003D2E63" w:rsidRDefault="00BD6488" w:rsidP="00BD6488"/>
        </w:tc>
        <w:tc>
          <w:tcPr>
            <w:tcW w:w="2517" w:type="dxa"/>
            <w:noWrap/>
          </w:tcPr>
          <w:p w:rsidR="00BD6488" w:rsidRPr="003D2E63" w:rsidRDefault="00BD6488" w:rsidP="00BD6488">
            <w:r>
              <w:t>Średni czas wykonania algorytmu (nanosekundy)</w:t>
            </w:r>
            <w:r>
              <w:t xml:space="preserve"> na maszynie 1</w:t>
            </w:r>
          </w:p>
        </w:tc>
        <w:tc>
          <w:tcPr>
            <w:tcW w:w="2517" w:type="dxa"/>
          </w:tcPr>
          <w:p w:rsidR="00BD6488" w:rsidRPr="003D2E63" w:rsidRDefault="00BD6488" w:rsidP="00BD6488">
            <w:r>
              <w:t xml:space="preserve">Średni czas wykonania algorytmu (nanosekundy) na maszynie </w:t>
            </w:r>
            <w:r>
              <w:t>2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lastRenderedPageBreak/>
              <w:t>1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7054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7631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2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13431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13346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3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22463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23135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4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42760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42685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5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47133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49130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6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52133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53746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7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76962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77403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8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98902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97968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9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106721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112050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10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149067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150758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11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183171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183362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12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166781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174118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13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196710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197134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14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219794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223420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15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279682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277783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16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288087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275100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17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277483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287026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18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313943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332040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19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354713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402332</w:t>
            </w:r>
          </w:p>
        </w:tc>
      </w:tr>
      <w:tr w:rsidR="00BD6488" w:rsidRPr="003D2E63" w:rsidTr="00BD6488">
        <w:trPr>
          <w:trHeight w:val="335"/>
        </w:trPr>
        <w:tc>
          <w:tcPr>
            <w:tcW w:w="2048" w:type="dxa"/>
            <w:noWrap/>
            <w:hideMark/>
          </w:tcPr>
          <w:p w:rsidR="00BD6488" w:rsidRPr="003D2E63" w:rsidRDefault="00BD6488" w:rsidP="00BD6488">
            <w:r w:rsidRPr="003D2E63">
              <w:t>20</w:t>
            </w:r>
          </w:p>
        </w:tc>
        <w:tc>
          <w:tcPr>
            <w:tcW w:w="2517" w:type="dxa"/>
            <w:noWrap/>
            <w:hideMark/>
          </w:tcPr>
          <w:p w:rsidR="00BD6488" w:rsidRPr="003D2E63" w:rsidRDefault="00BD6488" w:rsidP="00BD6488">
            <w:r w:rsidRPr="003D2E63">
              <w:t>383007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6488" w:rsidRDefault="00BD6488" w:rsidP="00BD64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404426</w:t>
            </w:r>
          </w:p>
        </w:tc>
      </w:tr>
    </w:tbl>
    <w:p w:rsidR="003D2E63" w:rsidRDefault="003D2E63"/>
    <w:p w:rsidR="00BD6488" w:rsidRDefault="003D2E63">
      <w:r>
        <w:rPr>
          <w:noProof/>
        </w:rPr>
        <w:drawing>
          <wp:inline distT="0" distB="0" distL="0" distR="0" wp14:anchorId="698374D4" wp14:editId="07F3FD5E">
            <wp:extent cx="5886450" cy="3303270"/>
            <wp:effectExtent l="0" t="0" r="0" b="1143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9FB520F-D50D-497C-B13A-9AD8D476E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0B2D" w:rsidRDefault="00D20B2D">
      <w:r>
        <w:rPr>
          <w:noProof/>
        </w:rPr>
        <w:lastRenderedPageBreak/>
        <w:drawing>
          <wp:inline distT="0" distB="0" distL="0" distR="0" wp14:anchorId="4CF578DB">
            <wp:extent cx="5901690" cy="3316605"/>
            <wp:effectExtent l="0" t="0" r="3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488" w:rsidRDefault="00BD6488">
      <w:r>
        <w:rPr>
          <w:noProof/>
        </w:rPr>
        <w:drawing>
          <wp:inline distT="0" distB="0" distL="0" distR="0" wp14:anchorId="24B88B5C" wp14:editId="15897AE6">
            <wp:extent cx="5857875" cy="3303270"/>
            <wp:effectExtent l="0" t="0" r="9525" b="1143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256302F7-5443-4E05-8984-F8512A234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0B2D" w:rsidRDefault="00D20B2D">
      <w:r>
        <w:rPr>
          <w:noProof/>
        </w:rPr>
        <w:lastRenderedPageBreak/>
        <w:drawing>
          <wp:inline distT="0" distB="0" distL="0" distR="0" wp14:anchorId="793A1409">
            <wp:extent cx="5871210" cy="33166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488" w:rsidRDefault="00BD6488">
      <w:r>
        <w:t>Wnioski: Obie maszyny wykazały</w:t>
      </w:r>
      <w:r w:rsidR="0095606E">
        <w:t xml:space="preserve">, że </w:t>
      </w:r>
      <w:r>
        <w:t xml:space="preserve">czas wykonywania się algorytmu </w:t>
      </w:r>
      <w:r w:rsidR="0095606E">
        <w:t xml:space="preserve">rośnie w zależności </w:t>
      </w:r>
      <w:r>
        <w:t>od liczby wczytanych instancji</w:t>
      </w:r>
      <w:r w:rsidR="0095606E">
        <w:t xml:space="preserve"> i jest to zależność bliska liniowej. Nie ma to jednak definitywnego wpływu i zależy równie mocno od poszczególnych danych np. 12 zadań w badanej instancji wykonywało się zawsze średnio szybciej niż 11 i</w:t>
      </w:r>
      <w:r w:rsidR="003F0254">
        <w:t xml:space="preserve"> kolejne zadanie</w:t>
      </w:r>
      <w:r w:rsidR="0095606E">
        <w:t xml:space="preserve"> najwyraźniej </w:t>
      </w:r>
      <w:r w:rsidR="00F3570E">
        <w:t xml:space="preserve">nieznacznie </w:t>
      </w:r>
      <w:r w:rsidR="0095606E">
        <w:t xml:space="preserve">usprawniało pracę algorytmu. </w:t>
      </w:r>
      <w:r w:rsidR="003A173D">
        <w:t>Dla większych różnic ilości wczytanych zadań widać jednak wyraźną różnicę.</w:t>
      </w:r>
    </w:p>
    <w:p w:rsidR="000C1BE8" w:rsidRDefault="000C1BE8"/>
    <w:p w:rsidR="000C1BE8" w:rsidRDefault="000C1BE8"/>
    <w:p w:rsidR="000C1BE8" w:rsidRDefault="000C1BE8" w:rsidP="00FB58F0">
      <w:pPr>
        <w:pStyle w:val="Akapitzlist"/>
        <w:numPr>
          <w:ilvl w:val="0"/>
          <w:numId w:val="2"/>
        </w:numPr>
      </w:pPr>
      <w:r>
        <w:t>Testy jakości rozwiązań</w:t>
      </w:r>
      <w:r w:rsidR="00FB58F0">
        <w:t xml:space="preserve"> dla instancji tai20-25</w:t>
      </w:r>
    </w:p>
    <w:p w:rsidR="000C1BE8" w:rsidRDefault="000C1BE8">
      <w:r>
        <w:t>Z powodu dotychczasowego braku drugiego rozwiązania wyniki porównaliśmy z wyznaczonym dolnym ograniczeniem wartości celu (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bump</w:t>
      </w:r>
      <w:proofErr w:type="spellEnd"/>
      <w:r>
        <w:t xml:space="preserve">), które przyjęliśmy jako długość najdłuższego zadania (sumy wszystkich jego operacji). Jest to rozwiązanie niemożliwe, ale </w:t>
      </w:r>
      <w:r w:rsidR="00FB58F0">
        <w:t>jest pewną</w:t>
      </w:r>
      <w:r>
        <w:t xml:space="preserve"> wartością minimalną do której można przyrównać rozwiązanie.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"/>
        <w:gridCol w:w="1220"/>
        <w:gridCol w:w="1331"/>
      </w:tblGrid>
      <w:tr w:rsidR="00432FDB" w:rsidRPr="00432FDB" w:rsidTr="00432FDB">
        <w:trPr>
          <w:trHeight w:val="300"/>
        </w:trPr>
        <w:tc>
          <w:tcPr>
            <w:tcW w:w="960" w:type="dxa"/>
            <w:noWrap/>
          </w:tcPr>
          <w:p w:rsidR="00432FDB" w:rsidRPr="00432FDB" w:rsidRDefault="00432FDB">
            <w:r>
              <w:t>Instancja</w:t>
            </w:r>
          </w:p>
        </w:tc>
        <w:tc>
          <w:tcPr>
            <w:tcW w:w="1220" w:type="dxa"/>
            <w:noWrap/>
          </w:tcPr>
          <w:p w:rsidR="00432FDB" w:rsidRPr="00432FDB" w:rsidRDefault="00432FDB" w:rsidP="00432FDB">
            <w:r>
              <w:t>Wynik</w:t>
            </w:r>
          </w:p>
        </w:tc>
        <w:tc>
          <w:tcPr>
            <w:tcW w:w="1240" w:type="dxa"/>
            <w:noWrap/>
          </w:tcPr>
          <w:p w:rsidR="00432FDB" w:rsidRPr="00432FDB" w:rsidRDefault="00432FDB" w:rsidP="00432FDB">
            <w:r>
              <w:t xml:space="preserve">Wyznaczony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bump</w:t>
            </w:r>
            <w:proofErr w:type="spellEnd"/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tai20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2360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928</w:t>
            </w:r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tai21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2308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1217</w:t>
            </w:r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tai22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2567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1223</w:t>
            </w:r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tai23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2282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1164</w:t>
            </w:r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tai24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2487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1151</w:t>
            </w:r>
          </w:p>
        </w:tc>
      </w:tr>
      <w:tr w:rsidR="00432FDB" w:rsidRPr="00432FDB" w:rsidTr="00432FDB">
        <w:trPr>
          <w:trHeight w:val="300"/>
        </w:trPr>
        <w:tc>
          <w:tcPr>
            <w:tcW w:w="960" w:type="dxa"/>
            <w:noWrap/>
            <w:hideMark/>
          </w:tcPr>
          <w:p w:rsidR="00432FDB" w:rsidRPr="00432FDB" w:rsidRDefault="00432FDB">
            <w:r w:rsidRPr="00432FDB">
              <w:t>tai25</w:t>
            </w:r>
          </w:p>
        </w:tc>
        <w:tc>
          <w:tcPr>
            <w:tcW w:w="1220" w:type="dxa"/>
            <w:noWrap/>
            <w:hideMark/>
          </w:tcPr>
          <w:p w:rsidR="00432FDB" w:rsidRPr="00432FDB" w:rsidRDefault="00432FDB" w:rsidP="00432FDB">
            <w:r w:rsidRPr="00432FDB">
              <w:t>2566</w:t>
            </w:r>
          </w:p>
        </w:tc>
        <w:tc>
          <w:tcPr>
            <w:tcW w:w="1240" w:type="dxa"/>
            <w:noWrap/>
            <w:hideMark/>
          </w:tcPr>
          <w:p w:rsidR="00432FDB" w:rsidRPr="00432FDB" w:rsidRDefault="00432FDB" w:rsidP="00432FDB">
            <w:r w:rsidRPr="00432FDB">
              <w:t>1170</w:t>
            </w:r>
          </w:p>
        </w:tc>
      </w:tr>
    </w:tbl>
    <w:p w:rsidR="00BD6488" w:rsidRDefault="00BD6488"/>
    <w:p w:rsidR="003304C6" w:rsidRDefault="00412DC6" w:rsidP="003304C6">
      <w:pPr>
        <w:keepNext/>
      </w:pPr>
      <w:r w:rsidRPr="00B64DD9">
        <w:lastRenderedPageBreak/>
        <w:drawing>
          <wp:inline distT="0" distB="0" distL="0" distR="0" wp14:anchorId="7FD1BF62" wp14:editId="2CA81A60">
            <wp:extent cx="5760720" cy="29660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63" w:rsidRDefault="003304C6" w:rsidP="003304C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Kod użyty do pomiarów jakości</w:t>
      </w:r>
    </w:p>
    <w:p w:rsidR="000C1BE8" w:rsidRDefault="000C1BE8">
      <w:r>
        <w:rPr>
          <w:noProof/>
        </w:rPr>
        <w:drawing>
          <wp:inline distT="0" distB="0" distL="0" distR="0" wp14:anchorId="3BC8165D" wp14:editId="0D62A160">
            <wp:extent cx="5760720" cy="3873500"/>
            <wp:effectExtent l="0" t="0" r="11430" b="1270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A7E519F-A5ED-4DAA-89ED-7F7B1ED19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20B2D" w:rsidRDefault="00D20B2D">
      <w:bookmarkStart w:id="0" w:name="_GoBack"/>
      <w:r>
        <w:rPr>
          <w:noProof/>
        </w:rPr>
        <w:lastRenderedPageBreak/>
        <w:drawing>
          <wp:inline distT="0" distB="0" distL="0" distR="0" wp14:anchorId="058A536A">
            <wp:extent cx="5773420" cy="3883660"/>
            <wp:effectExtent l="0" t="0" r="0" b="254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962A880" wp14:editId="38E729F7">
            <wp:extent cx="5760720" cy="3873500"/>
            <wp:effectExtent l="0" t="0" r="11430" b="1270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0A7E519F-A5ED-4DAA-89ED-7F7B1ED19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D2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80769"/>
    <w:multiLevelType w:val="hybridMultilevel"/>
    <w:tmpl w:val="50960E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D6E"/>
    <w:multiLevelType w:val="hybridMultilevel"/>
    <w:tmpl w:val="8C74B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88"/>
    <w:rsid w:val="00025BAC"/>
    <w:rsid w:val="0004398D"/>
    <w:rsid w:val="00070B27"/>
    <w:rsid w:val="000C1BE8"/>
    <w:rsid w:val="001502BF"/>
    <w:rsid w:val="003304C6"/>
    <w:rsid w:val="003715A4"/>
    <w:rsid w:val="003A173D"/>
    <w:rsid w:val="003D2E63"/>
    <w:rsid w:val="003F0254"/>
    <w:rsid w:val="00412DC6"/>
    <w:rsid w:val="00432FDB"/>
    <w:rsid w:val="0095606E"/>
    <w:rsid w:val="00AB7DC5"/>
    <w:rsid w:val="00B64DD9"/>
    <w:rsid w:val="00BD6488"/>
    <w:rsid w:val="00D20B2D"/>
    <w:rsid w:val="00D31F79"/>
    <w:rsid w:val="00F3570E"/>
    <w:rsid w:val="00FB58F0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73B5"/>
  <w15:chartTrackingRefBased/>
  <w15:docId w15:val="{1B58065A-B0D8-4754-9B2A-2E322CB2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F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1E8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3D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7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BD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OK\JobShop\OptyKombi\test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Czasy wykonania się algorytmu dla instancji tai20-25 na maszynie 1 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'CZAS Kubuntu'!$A$2:$A$7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'CZAS Kubuntu'!$B$2:$B$7</c:f>
              <c:numCache>
                <c:formatCode>General</c:formatCode>
                <c:ptCount val="6"/>
                <c:pt idx="0">
                  <c:v>295108</c:v>
                </c:pt>
                <c:pt idx="1">
                  <c:v>427876</c:v>
                </c:pt>
                <c:pt idx="2">
                  <c:v>392651</c:v>
                </c:pt>
                <c:pt idx="3">
                  <c:v>371395</c:v>
                </c:pt>
                <c:pt idx="4">
                  <c:v>414031</c:v>
                </c:pt>
                <c:pt idx="5">
                  <c:v>395496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6D-44B4-B1F7-BBB00B8F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653904"/>
        <c:axId val="867013072"/>
      </c:barChart>
      <c:catAx>
        <c:axId val="86765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Nazwa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013072"/>
        <c:crosses val="autoZero"/>
        <c:auto val="1"/>
        <c:lblAlgn val="ctr"/>
        <c:lblOffset val="100"/>
        <c:noMultiLvlLbl val="0"/>
      </c:catAx>
      <c:valAx>
        <c:axId val="8670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(nanosekundy)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65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Czasy wykonania się algorytmu dla instancji tai20-25 na maszynie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'CZAS Kubuntu'!$A$2:$A$7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'CZAS Kubuntu'!$C$2:$C$7</c:f>
              <c:numCache>
                <c:formatCode>General</c:formatCode>
                <c:ptCount val="6"/>
                <c:pt idx="0">
                  <c:v>294899</c:v>
                </c:pt>
                <c:pt idx="1">
                  <c:v>431494</c:v>
                </c:pt>
                <c:pt idx="2">
                  <c:v>380268</c:v>
                </c:pt>
                <c:pt idx="3">
                  <c:v>370940</c:v>
                </c:pt>
                <c:pt idx="4">
                  <c:v>399364</c:v>
                </c:pt>
                <c:pt idx="5">
                  <c:v>396084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37-475A-AC8B-9534019A3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653904"/>
        <c:axId val="867013072"/>
      </c:barChart>
      <c:catAx>
        <c:axId val="867653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Nazwa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013072"/>
        <c:crosses val="autoZero"/>
        <c:auto val="1"/>
        <c:lblAlgn val="ctr"/>
        <c:lblOffset val="100"/>
        <c:noMultiLvlLbl val="0"/>
      </c:catAx>
      <c:valAx>
        <c:axId val="8670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(nanosekundy)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65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czasu wykonania się algorytmu od liczby wczytanych zadań dla instancji tai25 na maszynie 1 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'CZAS Kubuntu'!$A$10:$A$29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'CZAS Kubuntu'!$B$10:$B$29</c:f>
              <c:numCache>
                <c:formatCode>General</c:formatCode>
                <c:ptCount val="20"/>
                <c:pt idx="0">
                  <c:v>7054</c:v>
                </c:pt>
                <c:pt idx="1">
                  <c:v>13431</c:v>
                </c:pt>
                <c:pt idx="2">
                  <c:v>22463</c:v>
                </c:pt>
                <c:pt idx="3">
                  <c:v>42760</c:v>
                </c:pt>
                <c:pt idx="4">
                  <c:v>47133</c:v>
                </c:pt>
                <c:pt idx="5">
                  <c:v>52133</c:v>
                </c:pt>
                <c:pt idx="6">
                  <c:v>76962</c:v>
                </c:pt>
                <c:pt idx="7">
                  <c:v>98902</c:v>
                </c:pt>
                <c:pt idx="8">
                  <c:v>106721</c:v>
                </c:pt>
                <c:pt idx="9">
                  <c:v>149067</c:v>
                </c:pt>
                <c:pt idx="10">
                  <c:v>183171</c:v>
                </c:pt>
                <c:pt idx="11">
                  <c:v>166781</c:v>
                </c:pt>
                <c:pt idx="12">
                  <c:v>196710</c:v>
                </c:pt>
                <c:pt idx="13">
                  <c:v>219794</c:v>
                </c:pt>
                <c:pt idx="14">
                  <c:v>279682</c:v>
                </c:pt>
                <c:pt idx="15">
                  <c:v>288087</c:v>
                </c:pt>
                <c:pt idx="16">
                  <c:v>277483</c:v>
                </c:pt>
                <c:pt idx="17">
                  <c:v>313943</c:v>
                </c:pt>
                <c:pt idx="18">
                  <c:v>354713</c:v>
                </c:pt>
                <c:pt idx="19">
                  <c:v>383007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7A-4877-B644-E2DA37F43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5278080"/>
        <c:axId val="864519632"/>
      </c:barChart>
      <c:catAx>
        <c:axId val="76527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wczytanych pierwszych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4519632"/>
        <c:crosses val="autoZero"/>
        <c:auto val="1"/>
        <c:lblAlgn val="ctr"/>
        <c:lblOffset val="100"/>
        <c:noMultiLvlLbl val="0"/>
      </c:catAx>
      <c:valAx>
        <c:axId val="8645196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(nanosekundy)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527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Zależność czasu wykonania się algorytmu od liczby wczytanych zadań dla instancji tai25 na maszynie 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'CZAS Kubuntu'!$A$10:$A$29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'CZAS Kubuntu'!$C$10:$C$29</c:f>
              <c:numCache>
                <c:formatCode>General</c:formatCode>
                <c:ptCount val="20"/>
                <c:pt idx="0">
                  <c:v>7631</c:v>
                </c:pt>
                <c:pt idx="1">
                  <c:v>13346</c:v>
                </c:pt>
                <c:pt idx="2">
                  <c:v>23135</c:v>
                </c:pt>
                <c:pt idx="3">
                  <c:v>42685</c:v>
                </c:pt>
                <c:pt idx="4">
                  <c:v>49130</c:v>
                </c:pt>
                <c:pt idx="5">
                  <c:v>53746</c:v>
                </c:pt>
                <c:pt idx="6">
                  <c:v>77403</c:v>
                </c:pt>
                <c:pt idx="7">
                  <c:v>97968</c:v>
                </c:pt>
                <c:pt idx="8">
                  <c:v>112050</c:v>
                </c:pt>
                <c:pt idx="9">
                  <c:v>150758</c:v>
                </c:pt>
                <c:pt idx="10">
                  <c:v>183362</c:v>
                </c:pt>
                <c:pt idx="11">
                  <c:v>174118</c:v>
                </c:pt>
                <c:pt idx="12">
                  <c:v>197134</c:v>
                </c:pt>
                <c:pt idx="13">
                  <c:v>223420</c:v>
                </c:pt>
                <c:pt idx="14">
                  <c:v>277783</c:v>
                </c:pt>
                <c:pt idx="15">
                  <c:v>275100</c:v>
                </c:pt>
                <c:pt idx="16">
                  <c:v>287026</c:v>
                </c:pt>
                <c:pt idx="17">
                  <c:v>332040</c:v>
                </c:pt>
                <c:pt idx="18">
                  <c:v>402332</c:v>
                </c:pt>
                <c:pt idx="19">
                  <c:v>404426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9-40DE-A47B-421F18D33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5278080"/>
        <c:axId val="864519632"/>
      </c:barChart>
      <c:catAx>
        <c:axId val="76527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wczytanych pierwszych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4519632"/>
        <c:crosses val="autoZero"/>
        <c:auto val="1"/>
        <c:lblAlgn val="ctr"/>
        <c:lblOffset val="100"/>
        <c:noMultiLvlLbl val="0"/>
      </c:catAx>
      <c:valAx>
        <c:axId val="8645196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(nanosekundy)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527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rozwiązań algorytmu w porównaniu do wyznaczonego dolnego ograniczenia wartości funkcji celu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Długość uszeregowania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jakość!$A$2:$A$7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jakość!$B$2:$B$7</c:f>
              <c:numCache>
                <c:formatCode>General</c:formatCode>
                <c:ptCount val="6"/>
                <c:pt idx="0">
                  <c:v>2360</c:v>
                </c:pt>
                <c:pt idx="1">
                  <c:v>2308</c:v>
                </c:pt>
                <c:pt idx="2">
                  <c:v>2567</c:v>
                </c:pt>
                <c:pt idx="3">
                  <c:v>2282</c:v>
                </c:pt>
                <c:pt idx="4">
                  <c:v>2487</c:v>
                </c:pt>
                <c:pt idx="5">
                  <c:v>2566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CD-4A38-B492-99392CA0F5C0}"/>
            </c:ext>
          </c:extLst>
        </c:ser>
        <c:ser>
          <c:idx val="1"/>
          <c:order val="1"/>
          <c:tx>
            <c:v>Wyznaczone dolne ograniczenie wartości funkcji celu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jakość!$A$2:$A$7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jakość!$C$2:$C$7</c:f>
              <c:numCache>
                <c:formatCode>General</c:formatCode>
                <c:ptCount val="6"/>
                <c:pt idx="0">
                  <c:v>928</c:v>
                </c:pt>
                <c:pt idx="1">
                  <c:v>1217</c:v>
                </c:pt>
                <c:pt idx="2">
                  <c:v>1223</c:v>
                </c:pt>
                <c:pt idx="3">
                  <c:v>1164</c:v>
                </c:pt>
                <c:pt idx="4">
                  <c:v>1151</c:v>
                </c:pt>
                <c:pt idx="5">
                  <c:v>1170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CD-4A38-B492-99392CA0F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249264"/>
        <c:axId val="867009744"/>
      </c:barChart>
      <c:catAx>
        <c:axId val="86624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009744"/>
        <c:crosses val="autoZero"/>
        <c:auto val="1"/>
        <c:lblAlgn val="ctr"/>
        <c:lblOffset val="100"/>
        <c:noMultiLvlLbl val="0"/>
      </c:catAx>
      <c:valAx>
        <c:axId val="8670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624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rozwiązań algorytmu w porównaniu do wyznaczonego dolnego ograniczenia wartości funkcji celu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Długość uszeregowania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jakość!$A$2:$A$7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jakość!$B$2:$B$7</c:f>
              <c:numCache>
                <c:formatCode>General</c:formatCode>
                <c:ptCount val="6"/>
                <c:pt idx="0">
                  <c:v>2360</c:v>
                </c:pt>
                <c:pt idx="1">
                  <c:v>2308</c:v>
                </c:pt>
                <c:pt idx="2">
                  <c:v>2567</c:v>
                </c:pt>
                <c:pt idx="3">
                  <c:v>2282</c:v>
                </c:pt>
                <c:pt idx="4">
                  <c:v>2487</c:v>
                </c:pt>
                <c:pt idx="5">
                  <c:v>2566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B-4AD7-924D-8FD44989D2E6}"/>
            </c:ext>
          </c:extLst>
        </c:ser>
        <c:ser>
          <c:idx val="1"/>
          <c:order val="1"/>
          <c:tx>
            <c:v>Wyznaczone dolne ograniczenie wartości funkcji celu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jakość!$A$2:$A$7</c:f>
              <c:strCache>
                <c:ptCount val="6"/>
                <c:pt idx="0">
                  <c:v>tai20</c:v>
                </c:pt>
                <c:pt idx="1">
                  <c:v>tai21</c:v>
                </c:pt>
                <c:pt idx="2">
                  <c:v>tai22</c:v>
                </c:pt>
                <c:pt idx="3">
                  <c:v>tai23</c:v>
                </c:pt>
                <c:pt idx="4">
                  <c:v>tai24</c:v>
                </c:pt>
                <c:pt idx="5">
                  <c:v>tai25</c:v>
                </c:pt>
              </c:strCache>
            </c:strRef>
          </c:cat>
          <c:val>
            <c:numRef>
              <c:f>jakość!$C$2:$C$7</c:f>
              <c:numCache>
                <c:formatCode>General</c:formatCode>
                <c:ptCount val="6"/>
                <c:pt idx="0">
                  <c:v>928</c:v>
                </c:pt>
                <c:pt idx="1">
                  <c:v>1217</c:v>
                </c:pt>
                <c:pt idx="2">
                  <c:v>1223</c:v>
                </c:pt>
                <c:pt idx="3">
                  <c:v>1164</c:v>
                </c:pt>
                <c:pt idx="4">
                  <c:v>1151</c:v>
                </c:pt>
                <c:pt idx="5">
                  <c:v>1170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B-4AD7-924D-8FD44989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249264"/>
        <c:axId val="867009744"/>
      </c:barChart>
      <c:catAx>
        <c:axId val="86624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009744"/>
        <c:crosses val="autoZero"/>
        <c:auto val="1"/>
        <c:lblAlgn val="ctr"/>
        <c:lblOffset val="100"/>
        <c:noMultiLvlLbl val="0"/>
      </c:catAx>
      <c:valAx>
        <c:axId val="8670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624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10</cp:revision>
  <dcterms:created xsi:type="dcterms:W3CDTF">2019-11-21T16:26:00Z</dcterms:created>
  <dcterms:modified xsi:type="dcterms:W3CDTF">2019-11-21T19:19:00Z</dcterms:modified>
</cp:coreProperties>
</file>