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03864"/>
          <w:sz w:val="38"/>
          <w:szCs w:val="38"/>
        </w:rPr>
        <w:t xml:space="preserve">PROTOKÓŁ TESTU OBCIĄŻENIOWEGO</w:t>
      </w:r>
    </w:p>
    <w:p>
      <w:pPr>
        <w:spacing w:after="40"/>
      </w:pPr>
      <w:r>
        <w:rPr>
          <w:sz w:val="26"/>
          <w:szCs w:val="26"/>
        </w:rPr>
        <w:t xml:space="preserve">GREENSTRAT Cloud Engine — pełna baza 31 301 projektów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Rozstrzyga decyzję D.11: ścieżka platformy dla modułów zadań 11 i 14</w:t>
      </w:r>
    </w:p>
    <w:p>
      <w:pPr>
        <w:spacing w:after="95"/>
      </w:pPr>
      <w:r>
        <w:rPr>
          <w:b/>
          <w:bCs/>
          <w:color w:val="203864"/>
          <w:sz w:val="22"/>
          <w:szCs w:val="22"/>
        </w:rPr>
        <w:t xml:space="preserve">Wersja / data: </w:t>
      </w:r>
      <w:r>
        <w:rPr>
          <w:sz w:val="22"/>
          <w:szCs w:val="22"/>
        </w:rPr>
        <w:t xml:space="preserve">1.0 / 26.07.2026</w:t>
      </w:r>
    </w:p>
    <w:p>
      <w:pPr>
        <w:spacing w:after="95"/>
      </w:pPr>
      <w:r>
        <w:rPr>
          <w:b/>
          <w:bCs/>
          <w:color w:val="203864"/>
          <w:sz w:val="22"/>
          <w:szCs w:val="22"/>
        </w:rPr>
        <w:t xml:space="preserve">Wykonawca testu: </w:t>
      </w:r>
      <w:r>
        <w:rPr>
          <w:sz w:val="22"/>
          <w:szCs w:val="22"/>
        </w:rPr>
        <w:t xml:space="preserve">osoba nietechniczna — wystarczy przeglądarka, stoper i ten protokół</w:t>
      </w:r>
    </w:p>
    <w:p>
      <w:pPr>
        <w:spacing w:after="95"/>
      </w:pPr>
      <w:r>
        <w:rPr>
          <w:b/>
          <w:bCs/>
          <w:color w:val="203864"/>
          <w:sz w:val="22"/>
          <w:szCs w:val="22"/>
        </w:rPr>
        <w:t xml:space="preserve">Czas wykonania: </w:t>
      </w:r>
      <w:r>
        <w:rPr>
          <w:sz w:val="22"/>
          <w:szCs w:val="22"/>
        </w:rPr>
        <w:t xml:space="preserve">ok. 2–3 godziny, w jednym dniu (dzienne limity Google)</w:t>
      </w:r>
    </w:p>
    <w:p>
      <w:pPr>
        <w:spacing w:after="95"/>
      </w:pPr>
      <w:r>
        <w:rPr>
          <w:b/>
          <w:bCs/>
          <w:color w:val="203864"/>
          <w:sz w:val="22"/>
          <w:szCs w:val="22"/>
        </w:rPr>
        <w:t xml:space="preserve">Środowisko: </w:t>
      </w:r>
      <w:r>
        <w:rPr>
          <w:sz w:val="22"/>
          <w:szCs w:val="22"/>
        </w:rPr>
        <w:t xml:space="preserve">KOPIA arkusza produkcyjnego (nigdy oryginał) + aplikacja GREENSTRAT wpięta w tę kopię</w:t>
      </w:r>
    </w:p>
    <w:p>
      <w:pPr>
        <w:pStyle w:val="Heading1"/>
        <w:spacing w:after="150" w:before="280"/>
      </w:pPr>
      <w:r>
        <w:t xml:space="preserve">1. Co rozstrzyga ten test</w:t>
      </w:r>
    </w:p>
    <w:p>
      <w:pPr>
        <w:spacing w:after="110"/>
      </w:pPr>
      <w:r>
        <w:rPr>
          <w:sz w:val="22"/>
          <w:szCs w:val="22"/>
        </w:rPr>
        <w:t xml:space="preserve">Aplikacja działa dziś na Google Apps Script + Google Sheets i była używana na małych próbach. Baza docelowa to 31 301 projektów. Test odpowiada na jedno pytanie: czy obecna platforma udźwignie pełną skalę — a wynik mechanicznie wskazuje wariant architektury: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Wariant (a) — rozbudowa obecnej aplikacji: wybierany przy wyniku ZIELONYM.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Wariant (c) — hybryda (obecny interfejs + obliczenia przeniesione do hurtowni/cache): przy wyniku ŻÓŁTYM.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Wariant (b) — replatforming (np. BigQuery): przy wyniku CZERWONYM.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Test mierzy nie tylko szybkość, ale i POPRAWNOŚĆ: pliki testowe mają wyliczone z góry wartości wskaźników (sekcja 6). Jeżeli aplikacja pokaże inne liczby — to błąd krytyczny niezależnie od tempa.</w:t>
      </w:r>
    </w:p>
    <w:p>
      <w:pPr>
        <w:pStyle w:val="Heading1"/>
        <w:spacing w:after="150" w:before="280"/>
      </w:pPr>
      <w:r>
        <w:t xml:space="preserve">2. Zestaw plików testowych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300"/>
        <w:gridCol w:w="4276"/>
      </w:tblGrid>
      <w:tr>
        <w:tc>
          <w:tcPr>
            <w:tcW w:type="dxa" w:w="345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Plik</w:t>
            </w:r>
          </w:p>
        </w:tc>
        <w:tc>
          <w:tcPr>
            <w:tcW w:type="dxa" w:w="13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Wierszy</w:t>
            </w:r>
          </w:p>
        </w:tc>
        <w:tc>
          <w:tcPr>
            <w:tcW w:type="dxa" w:w="4276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Rola w teście</w:t>
            </w:r>
          </w:p>
        </w:tc>
      </w:tr>
      <w:tr>
        <w:tc>
          <w:tcPr>
            <w:tcW w:type="dxa" w:w="3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GREENSTRAT_test_proba_1000.xlsx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1 000</w:t>
            </w:r>
          </w:p>
        </w:tc>
        <w:tc>
          <w:tcPr>
            <w:tcW w:type="dxa" w:w="427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Skala S — rozgrzewka i punkt odniesienia czasów</w:t>
            </w:r>
          </w:p>
        </w:tc>
      </w:tr>
      <w:tr>
        <w:tc>
          <w:tcPr>
            <w:tcW w:type="dxa" w:w="3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GREENSTRAT_test_proba_5000.xlsx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5 000</w:t>
            </w:r>
          </w:p>
        </w:tc>
        <w:tc>
          <w:tcPr>
            <w:tcW w:type="dxa" w:w="427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Skala M</w:t>
            </w:r>
          </w:p>
        </w:tc>
      </w:tr>
      <w:tr>
        <w:tc>
          <w:tcPr>
            <w:tcW w:type="dxa" w:w="3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GREENSTRAT_test_czesc_1.xlsx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10 434</w:t>
            </w:r>
          </w:p>
        </w:tc>
        <w:tc>
          <w:tcPr>
            <w:tcW w:type="dxa" w:w="427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Skala L oraz porcja 1/3 ładowania przyrostowego</w:t>
            </w:r>
          </w:p>
        </w:tc>
      </w:tr>
      <w:tr>
        <w:tc>
          <w:tcPr>
            <w:tcW w:type="dxa" w:w="3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GREENSTRAT_test_czesc_2.xlsx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10 434</w:t>
            </w:r>
          </w:p>
        </w:tc>
        <w:tc>
          <w:tcPr>
            <w:tcW w:type="dxa" w:w="427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Porcja 2/3 (dogrywana bez czyszczenia bazy)</w:t>
            </w:r>
          </w:p>
        </w:tc>
      </w:tr>
      <w:tr>
        <w:tc>
          <w:tcPr>
            <w:tcW w:type="dxa" w:w="3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GREENSTRAT_test_czesc_3.xlsx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10 433</w:t>
            </w:r>
          </w:p>
        </w:tc>
        <w:tc>
          <w:tcPr>
            <w:tcW w:type="dxa" w:w="427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Porcja 3/3 — po niej licznik = 31 301</w:t>
            </w:r>
          </w:p>
        </w:tc>
      </w:tr>
      <w:tr>
        <w:tc>
          <w:tcPr>
            <w:tcW w:type="dxa" w:w="3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GREENSTRAT_test_pelna_baza_31301.xlsx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31 301</w:t>
            </w:r>
          </w:p>
        </w:tc>
        <w:tc>
          <w:tcPr>
            <w:tcW w:type="dxa" w:w="427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Skala XL — próba załadowania JEDNYM plikiem (~2,4 MB pliku, ~20 MB pakietu danych)</w:t>
            </w:r>
          </w:p>
        </w:tc>
      </w:tr>
      <w:tr>
        <w:tc>
          <w:tcPr>
            <w:tcW w:type="dxa" w:w="3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GREENSTRAT_test_walidacja_negatywna_1000.xlsx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1 000</w:t>
            </w:r>
          </w:p>
        </w:tc>
        <w:tc>
          <w:tcPr>
            <w:tcW w:type="dxa" w:w="427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880 wierszy czystych + 120 z celowymi błędami E1–E6 (sekcja 7)</w:t>
            </w:r>
          </w:p>
        </w:tc>
      </w:tr>
    </w:tbl>
    <w:p>
      <w:pPr>
        <w:spacing w:after="110"/>
      </w:pPr>
      <w:r>
        <w:rPr>
          <w:i/>
          <w:iCs/>
          <w:color w:val="595959"/>
          <w:sz w:val="22"/>
          <w:szCs w:val="22"/>
        </w:rPr>
        <w:t xml:space="preserve">Uwaga: pliki proba_1000, proba_5000 i czesc_1 to początkowe wycinki pełnej bazy — dlatego ładowanie przyrostowe część 1→2→3 daje identyczny zbiór co plik pełny i te same liczby kontrolne.</w:t>
      </w:r>
    </w:p>
    <w:p>
      <w:pPr>
        <w:pStyle w:val="Heading1"/>
        <w:spacing w:after="150" w:before="280"/>
      </w:pPr>
      <w:r>
        <w:t xml:space="preserve">3. Przygotowanie (raz, przed testem)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2"/>
          <w:szCs w:val="22"/>
        </w:rPr>
        <w:t xml:space="preserve">Wykonaj kopię arkusza produkcyjnego (Plik → Utwórz kopię) i podepnij pod nią aplikację testową — test NIGDY na oryginale.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2"/>
          <w:szCs w:val="22"/>
        </w:rPr>
        <w:t xml:space="preserve">Otwórz aplikację w przeglądarce Chrome, zamknij inne karty i programy.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2"/>
          <w:szCs w:val="22"/>
        </w:rPr>
        <w:t xml:space="preserve">Otwórz obok, w drugiej karcie, arkusz kopii na zakładce Logs_History — tam serwer sam zapisuje czasy operacji w milisekundach (kolumna Duration).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2"/>
          <w:szCs w:val="22"/>
        </w:rPr>
        <w:t xml:space="preserve">Uruchom menedżer zadań przeglądarki (Shift+Esc) — kolumna „Pamięć” dla karty z aplikacją.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2"/>
          <w:szCs w:val="22"/>
        </w:rPr>
        <w:t xml:space="preserve">Przygotuj stoper (telefon) i wydruk tego protokołu lub drugi ekran.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2"/>
          <w:szCs w:val="22"/>
        </w:rPr>
        <w:t xml:space="preserve">W aplikacji użyj przycisku czyszczenia bazy — start od zera. Po każdym scenariuszu T1 również czyść bazę, chyba że protokół mówi inaczej.</w:t>
      </w:r>
    </w:p>
    <w:p>
      <w:pPr>
        <w:spacing w:after="95"/>
      </w:pPr>
      <w:r>
        <w:rPr>
          <w:b/>
          <w:bCs/>
          <w:color w:val="203864"/>
          <w:sz w:val="22"/>
          <w:szCs w:val="22"/>
        </w:rPr>
        <w:t xml:space="preserve">Trzy zegary: </w:t>
      </w:r>
      <w:r>
        <w:rPr>
          <w:sz w:val="22"/>
          <w:szCs w:val="22"/>
        </w:rPr>
        <w:t xml:space="preserve">STOPER = czas od puszczenia pliku do pojawienia się wyników na ekranie (end-to-end); LOGS = wartości Duration wierszy DATA_STORAGE i CALCULATE_INDICES z Logs_History; RAM = szczyt pamięci karty z menedżera zadań.</w:t>
      </w:r>
    </w:p>
    <w:p>
      <w:r>
        <w:br w:type="page"/>
      </w:r>
    </w:p>
    <w:p>
      <w:pPr>
        <w:pStyle w:val="Heading1"/>
        <w:spacing w:after="150" w:before="280"/>
      </w:pPr>
      <w:r>
        <w:t xml:space="preserve">4. Scenariusze pomiarowe</w:t>
      </w:r>
    </w:p>
    <w:p>
      <w:pPr>
        <w:pStyle w:val="Heading2"/>
        <w:spacing w:after="110" w:before="220"/>
      </w:pPr>
      <w:r>
        <w:t xml:space="preserve">T1 — Import rosnący (skale S, M, L)</w:t>
      </w:r>
    </w:p>
    <w:p>
      <w:pPr>
        <w:spacing w:after="110"/>
      </w:pPr>
      <w:r>
        <w:rPr>
          <w:sz w:val="22"/>
          <w:szCs w:val="22"/>
        </w:rPr>
        <w:t xml:space="preserve">Kolejno: wyczyść bazę → wgraj proba_1000 → zapisz pomiary → wyczyść → proba_5000 → pomiary → wyczyść → czesc_1 → pomiary.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50"/>
        <w:gridCol w:w="1650"/>
        <w:gridCol w:w="1650"/>
        <w:gridCol w:w="1300"/>
        <w:gridCol w:w="1276"/>
      </w:tblGrid>
      <w:tr>
        <w:tc>
          <w:tcPr>
            <w:tcW w:type="dxa" w:w="15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Skala</w:t>
            </w:r>
          </w:p>
        </w:tc>
        <w:tc>
          <w:tcPr>
            <w:tcW w:type="dxa" w:w="165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STOPER (s)</w:t>
            </w:r>
          </w:p>
        </w:tc>
        <w:tc>
          <w:tcPr>
            <w:tcW w:type="dxa" w:w="165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DATA_STORAGE (ms)</w:t>
            </w:r>
          </w:p>
        </w:tc>
        <w:tc>
          <w:tcPr>
            <w:tcW w:type="dxa" w:w="165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CALC_INDICES (ms)</w:t>
            </w:r>
          </w:p>
        </w:tc>
        <w:tc>
          <w:tcPr>
            <w:tcW w:type="dxa" w:w="13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RAM szczyt (MB)</w:t>
            </w:r>
          </w:p>
        </w:tc>
        <w:tc>
          <w:tcPr>
            <w:tcW w:type="dxa" w:w="1276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Błędy?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1 000</w:t>
            </w:r>
          </w:p>
        </w:tc>
        <w:tc>
          <w:tcPr>
            <w:tcW w:type="dxa" w:w="1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7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5 000</w:t>
            </w:r>
          </w:p>
        </w:tc>
        <w:tc>
          <w:tcPr>
            <w:tcW w:type="dxa" w:w="1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7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10 434</w:t>
            </w:r>
          </w:p>
        </w:tc>
        <w:tc>
          <w:tcPr>
            <w:tcW w:type="dxa" w:w="1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7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t xml:space="preserve">T2 — Pełna baza jednym plikiem (główny punkt ryzyka)</w:t>
      </w:r>
    </w:p>
    <w:p>
      <w:pPr>
        <w:spacing w:after="110"/>
      </w:pPr>
      <w:r>
        <w:rPr>
          <w:sz w:val="22"/>
          <w:szCs w:val="22"/>
        </w:rPr>
        <w:t xml:space="preserve">Wyczyść bazę → wgraj pelna_baza_31301 jednym plikiem. Aplikacja wysyła całość jednym pakietem ~20 MB — możliwy timeout lub błąd serwera. Jeżeli wystąpi: zanotuj komunikat i liczbę wierszy, po czym przejdź do T3. Niepowodzenie T2 przy powodzeniu T3 to wynik ŻÓŁTY, nie CZERWONY.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4126"/>
      </w:tblGrid>
      <w:tr>
        <w:tc>
          <w:tcPr>
            <w:tcW w:type="dxa" w:w="29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Pomiar</w:t>
            </w:r>
          </w:p>
        </w:tc>
        <w:tc>
          <w:tcPr>
            <w:tcW w:type="dxa" w:w="20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Wartość</w:t>
            </w:r>
          </w:p>
        </w:tc>
        <w:tc>
          <w:tcPr>
            <w:tcW w:type="dxa" w:w="4126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Notatki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STOPER end-to-end (s)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DATA_STORAGE / CALCULATE_INDICES (ms)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Licznik projektów po imporcie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oczekiwane: 31 301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RAM szczyt (MB) / stabilność karty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t xml:space="preserve">T3 — Pełna baza przyrostowo (wariant awaryjny i docelowy tryb zasilania)</w:t>
      </w:r>
    </w:p>
    <w:p>
      <w:pPr>
        <w:spacing w:after="110"/>
      </w:pPr>
      <w:r>
        <w:rPr>
          <w:sz w:val="22"/>
          <w:szCs w:val="22"/>
        </w:rPr>
        <w:t xml:space="preserve">Wyczyść bazę → wgraj czesc_1 → sprawdź licznik (10 434) → dograj czesc_2 BEZ czyszczenia → licznik (20 868) → dograj czesc_3 → licznik (31 301). Notuj czasy każdej porcji.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50"/>
        <w:gridCol w:w="1900"/>
        <w:gridCol w:w="1850"/>
        <w:gridCol w:w="1826"/>
      </w:tblGrid>
      <w:tr>
        <w:tc>
          <w:tcPr>
            <w:tcW w:type="dxa" w:w="17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Porcja</w:t>
            </w:r>
          </w:p>
        </w:tc>
        <w:tc>
          <w:tcPr>
            <w:tcW w:type="dxa" w:w="175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STOPER (s)</w:t>
            </w:r>
          </w:p>
        </w:tc>
        <w:tc>
          <w:tcPr>
            <w:tcW w:type="dxa" w:w="19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DATA_STORAGE (ms)</w:t>
            </w:r>
          </w:p>
        </w:tc>
        <w:tc>
          <w:tcPr>
            <w:tcW w:type="dxa" w:w="185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Licznik po porcji</w:t>
            </w:r>
          </w:p>
        </w:tc>
        <w:tc>
          <w:tcPr>
            <w:tcW w:type="dxa" w:w="1826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Błędy?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Część 1</w:t>
            </w:r>
          </w:p>
        </w:tc>
        <w:tc>
          <w:tcPr>
            <w:tcW w:type="dxa" w:w="1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oczek. 10 434</w:t>
            </w:r>
          </w:p>
        </w:tc>
        <w:tc>
          <w:tcPr>
            <w:tcW w:type="dxa" w:w="1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Część 2</w:t>
            </w:r>
          </w:p>
        </w:tc>
        <w:tc>
          <w:tcPr>
            <w:tcW w:type="dxa" w:w="1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oczek. 20 868</w:t>
            </w:r>
          </w:p>
        </w:tc>
        <w:tc>
          <w:tcPr>
            <w:tcW w:type="dxa" w:w="1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Część 3</w:t>
            </w:r>
          </w:p>
        </w:tc>
        <w:tc>
          <w:tcPr>
            <w:tcW w:type="dxa" w:w="1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oczek. 31 301</w:t>
            </w:r>
          </w:p>
        </w:tc>
        <w:tc>
          <w:tcPr>
            <w:tcW w:type="dxa" w:w="1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t xml:space="preserve">T4 — Przeliczanie i responsywność na pełnej bazie</w:t>
      </w:r>
    </w:p>
    <w:p>
      <w:pPr>
        <w:spacing w:after="110"/>
      </w:pPr>
      <w:r>
        <w:rPr>
          <w:sz w:val="22"/>
          <w:szCs w:val="22"/>
        </w:rPr>
        <w:t xml:space="preserve">Na załadowanych 31 301: trzykrotnie użyj odczytu statystyk (STOPER za każdym razem). Następnie przeklikaj zakładki zadań 4 → 8 → 11 → 14, porusz suwakami wag, przefiltruj tabelę inspekcji. Oceń płynność: PŁYNNIE / ZACINA / ZAWIESZA.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500"/>
        <w:gridCol w:w="3126"/>
      </w:tblGrid>
      <w:tr>
        <w:tc>
          <w:tcPr>
            <w:tcW w:type="dxa" w:w="29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Pomiar</w:t>
            </w:r>
          </w:p>
        </w:tc>
        <w:tc>
          <w:tcPr>
            <w:tcW w:type="dxa" w:w="15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Próba 1</w:t>
            </w:r>
          </w:p>
        </w:tc>
        <w:tc>
          <w:tcPr>
            <w:tcW w:type="dxa" w:w="15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Próba 2–3</w:t>
            </w:r>
          </w:p>
        </w:tc>
        <w:tc>
          <w:tcPr>
            <w:tcW w:type="dxa" w:w="3126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Ocena płynności UI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Odczyt statystyk — STOPER (s)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RAM szczyt (MB)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t xml:space="preserve">T5 — Poprawność wyników (liczby kontrolne)</w:t>
      </w:r>
    </w:p>
    <w:p>
      <w:pPr>
        <w:spacing w:after="110"/>
      </w:pPr>
      <w:r>
        <w:rPr>
          <w:sz w:val="22"/>
          <w:szCs w:val="22"/>
        </w:rPr>
        <w:t xml:space="preserve">Porównaj wartości z ekranu z tabelą w sekcji 6 (tolerancja ±0,1 pkt). Niezgodność = błąd krytyczny.</w:t>
      </w:r>
    </w:p>
    <w:p>
      <w:pPr>
        <w:pStyle w:val="Heading2"/>
        <w:spacing w:after="110" w:before="220"/>
      </w:pPr>
      <w:r>
        <w:t xml:space="preserve">T6 — Eksport naukowy</w:t>
      </w:r>
    </w:p>
    <w:p>
      <w:pPr>
        <w:spacing w:after="110"/>
      </w:pPr>
      <w:r>
        <w:rPr>
          <w:sz w:val="22"/>
          <w:szCs w:val="22"/>
        </w:rPr>
        <w:t xml:space="preserve">Na pełnej bazie uruchom eksport do arkusza statystycznego na Dysku. Zmierz czas do otrzymania linku i sprawdź, czy arkusz się otwiera i ma komplet wierszy.</w:t>
      </w:r>
    </w:p>
    <w:p>
      <w:pPr>
        <w:pStyle w:val="Heading2"/>
        <w:spacing w:after="110" w:before="220"/>
      </w:pPr>
      <w:r>
        <w:t xml:space="preserve">T7 — Bramka walidacyjna (plik negatywny)</w:t>
      </w:r>
    </w:p>
    <w:p>
      <w:pPr>
        <w:spacing w:after="110"/>
      </w:pPr>
      <w:r>
        <w:rPr>
          <w:sz w:val="22"/>
          <w:szCs w:val="22"/>
        </w:rPr>
        <w:t xml:space="preserve">Wyczyść bazę → wgraj walidacja_negatywna_1000 → porównaj raport odrzuceń z manifestem w sekcji 7.</w:t>
      </w:r>
    </w:p>
    <w:p>
      <w:pPr>
        <w:pStyle w:val="Heading2"/>
        <w:spacing w:after="110" w:before="220"/>
      </w:pPr>
      <w:r>
        <w:t xml:space="preserve">T8 — Stabilność</w:t>
      </w:r>
    </w:p>
    <w:p>
      <w:pPr>
        <w:spacing w:after="110"/>
      </w:pPr>
      <w:r>
        <w:rPr>
          <w:sz w:val="22"/>
          <w:szCs w:val="22"/>
        </w:rPr>
        <w:t xml:space="preserve">Po 10 minutach przerwy powtórz jeden odczyt statystyk z T4 — czas nie powinien odbiegać o więcej niż 50%.</w:t>
      </w:r>
    </w:p>
    <w:p>
      <w:r>
        <w:br w:type="page"/>
      </w:r>
    </w:p>
    <w:p>
      <w:pPr>
        <w:pStyle w:val="Heading1"/>
        <w:spacing w:after="150" w:before="280"/>
      </w:pPr>
      <w:r>
        <w:t xml:space="preserve">5. Progi zaliczenia i reguła decyzyjna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300"/>
        <w:gridCol w:w="2326"/>
      </w:tblGrid>
      <w:tr>
        <w:tc>
          <w:tcPr>
            <w:tcW w:type="dxa" w:w="21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Kryterium</w:t>
            </w:r>
          </w:p>
        </w:tc>
        <w:tc>
          <w:tcPr>
            <w:tcW w:type="dxa" w:w="23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ZIELONY → wariant (a)</w:t>
            </w:r>
          </w:p>
        </w:tc>
        <w:tc>
          <w:tcPr>
            <w:tcW w:type="dxa" w:w="23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ŻÓŁTY → wariant (c)</w:t>
            </w:r>
          </w:p>
        </w:tc>
        <w:tc>
          <w:tcPr>
            <w:tcW w:type="dxa" w:w="2326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CZERWONY → wariant (b)/(c)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Komplet danych 31 301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 LUB T3 kończy się licznikiem 31 301 bez utraty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tylko T3 (przyrostowo); T2 pada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utrata wierszy / licznik ≠ 31 301 w obu trybach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Import — porcja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każda porcja &lt; 5 min (STOPER)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5–10 min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&gt; 10 min lub błędy przerywające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Odczyt statystyk (T4)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≤ 90 s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90 s – 4 min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&gt; 4 min lub timeout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Poprawność (T5)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wszystkie liczby = kontrolne ±0,1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jakakolwiek niezgodność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UI i pamięć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płynnie; RAM &lt; 1,5 GB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zacina; RAM 1,5–3 GB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zawieszenie karty / crash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Eksport (T6)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≤ 5 min, komplet wierszy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5–10 min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&gt; 10 min / niekompletny</w:t>
            </w:r>
          </w:p>
        </w:tc>
      </w:tr>
    </w:tbl>
    <w:p>
      <w:pPr>
        <w:spacing w:after="110"/>
      </w:pPr>
      <w:r>
        <w:rPr>
          <w:b/>
          <w:bCs/>
          <w:sz w:val="22"/>
          <w:szCs w:val="22"/>
        </w:rPr>
        <w:t xml:space="preserve">Werdykt = najgorszy osiągnięty kolor w dowolnym wierszu. Wynik ŻÓŁTY oznacza: interfejs i baza zostają, ciężkie obliczenia przenosimy poza Apps Script — bez wyrzucania istniejącej aplikacji.</w:t>
      </w:r>
    </w:p>
    <w:p>
      <w:pPr>
        <w:pStyle w:val="Heading1"/>
        <w:spacing w:after="150" w:before="280"/>
      </w:pPr>
      <w:r>
        <w:t xml:space="preserve">6. Liczby kontrolne (wyliczone z plików testowych formułami aplikacji)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1200"/>
        <w:gridCol w:w="1200"/>
        <w:gridCol w:w="1200"/>
        <w:gridCol w:w="2326"/>
      </w:tblGrid>
      <w:tr>
        <w:tc>
          <w:tcPr>
            <w:tcW w:type="dxa" w:w="185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Plik / zakres</w:t>
            </w:r>
          </w:p>
        </w:tc>
        <w:tc>
          <w:tcPr>
            <w:tcW w:type="dxa" w:w="125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Ekoinnowacje (szt.)</w:t>
            </w:r>
          </w:p>
        </w:tc>
        <w:tc>
          <w:tcPr>
            <w:tcW w:type="dxa" w:w="12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EIFII (%)</w:t>
            </w:r>
          </w:p>
        </w:tc>
        <w:tc>
          <w:tcPr>
            <w:tcW w:type="dxa" w:w="12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ISBI</w:t>
            </w:r>
          </w:p>
        </w:tc>
        <w:tc>
          <w:tcPr>
            <w:tcW w:type="dxa" w:w="12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 (%)</w:t>
            </w:r>
          </w:p>
        </w:tc>
        <w:tc>
          <w:tcPr>
            <w:tcW w:type="dxa" w:w="2326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EIRSI — region max</w:t>
            </w:r>
          </w:p>
        </w:tc>
      </w:tr>
      <w:tr>
        <w:tc>
          <w:tcPr>
            <w:tcW w:type="dxa" w:w="18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proba_1000</w:t>
            </w:r>
          </w:p>
        </w:tc>
        <w:tc>
          <w:tcPr>
            <w:tcW w:type="dxa" w:w="12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329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34,90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84,65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23,00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opolskie ≈ 1,63</w:t>
            </w:r>
          </w:p>
        </w:tc>
      </w:tr>
      <w:tr>
        <w:tc>
          <w:tcPr>
            <w:tcW w:type="dxa" w:w="18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proba_5000</w:t>
            </w:r>
          </w:p>
        </w:tc>
        <w:tc>
          <w:tcPr>
            <w:tcW w:type="dxa" w:w="12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1 742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35,21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90,52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22,35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mazowieckie ≈ 1,33</w:t>
            </w:r>
          </w:p>
        </w:tc>
      </w:tr>
      <w:tr>
        <w:tc>
          <w:tcPr>
            <w:tcW w:type="dxa" w:w="18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czesc_1 (10 434)</w:t>
            </w:r>
          </w:p>
        </w:tc>
        <w:tc>
          <w:tcPr>
            <w:tcW w:type="dxa" w:w="12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3 717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35,37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90,48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22,15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mazowieckie ≈ 1,25</w:t>
            </w:r>
          </w:p>
        </w:tc>
      </w:tr>
      <w:tr>
        <w:tc>
          <w:tcPr>
            <w:tcW w:type="dxa" w:w="18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pełna baza (31 301)</w:t>
            </w:r>
          </w:p>
        </w:tc>
        <w:tc>
          <w:tcPr>
            <w:tcW w:type="dxa" w:w="12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11 148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35,71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88,97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21,81</w:t>
            </w:r>
          </w:p>
        </w:tc>
        <w:tc>
          <w:tcPr>
            <w:tcW w:type="dxa" w:w="2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mazowieckie ≈ 1,22</w:t>
            </w:r>
          </w:p>
        </w:tc>
      </w:tr>
    </w:tbl>
    <w:p>
      <w:pPr>
        <w:spacing w:after="110"/>
      </w:pPr>
      <w:r>
        <w:rPr>
          <w:i/>
          <w:iCs/>
          <w:color w:val="595959"/>
          <w:sz w:val="22"/>
          <w:szCs w:val="22"/>
        </w:rPr>
        <w:t xml:space="preserve">Obserwacja metodologiczna: w próbie 1 000 liderem specjalizacji jest opolskie (1,63) — mały region wyniesiony przez pojedyncze projekty; w pełnej bazie liderem jest mazowieckie (1,22). To efekt niskiej bazy uchwycony na żywo — dokładnie ta pułapka, przed którą system docelowy ma chronić bezpiecznikiem (Z.8 macierzy).</w:t>
      </w:r>
    </w:p>
    <w:p>
      <w:pPr>
        <w:pStyle w:val="Heading1"/>
        <w:spacing w:after="150" w:before="280"/>
      </w:pPr>
      <w:r>
        <w:t xml:space="preserve">7. Manifest pliku negatywnego (T7)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526"/>
      </w:tblGrid>
      <w:tr>
        <w:tc>
          <w:tcPr>
            <w:tcW w:type="dxa" w:w="9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2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Wstrzyknięty błąd</w:t>
            </w:r>
          </w:p>
        </w:tc>
        <w:tc>
          <w:tcPr>
            <w:tcW w:type="dxa" w:w="1400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Wierszy</w:t>
            </w:r>
          </w:p>
        </w:tc>
        <w:tc>
          <w:tcPr>
            <w:tcW w:type="dxa" w:w="3526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Oczekiwane zachowanie bramki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CZY_EKOINNOWACJA=1, ale jedna z ocen = 0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ODRZUCONE (bramka spójności ma to łapać)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CZY_EKOINNOWACJA=0, ale oceny &gt; 0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ODRZUCONE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Zduplikowany ID_PROJ (20 kopii)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PRZEJDĄ — znana luka 11.1.e (brak kontroli duplikatów)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Pusta wartość projektu (WART_PROJ_PLN)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Konwersja na brak/-99 — zanotuj, jak policzono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TRL końcowy &lt; początkowego (7→3)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PRZEJDĄ — znana luka (delta ujemna ignorowana)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E6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Nieznana nazwa regionu („Mazowsze”)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PRZEJDĄ do kodu „inne” — znana luka słownika</w:t>
            </w:r>
          </w:p>
        </w:tc>
      </w:tr>
    </w:tbl>
    <w:p>
      <w:pPr>
        <w:spacing w:after="110"/>
      </w:pPr>
      <w:r>
        <w:rPr>
          <w:i/>
          <w:iCs/>
          <w:color w:val="595959"/>
          <w:sz w:val="22"/>
          <w:szCs w:val="22"/>
        </w:rPr>
        <w:t xml:space="preserve">Wynik T7 pełni podwójną rolę: mierzy zachowanie bramki na skali oraz DOKUMENTUJE luki walidacji z macierzy (wiersz 11.1.e) twardym dowodem. Odrzucenie ≈ 60 wierszy (E1+E2) przy przepuszczeniu E3/E5/E6 to wynik OCZEKIWANY.</w:t>
      </w:r>
    </w:p>
    <w:p>
      <w:pPr>
        <w:pStyle w:val="Heading1"/>
        <w:spacing w:after="150" w:before="280"/>
      </w:pPr>
      <w:r>
        <w:t xml:space="preserve">8. Karta wyniku zbiorczego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Pole</w:t>
            </w:r>
          </w:p>
        </w:tc>
        <w:tc>
          <w:tcPr>
            <w:tcW w:type="dxa" w:w="4513"/>
            <w:shd w:fill="20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Wpis</w:t>
            </w:r>
          </w:p>
        </w:tc>
      </w:tr>
      <w:tr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i godzina testu</w:t>
            </w:r>
          </w:p>
        </w:tc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Wykonawca</w:t>
            </w:r>
          </w:p>
        </w:tc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 (jeden plik): powodzenie / porażka + czas</w:t>
            </w:r>
          </w:p>
        </w:tc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T3 (przyrostowo): powodzenie / czasy porcji</w:t>
            </w:r>
          </w:p>
        </w:tc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T4: czasy odczytu statystyk (3 próby)</w:t>
            </w:r>
          </w:p>
        </w:tc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T5: zgodność z liczbami kontrolnymi (TAK/NIE)</w:t>
            </w:r>
          </w:p>
        </w:tc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T6: czas eksportu / kompletność</w:t>
            </w:r>
          </w:p>
        </w:tc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T7: liczba odrzuconych / zgodność z manifestem</w:t>
            </w:r>
          </w:p>
        </w:tc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RAM szczytowy / stabilność</w:t>
            </w:r>
          </w:p>
        </w:tc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WERDYKT (ZIELONY / ŻÓŁTY / CZERWONY)</w:t>
            </w:r>
          </w:p>
        </w:tc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Rekomendowany wariant D.11 (a / b / c)</w:t>
            </w:r>
          </w:p>
        </w:tc>
        <w:tc>
          <w:tcPr>
            <w:tcW w:type="dxa" w:w="4513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>Wypełnioną kartę (lub zdjęcia ekranów z Logs_History) prześlij do analizy — na jej podstawie wydany zostanie werdykt D.11 i ruszy wypełnianie specyfikacji v3.0 pod wybraną ścieżkę.</w:t>
      </w:r>
    </w:p>
    <w:p>
      <w:pPr>
        <w:spacing w:after="110"/>
      </w:pPr>
      <w:r>
        <w:rPr>
          <w:i/>
          <w:iCs/>
          <w:color w:val="595959"/>
          <w:sz w:val="22"/>
          <w:szCs w:val="22"/>
        </w:rPr>
        <w:t xml:space="preserve">Notatki końcowe: klucz Gemini nie wpływa na test (przy plikach &gt; 5 wierszy aplikacja używa klasyfikacji słownikowej — ustalenie z audytu). Wszystkie scenariusze wykonać jednego dnia na tej samej kopii arkusza.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2026-07-26T13:24:18.981Z</dcterms:created>
  <dcterms:modified xsi:type="dcterms:W3CDTF">2026-07-26T13:24:18.996Z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