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203864"/>
          <w:sz w:val="40"/>
          <w:szCs w:val="40"/>
        </w:rPr>
        <w:t xml:space="preserve">SPECYFIKACJA SYSTEMOWA v3.0 — SZKIELET</w:t>
      </w:r>
    </w:p>
    <w:p>
      <w:pPr>
        <w:spacing w:after="40" w:before="0"/>
      </w:pPr>
      <w:r>
        <w:rPr>
          <w:sz w:val="26"/>
          <w:szCs w:val="26"/>
        </w:rPr>
        <w:t xml:space="preserve">System monitorowania i wspomagania decyzji polityki ekoinnowacyjnej</w:t>
      </w:r>
    </w:p>
    <w:p>
      <w:pPr>
        <w:spacing w:after="200" w:before="0"/>
      </w:pPr>
      <w:r>
        <w:rPr>
          <w:b/>
          <w:bCs/>
          <w:color w:val="203864"/>
          <w:sz w:val="26"/>
          <w:szCs w:val="26"/>
        </w:rPr>
        <w:t xml:space="preserve">GREENSTRAT &amp; EKO_LOKACJE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dokumentu: </w:t>
      </w:r>
      <w:r>
        <w:rPr>
          <w:sz w:val="22"/>
          <w:szCs w:val="22"/>
        </w:rPr>
        <w:t xml:space="preserve">SZKIELET DO UZUPEŁNIENIA — struktura, kontrakty i kryteria akceptacji kompletne; treści implementacyjne oznaczone [DO OPRACOWANIA]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Metoda: </w:t>
      </w:r>
      <w:r>
        <w:rPr>
          <w:sz w:val="22"/>
          <w:szCs w:val="22"/>
        </w:rPr>
        <w:t xml:space="preserve">traceability wobec dokumentu „Cele zadań 11 i 14” — każdy produkt źródłowy ma sekcję z kryteriami akceptacji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Data / wersja: </w:t>
      </w:r>
      <w:r>
        <w:rPr>
          <w:sz w:val="22"/>
          <w:szCs w:val="22"/>
        </w:rPr>
        <w:t xml:space="preserve">26.07.2026 / 3.0-szkielet, rewizja 2 (po audycie kodu; architektura wariantowa wg D.11)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Zastępuje: </w:t>
      </w:r>
      <w:r>
        <w:rPr>
          <w:sz w:val="22"/>
          <w:szCs w:val="22"/>
        </w:rPr>
        <w:t xml:space="preserve">Specyfikację Systemową v2.0 (Google Native Ecosystem Streamlined Edition)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Załączniki: </w:t>
      </w:r>
      <w:r>
        <w:rPr>
          <w:sz w:val="22"/>
          <w:szCs w:val="22"/>
        </w:rPr>
        <w:t xml:space="preserve">Zał. 1: Macierz traceability v1.1 (XLSX, z audytem kodu) — obowiązkowy; Zał. 2: Pakiet wejściowy zadań 4/8 [dostarczony częściowo: dokument wskaźników + implementacja w kodzie aplikacji]; Zał. 3: Schemat JSON v2 rekomendacji [do opracowania]</w:t>
      </w:r>
    </w:p>
    <w:p>
      <w:pPr>
        <w:spacing w:after="200" w:before="120"/>
      </w:pPr>
      <w:r>
        <w:rPr>
          <w:i/>
          <w:iCs/>
          <w:color w:val="595959"/>
          <w:sz w:val="22"/>
          <w:szCs w:val="22"/>
        </w:rPr>
        <w:t xml:space="preserve">Zasada nadrzędna (za dokumentem celów): system oblicza, porównuje, klasyfikuje i generuje warianty rekomendacji — każda decyzja zarządcza opiera się na audytowalnej regule i wymaga zatwierdzenia przez człowieka. Wysoka dynamika wskaźnika nie jest utożsamiana z trwałym sukcesem, jeżeli wynika z niskiej bazy, pojedynczego projektu lub pojedynczego beneficjenta.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i/>
          <w:iCs/>
          <w:color w:val="595959"/>
          <w:sz w:val="18"/>
          <w:szCs w:val="18"/>
        </w:rPr>
        <w:t xml:space="preserve">(Pole spisu treści aktualizuje się w programie Word: zaznacz i naciśnij F9.)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Metoda konstrukcji dokumentu (traceability)</w:t>
      </w:r>
    </w:p>
    <w:p>
      <w:pPr>
        <w:spacing w:after="120" w:before="0"/>
      </w:pPr>
      <w:r>
        <w:rPr>
          <w:sz w:val="22"/>
          <w:szCs w:val="22"/>
        </w:rPr>
        <w:t xml:space="preserve">Dokument v3.0 jest budowany od wymagań, nie od architektury. Obowiązują cztery reguły: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Struktura dokumentu odwzorowuje listę produktów 11.1–14.9 oraz zasady przekrojowe i walidację systemową. Produkt bez wypełnionej sekcji nie może być raportowany jako „objęty”.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Każda sekcja produktu zawiera pięć pól: wymagania źródłowe (identyfikatory macierzy) / zakres implementacji / kryteria akceptacji / zależności i decyzje / właściciel.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Zmiana wymagania źródłowego przechodzi przez macierz traceability, a dopiero potem przez sekcję produktu — kierunek jednostronny: od celów do specyfikacji.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Kryterium odbioru całości: zero pozycji SPRZECZNE i zero pozycji P0 o statusie BRAK w macierzy traceability.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Stan wyjściowy (macierz v1.1): 69 klastrów wymagań — 4 POKRYTE, 27 CZĘŚCIOWE, 34 BRAK, 4 SPRZECZNE; 40 pozycji P0, z czego 24 o statusie BRAK lub SPRZECZNE. Audyt istniejącej aplikacji (kolumna K): JEST 2, ZALĄŻEK 21, ATRAPA 4, BRAK 38, WBREW 4.</w:t>
      </w:r>
    </w:p>
    <w:p>
      <w:pPr>
        <w:pStyle w:val="Heading1"/>
        <w:spacing w:after="160" w:before="300"/>
      </w:pPr>
      <w:r>
        <w:t xml:space="preserve">2. Fundament: zależność od zadań 4 i 8</w:t>
      </w:r>
    </w:p>
    <w:p>
      <w:pPr>
        <w:spacing w:after="120" w:before="0"/>
      </w:pPr>
      <w:r>
        <w:rPr>
          <w:sz w:val="22"/>
          <w:szCs w:val="22"/>
        </w:rPr>
        <w:t xml:space="preserve">System nie definiuje własnych wskaźników — konsumuje zatwierdzone wyniki zadań 4 i 8. Pakiet wejściowy (Załącznik 2) obejmuje co najmniej: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słownik zmiennych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formuły EIESI, EIRRI, CRI wraz z wersją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klasyfikację ekoinnowacyjności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TRL początkowy i końcowy oraz przyrost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oceny LCA, efektywności zasobowej i transformacyjności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wyniki klasteryzacji, regresji i ANOVA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zidentyfikowane luki wdrożeniowe, kapitałowe i regionalne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historię aktualizacji danych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Kryterium akceptacji: </w:t>
      </w:r>
      <w:r>
        <w:rPr>
          <w:sz w:val="22"/>
          <w:szCs w:val="22"/>
        </w:rPr>
        <w:t xml:space="preserve">pakiet skompletowany, zwersjonowany i podpisany przez zespół zadań 4/8 przed rozpoczęciem prac nad produktem 11.1.</w:t>
      </w:r>
    </w:p>
    <w:p>
      <w:pPr>
        <w:pStyle w:val="Heading1"/>
        <w:spacing w:after="160" w:before="300"/>
      </w:pPr>
      <w:r>
        <w:t xml:space="preserve">3. Zasady konstytucyjne systemu</w:t>
      </w:r>
    </w:p>
    <w:p>
      <w:pPr>
        <w:pStyle w:val="Heading2"/>
        <w:spacing w:after="120" w:before="240"/>
      </w:pPr>
      <w:r>
        <w:t xml:space="preserve">Z.0 — Human-in-the-loop (zasada nadrzędna)</w:t>
      </w:r>
    </w:p>
    <w:p>
      <w:pPr>
        <w:spacing w:after="120" w:before="0"/>
      </w:pPr>
      <w:r>
        <w:rPr>
          <w:sz w:val="22"/>
          <w:szCs w:val="22"/>
        </w:rPr>
        <w:t xml:space="preserve">Żadna decyzja o alokacji, skalowaniu lub wycofaniu finansowania nie jest ostateczna bez zatwierdzenia człowieka. System prezentuje wyłącznie warianty rekomendacji.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Interfejs nie zawiera żadnej ścieżki publikacji rekomendacji z pominięciem statusu eksperckiego.</w:t>
      </w:r>
    </w:p>
    <w:p>
      <w:pPr>
        <w:pStyle w:val="Heading2"/>
        <w:spacing w:after="120" w:before="240"/>
      </w:pPr>
      <w:r>
        <w:t xml:space="preserve">Z.1 — Zależność od zadań 4 i 8</w:t>
      </w:r>
    </w:p>
    <w:p>
      <w:pPr>
        <w:spacing w:after="120" w:before="0"/>
      </w:pPr>
      <w:r>
        <w:rPr>
          <w:sz w:val="22"/>
          <w:szCs w:val="22"/>
        </w:rPr>
        <w:t xml:space="preserve">Wyniki zadań 4 i 8 (słownik zmiennych, formuły EIESI/EIRRI/CRI, klasyfikacje, klastry, regresje, ANOVA, luki) są formalnym, wersjonowanym inputem systemu — załącznik „Pakiet wejściowy 4/8”.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Każdy wskaźnik w katalogu KPI wskazuje wersję formuły z pakietu; brak formuł definiowanych ad hoc.</w:t>
      </w:r>
    </w:p>
    <w:p>
      <w:pPr>
        <w:pStyle w:val="Heading2"/>
        <w:spacing w:after="120" w:before="240"/>
      </w:pPr>
      <w:r>
        <w:t xml:space="preserve">Z.2 — Eliminowanie powtórzeń</w:t>
      </w:r>
    </w:p>
    <w:p>
      <w:pPr>
        <w:spacing w:after="120" w:before="0"/>
      </w:pPr>
      <w:r>
        <w:rPr>
          <w:sz w:val="22"/>
          <w:szCs w:val="22"/>
        </w:rPr>
        <w:t xml:space="preserve">System nie powtarza diagnoz z zadań 4/8 poza ośmioma dozwolonymi wyjątkami (aktualizacja bazy, walidacja, szereg czasowy, benchmarking, stabilność, dashboard, alarmy, DSS).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Sekcja każdego produktu deklaruje, czy i który wyjątek stosuje.</w:t>
      </w:r>
    </w:p>
    <w:p>
      <w:pPr>
        <w:pStyle w:val="Heading2"/>
        <w:spacing w:after="120" w:before="240"/>
      </w:pPr>
      <w:r>
        <w:t xml:space="preserve">Z.3 — Cztery warstwy z kontraktami</w:t>
      </w:r>
    </w:p>
    <w:p>
      <w:pPr>
        <w:spacing w:after="120" w:before="0"/>
      </w:pPr>
      <w:r>
        <w:rPr>
          <w:sz w:val="22"/>
          <w:szCs w:val="22"/>
        </w:rPr>
        <w:t xml:space="preserve">Dane / analityka / deterministyczny silnik reguł / warstwa generatywna — rozdzielone jawnymi kontraktami wejścia-wyjścia. Warstwa generatywna nie ma zapisu do warstw 1–3.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Kontrakty udokumentowane; test negatywny: próba modyfikacji progu lub reguły z warstwy AI kończy się odmową i logiem.</w:t>
      </w:r>
    </w:p>
    <w:p>
      <w:pPr>
        <w:pStyle w:val="Heading2"/>
        <w:spacing w:after="120" w:before="240"/>
      </w:pPr>
      <w:r>
        <w:t xml:space="preserve">Z.4 — HITL operacyjnie</w:t>
      </w:r>
    </w:p>
    <w:p>
      <w:pPr>
        <w:spacing w:after="120" w:before="0"/>
      </w:pPr>
      <w:r>
        <w:rPr>
          <w:sz w:val="22"/>
          <w:szCs w:val="22"/>
        </w:rPr>
        <w:t xml:space="preserve">Pięć statusów rekomendacji (automatyczna / oczekująca / zatwierdzona / odrzucona / zmodyfikowana), SLA przeglądu oraz zasada czterech oczu dla alarmów czerwonych.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Workflow wymusza 5 statusów; alarm czerwony wymaga dwóch niezależnych zatwierdzeń; zatwierdzenie bez uzasadnienia niemożliwe.</w:t>
      </w:r>
    </w:p>
    <w:p>
      <w:pPr>
        <w:pStyle w:val="Heading2"/>
        <w:spacing w:after="120" w:before="240"/>
      </w:pPr>
      <w:r>
        <w:t xml:space="preserve">Z.5 — Audytowalność (lineage 8 ogniw)</w:t>
      </w:r>
    </w:p>
    <w:p>
      <w:pPr>
        <w:spacing w:after="120" w:before="0"/>
      </w:pPr>
      <w:r>
        <w:rPr>
          <w:sz w:val="22"/>
          <w:szCs w:val="22"/>
        </w:rPr>
        <w:t xml:space="preserve">Źródło → obserwacja źródłowa → transformacja → wskaźnik → próg → reguła → rekomendacja → decyzja eksperta; identyfikator na każdym ogniwie.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Dla dowolnej rekomendacji pełny łańcuch odtwarzalny jednym zapytaniem, do poziomu rekordu źródłowego.</w:t>
      </w:r>
    </w:p>
    <w:p>
      <w:pPr>
        <w:pStyle w:val="Heading2"/>
        <w:spacing w:after="120" w:before="240"/>
      </w:pPr>
      <w:r>
        <w:t xml:space="preserve">Z.6 — Wersjonowanie</w:t>
      </w:r>
    </w:p>
    <w:p>
      <w:pPr>
        <w:spacing w:after="120" w:before="0"/>
      </w:pPr>
      <w:r>
        <w:rPr>
          <w:sz w:val="22"/>
          <w:szCs w:val="22"/>
        </w:rPr>
        <w:t xml:space="preserve">Osiem triggerów nowej wersji modelu (wzór, dane, wagi, normalizacja, progi, drzewo, imputacja, przypisanie wieloregionalne); każdy wynik stemplowany sześcioma metadanymi (wersja, data, zakres danych, rok referencyjny, metoda, zatwierdzający).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Wynik historyczny odtwarzalny w wersji modelu, w której powstał; zmiana progu nie nadpisuje historii.</w:t>
      </w:r>
    </w:p>
    <w:p>
      <w:pPr>
        <w:pStyle w:val="Heading2"/>
        <w:spacing w:after="120" w:before="240"/>
      </w:pPr>
      <w:r>
        <w:t xml:space="preserve">Z.7 — Obsługa niepewności</w:t>
      </w:r>
    </w:p>
    <w:p>
      <w:pPr>
        <w:spacing w:after="120" w:before="0"/>
      </w:pPr>
      <w:r>
        <w:rPr>
          <w:sz w:val="22"/>
          <w:szCs w:val="22"/>
        </w:rPr>
        <w:t xml:space="preserve">Każdy wynik niesie 7 atrybutów: kompletność, aktualność, udział imputacji, zakres niepewności, stabilność, wrażliwość na wagi, wiarygodność (wysoka/średnia/niska).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Obiekt niepewności obowiązkowy w każdym wyniku, karcie i rekomendacji; dashboard prezentuje wiarygodność przy każdej liczbie kluczowej.</w:t>
      </w:r>
    </w:p>
    <w:p>
      <w:pPr>
        <w:pStyle w:val="Heading2"/>
        <w:spacing w:after="120" w:before="240"/>
      </w:pPr>
      <w:r>
        <w:t xml:space="preserve">Z.8 — Bezpiecznik efektu niskiej bazy (symetryczny)</w:t>
      </w:r>
    </w:p>
    <w:p>
      <w:pPr>
        <w:spacing w:after="120" w:before="0"/>
      </w:pPr>
      <w:r>
        <w:rPr>
          <w:sz w:val="22"/>
          <w:szCs w:val="22"/>
        </w:rPr>
        <w:t xml:space="preserve">Siedem przyczyn flagi wrażliwości; sześć warunków oceny przed rekomendacją skalowania; symetria — mała próba lub brak danych nie uruchamia automatycznej rekomendacji ograniczenia ani wycofania finansowania.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Flaga egzekwowana w warstwie reguł i bramce (nie w prompcie); testy wymuszenia w obu kierunkach: skalowanie i cięcie.</w:t>
      </w:r>
    </w:p>
    <w:p>
      <w:pPr>
        <w:pStyle w:val="Heading1"/>
        <w:spacing w:after="160" w:before="300"/>
      </w:pPr>
      <w:r>
        <w:t xml:space="preserve">4. Warstwa zgodności (nieobecna w v2.0 i w dokumencie celów)</w:t>
      </w:r>
    </w:p>
    <w:p>
      <w:pPr>
        <w:pStyle w:val="Heading2"/>
        <w:spacing w:after="120" w:before="240"/>
      </w:pPr>
      <w:r>
        <w:t xml:space="preserve">4.1 — Zamówienia publiczne (PZP)</w:t>
      </w:r>
    </w:p>
    <w:p>
      <w:pPr>
        <w:spacing w:after="120" w:before="0"/>
      </w:pPr>
      <w:r>
        <w:rPr>
          <w:sz w:val="22"/>
          <w:szCs w:val="22"/>
        </w:rPr>
        <w:t xml:space="preserve">Opis przedmiotu zamówienia formułowany neutralnie technologicznie; stack Google występuje wyłącznie jako wariant referencyjny z klauzulą równoważności. Lista eksportów z produktu 11.1 stanowi dowód przenaszalności rozwiązania.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Opinia PZP przed publikacją OPZ; zero nazw własnych bez klauzuli równoważności.</w:t>
      </w:r>
    </w:p>
    <w:p>
      <w:pPr>
        <w:pStyle w:val="Heading2"/>
        <w:spacing w:after="120" w:before="240"/>
      </w:pPr>
      <w:r>
        <w:t xml:space="preserve">4.2 — AI Act</w:t>
      </w:r>
    </w:p>
    <w:p>
      <w:pPr>
        <w:spacing w:after="120" w:before="0"/>
      </w:pPr>
      <w:r>
        <w:rPr>
          <w:sz w:val="22"/>
          <w:szCs w:val="22"/>
        </w:rPr>
        <w:t xml:space="preserve">System wspomagający decyzje o dostępie do środków publicznych niesie istotne ryzyko kwalifikacji jako system wysokiego ryzyka (Załącznik III); obowiązki dla tej kategorii wchodzą w życie 2 sierpnia 2026 r. Do czasu opinii prawnej architektura projektowana „jak dla systemu wysokiego ryzyka”: nadzór ludzki, dokumentacja techniczna, rejestrowanie zdarzeń, zarządzanie ryzykiem.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Opinia kwalifikacyjna (decyzja D.8) przed zamrożeniem architektury; rejestr obowiązków prowadzony od startu projektu.</w:t>
      </w:r>
    </w:p>
    <w:p>
      <w:pPr>
        <w:pStyle w:val="Heading2"/>
        <w:spacing w:after="120" w:before="240"/>
      </w:pPr>
      <w:r>
        <w:t xml:space="preserve">4.3 — RODO / DPIA</w:t>
      </w:r>
    </w:p>
    <w:p>
      <w:pPr>
        <w:spacing w:after="120" w:before="0"/>
      </w:pPr>
      <w:r>
        <w:rPr>
          <w:sz w:val="22"/>
          <w:szCs w:val="22"/>
        </w:rPr>
        <w:t xml:space="preserve">Beneficjenci obejmują osoby fizyczne prowadzące działalność — dane osobowe przetwarzane w chmurze i przekazywane do modelu generatywnego wymagają oceny skutków (DPIA), mapy przepływów i analizy lokalizacji przetwarzania.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DPIA zatwierdzona przez IOD przed pierwszym ładowaniem danych produkcyjnych.</w:t>
      </w:r>
    </w:p>
    <w:p>
      <w:pPr>
        <w:pStyle w:val="Heading2"/>
        <w:spacing w:after="120" w:before="240"/>
      </w:pPr>
      <w:r>
        <w:t xml:space="preserve">4.4 — Dostępność cyfrowa</w:t>
      </w:r>
    </w:p>
    <w:p>
      <w:pPr>
        <w:spacing w:after="120" w:before="0"/>
      </w:pPr>
      <w:r>
        <w:rPr>
          <w:sz w:val="22"/>
          <w:szCs w:val="22"/>
        </w:rPr>
        <w:t xml:space="preserve">Interfejsy publiczne (dashboard, karty województw) spełniają WCAG 2.1 AA zgodnie z ustawowym obowiązkiem podmiotów publicznych.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Audyt dostępności w kryteriach odbioru dashboardu (produkt 11.3).</w:t>
      </w:r>
    </w:p>
    <w:p>
      <w:pPr>
        <w:pStyle w:val="Heading2"/>
        <w:spacing w:after="120" w:before="240"/>
      </w:pPr>
      <w:r>
        <w:t xml:space="preserve">4.5 — Rejestr decyzji administracyjnych</w:t>
      </w:r>
    </w:p>
    <w:p>
      <w:pPr>
        <w:spacing w:after="120" w:before="0"/>
      </w:pPr>
      <w:r>
        <w:rPr>
          <w:sz w:val="22"/>
          <w:szCs w:val="22"/>
        </w:rPr>
        <w:t xml:space="preserve">Decyzje eksperckie przechowywane w trwałym, audytowalnym rejestrze bazodanowym z retencją i ścieżką archiwizacji; interfejs arkuszowy pełni wyłącznie rolę frontu (decyzja D.7).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DoD: Rejestr z kontrolą dostępu i eksportem do obiegu dokumentów; arkusz nie jest źródłem prawdy.</w:t>
      </w:r>
    </w:p>
    <w:p>
      <w:pPr>
        <w:pStyle w:val="Heading1"/>
        <w:spacing w:after="160" w:before="300"/>
      </w:pPr>
      <w:r>
        <w:t xml:space="preserve">5. Architektura referencyjna</w:t>
      </w:r>
    </w:p>
    <w:p>
      <w:pPr>
        <w:pStyle w:val="Heading2"/>
        <w:spacing w:after="120" w:before="240"/>
      </w:pPr>
      <w:r>
        <w:t xml:space="preserve">5.1 — Cztery warstwy i kontrakty</w:t>
      </w:r>
    </w:p>
    <w:p>
      <w:pPr>
        <w:spacing w:after="120" w:before="0"/>
      </w:pPr>
      <w:r>
        <w:rPr>
          <w:sz w:val="22"/>
          <w:szCs w:val="22"/>
        </w:rPr>
        <w:t xml:space="preserve">Warstwa danych (składowanie, klasy danych, eksporty) → warstwa analityczna (KPI, indeksy, klasy benchmarkowe, flagi) → deterministyczny silnik reguł (progi, drzewa, macierz problem–interwencja, warianty działań) → warstwa generatywna (opis, uzasadnienie, karta). Punkt wyjścia: stack faktyczny aplikacji (Google Apps Script + Google Sheets + silnik JS). Architektura docelowa jest wariantowa — rozstrzyga ją test obciążeniowy (sekcja 5.4). Warstwa eksportu (Parquet, DuckDB, CSV, JSON-Stat, SQL) i klauzula równoważności obowiązują niezależnie od wybranej ścieżki.</w:t>
      </w:r>
    </w:p>
    <w:p>
      <w:pPr>
        <w:pStyle w:val="Heading2"/>
        <w:spacing w:after="120" w:before="240"/>
      </w:pPr>
      <w:r>
        <w:t xml:space="preserve">5.2 — Bramka deterministyczna walidacji outputu AI</w:t>
      </w:r>
    </w:p>
    <w:p>
      <w:pPr>
        <w:spacing w:after="120" w:before="0"/>
      </w:pPr>
      <w:r>
        <w:rPr>
          <w:sz w:val="22"/>
          <w:szCs w:val="22"/>
        </w:rPr>
        <w:t xml:space="preserve">Każdy obiekt wygenerowany przez warstwę AI przechodzi przed zapisem do panelu eksperckiego przez walidator systemowy: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zgodność ze schematem JSON v2 (struktura, typy, komplet 11 elementów);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reguły biznesowe: przy aktywnej fladze bazy warianty ograniczone do wachlarza fallback — rekord z rekomendacją skalowania jest odrzucany i logowany;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wartości liczbowe wyłącznie wstrzykiwane z warstwy analitycznej — niezgodność liczby z rekordem źródłowym odrzuca obiekt;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pole „wymaga oceny prawnej” jako flaga wyliczana regułowo; treść prawna nie jest generowana.</w:t>
      </w:r>
    </w:p>
    <w:p>
      <w:pPr>
        <w:pStyle w:val="Heading2"/>
        <w:spacing w:after="120" w:before="240"/>
      </w:pPr>
      <w:r>
        <w:t xml:space="preserve">5.3 — Pipeline zasilania i wymagania niefunkcjonalne</w:t>
      </w:r>
    </w:p>
    <w:p>
      <w:pPr>
        <w:spacing w:after="120" w:before="0"/>
      </w:pPr>
      <w:r>
        <w:rPr>
          <w:sz w:val="22"/>
          <w:szCs w:val="22"/>
        </w:rPr>
        <w:t xml:space="preserve">Zasilanie cykliczne z obsługą korekt wstecznych (decyzja D.4); środowiska dev/test/prod; kopie i odtwarzanie; model uprawnień; SLA; limity i alerty kosztowe (TCO).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parametry NFR i model kosztów — po decyzjach D.4 i D.5.</w:t>
      </w:r>
    </w:p>
    <w:p>
      <w:pPr>
        <w:pStyle w:val="Heading2"/>
        <w:spacing w:after="120" w:before="240"/>
      </w:pPr>
      <w:r>
        <w:t xml:space="preserve">5.4 — Architektura docelowa i progi przesiadki (decyzja D.11)</w:t>
      </w:r>
    </w:p>
    <w:p>
      <w:pPr>
        <w:spacing w:after="120" w:before="0"/>
      </w:pPr>
      <w:r>
        <w:rPr>
          <w:sz w:val="22"/>
          <w:szCs w:val="22"/>
        </w:rPr>
        <w:t xml:space="preserve">Zadania 11 i 14 są ciężkie metodologicznie, nie obliczeniowo: pełna baza to ok. 0,66 mln komórek (limit arkusza: 10 mln), a indeksy regionalne operują na macierzach 16 województw × dziesiątki zmiennych. Realne wąskie gardła platformy leżą gdzie indziej: pojedynczy pakiet importu przy limicie czasu wykonania, historia migawek, urzędowy rejestr decyzji, współbieżność ekspertów i obowiązki rejestrowania zdarzeń. Rozstrzyga test obciążeniowy wg protokołu: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ZIELONY → ścieżka (a): pozostajemy na GAS + Sheets; historia wyłącznie na poziomie zagregowanych KPI (nie surowych migawek); rejestr decyzji i tak wychodzi do bazy (D.7).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ŻÓŁTY → ścieżka (c) hybryda: front, staging i silnik JS bez zmian; BigQuery jako „sejf” na historię KPI, dane zewnętrzne (GUS/Eurostat/środowiskowe), logi zdarzeń i rejestr decyzji; warstwa BI opcjonalnie na sejfie.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CZERWONY → ścieżka (b)/(c): silnik i dane wyprowadzone poza GAS; aplikacja najwyżej jako cienki interfejs.</w:t>
      </w:r>
    </w:p>
    <w:p>
      <w:pPr>
        <w:spacing w:after="120" w:before="0"/>
      </w:pPr>
      <w:r>
        <w:rPr>
          <w:sz w:val="22"/>
          <w:szCs w:val="22"/>
        </w:rPr>
        <w:t xml:space="preserve">Progi przesiadki niezależne od testu — spełnienie któregokolwiek przełącza na hybrydę nawet przy wyniku zielonym: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wymóg przechowywania historii na poziomie surowych wierszy;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formalny rejestr decyzji administracyjnych z retencją i integracją z obiegiem dokumentów (EZD);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rozbudowa integracji źródeł zewnętrznych ponad proste cykliczne pobrania;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twarde obowiązki rejestrowania zdarzeń wynikające z kwalifikacji AI Act.</w:t>
      </w:r>
    </w:p>
    <w:p>
      <w:pPr>
        <w:spacing w:after="120" w:before="0"/>
      </w:pPr>
      <w:r>
        <w:rPr>
          <w:sz w:val="22"/>
          <w:szCs w:val="22"/>
        </w:rPr>
        <w:t xml:space="preserve">Polisa przenośności: po zadaniu Z-1 logika wskaźników żyje wyłącznie w silniku czystych funkcji, a wyrocznia testowa podróżuje razem z nim — migracja na dowolną platformę jest dowiedziona, gdy te same liczby kontrolne przechodzą w nowym środowisku. Kolejność nienegocjowalna: najpierw naprawa jakości danych (Z-1→Z-3), potem pomiar, na końcu decyzja o adresie — przenosiny przed naprawą przeniosłyby wady L.16/L.17 do hurtowni.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6. Produkty Zadania 11 — system krajowy</w:t>
      </w:r>
    </w:p>
    <w:p>
      <w:pPr>
        <w:pStyle w:val="Heading3"/>
        <w:spacing w:after="100" w:before="200"/>
      </w:pPr>
      <w:r>
        <w:t xml:space="preserve">PRODUKT 11.1 — Zintegrowana baza monitorowania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11.1.a–11.1.e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(agregacje) / BRAK (rejestr źródeł, klasy danych, walidacja) / SPRZECZNE (eksporty vs guardrail Google)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Jedna wersjonowana baza łącząca 31 301 projektów z wynikami zadań 4 i 8, z ośmioma poziomami agregacji (projekt, beneficjent, działanie, priorytet, program, fundusz, województwo, rok), rejestrem źródeł, separacją klas danych oraz warstwą eksportu niezależną od stacku.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model fizyczny tabel i widoków; słownik identyfikatorów; harmonogram ładowań (zależny od decyzji D.4).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Rejestr źródeł zawiera 7 metadanych dla 100% tabel zasilających; historia zmian każdego wskaźnika odtwarzalna dla dowolnej daty.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Każda wartość posiada klasę: obserwowana / obliczona / imputowana / ekspercka.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Dowolny widok eksportowalny do Parquet, DuckDB, CSV, JSON-Stat i relacyjnego SQL bez utraty metadanych.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Pakiet 7 testów jakości przechodzi przy każdym ładowaniu pełnej bazy; raport odchyleń archiwizowany.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Unikatowe identyfikatory w 5 domenach: projekt, beneficjent, program, region, wskaźnik.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Pakiet wejściowy zadań 4/8 (rozdz. 3); decyzje D.4 (zasilanie) i D.5 (stack i eksport).</w:t>
      </w:r>
    </w:p>
    <w:p>
      <w:pPr>
        <w:pStyle w:val="Heading3"/>
        <w:spacing w:after="100" w:before="200"/>
      </w:pPr>
      <w:r>
        <w:t xml:space="preserve">PRODUKT 11.2 — Katalog KPI (kontrakt systemu)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11.2.a–11.2.d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jądra — 3 z 10 wymiarów szczątkowo, zero metadanych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Katalog 10 wymiarów z minimalnym zestawem ok. 48 wskaźników; karta KPI o 16 polach (wzór, normalizacja, progi, reguła reakcji DSS i in.). Katalog jest jedynym źródłem definicji dla dashboardu, systemu alarmowego i DSS — żaden komponent nie liczy metryk poza nim.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wypełnienie 48 kart KPI formułami z pakietu zadań 4/8; mapowanie źródeł per wskaźnik.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10/10 wymiarów; komplet minimalnego zestawu zmapowany na źródła i formuły z zadań 4/8.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Każda karta KPI ma 16/16 pól, w tym progi ostrzegawczy i krytyczny oraz regułę reakcji DSS.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Raport walidacji 9 testów (odporność, korelacje, redundancja, wrażliwość na okres i bazę) zatwierdzony przez metodologa.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dashboard, alarmy i DSS nie używają żadnego wskaźnika spoza katalogu.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Z.1 (formuły z zadań 4/8); D.1 (wariant kanoniczny zapisany w karcie KPI); D.3 (progi).</w:t>
      </w:r>
    </w:p>
    <w:p>
      <w:pPr>
        <w:pStyle w:val="Heading3"/>
        <w:spacing w:after="100" w:before="200"/>
      </w:pPr>
      <w:r>
        <w:t xml:space="preserve">PRODUKT 11.3 — Dashboard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11.3.a–11.3.c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— 3 z 10 paneli; BRAK paneli Jakości danych i Efektu bazy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Dziesięć paneli 1:1 z wymaganiem źródłowym, w tym dwa panele warunkujące odbiór: Jakość danych oraz Efekt bazy i obserwacje dominujące (wynik przed i po wyłączeniu największej obserwacji). Model ról użytkowników i komplet sześciu filtrów.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10/10 paneli; 6/6 filtrów (rok, fundusz, program, beneficjent, typ projektu, region); macierz ról wdrożona.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Panel Efektu bazy prezentuje wynik przed i po wyłączeniu obserwacji dominującej dla każdej jednostki.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Zgodność WCAG 2.1 AA potwierdzona audytem dostępności.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Każda wizualizacja pobiera definicję i progi wyłącznie z katalogu KPI.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11.1, 11.2; luki L.6 (alerting) i L.7 (WCAG).</w:t>
      </w:r>
    </w:p>
    <w:p>
      <w:pPr>
        <w:pStyle w:val="Heading3"/>
        <w:spacing w:after="100" w:before="200"/>
      </w:pPr>
      <w:r>
        <w:t xml:space="preserve">PRODUKT 11.4 — Benchmark krajowy (5 klas)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11.4.a–11.4.b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— w v2.0 wyłącznie macierz 2×2 należąca do 11.6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Silnik klasyfikacji do 5 klas (liderzy systemowi / ponadprzeciętni / poziom referencyjny / wymagający poprawy / krytyczni) wyprowadzanych z median, kwartyli, percentyli i stabilności w czasie; polityka odporności (mediana, IQR, winsoryzacja, log, robust scaling) zapisana per KPI.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Procedura klasyfikacji udokumentowana i powtarzalna; klasy wyliczane, nie nadawane ręcznie.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jednostka z wysoką dynamiką z niskiej bazy lub z jednym dominującym projektem nie otrzymuje klasy lidera.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Każda klasa z uzasadnieniem, poziomem wiarygodności i wskaźnikiem stabilności klasyfikacji.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11.2; D.3 (zatwierdzanie progów klas).</w:t>
      </w:r>
    </w:p>
    <w:p>
      <w:pPr>
        <w:pStyle w:val="Heading3"/>
        <w:spacing w:after="100" w:before="200"/>
      </w:pPr>
      <w:r>
        <w:t xml:space="preserve">PRODUKT 11.5 — Benchmark międzynarodowy Polski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11.5.a–11.5.b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— produkt zadeklarowany w v2.0 bez treści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ETL czterech źródeł (European Innovation Scoreboard, Eco-Innovation Index, Eurostat, OECD); 8 grup porównawczych; karta porównywalności wymuszająca przeliczenia względne i zgodność czasową; 6 artefaktów wynikowych, w tym karta „Polska na tle UE”, macierz luka–potencjał i profil konwergencji.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wybór wskaźników z każdego źródła zgodnie z listami z wymagania 11.5; kalendarz publikacji danych UE.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Każde porównanie ma metadane zgodności czasowej: rok krajowy, rok UE, opóźnienie, metoda dopasowania okresów.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zakaz porównań wartości bezwzględnych bez przeliczenia względnego (per capita, % PKB, UE=100).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Karta „Polska na tle UE”, macierz luka–potencjał i profil konwergencji generowane z danych, każde z poziomem wiarygodności.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11.1; zasilanie zewnętrzne (data engineer).</w:t>
      </w:r>
    </w:p>
    <w:p>
      <w:pPr>
        <w:pStyle w:val="Heading3"/>
        <w:spacing w:after="100" w:before="200"/>
      </w:pPr>
      <w:r>
        <w:t xml:space="preserve">PRODUKT 11.6 — Macierz efektywności programów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11.6.a–11.6.b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— macierz 2×2 bez nakładek dynamiki i słownika działań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Macierz alokacja × efektywność z trzecim wymiarem: sześć nakładek (stabilna / spadająca / rosnąca / niepewna / zależna od jednej obserwacji / wrażliwa na bazę) oraz klasyfikacja do pięciu działań (skalowanie / kontynuacja / korekta / pogłębiona analiza / audyt) z kompletem warunków zakazu skalowania.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Każdy program ma pozycję 2×2, nakładkę dynamiki i rekomendowane działanie z 5-elementowego słownika.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program spełniający dowolny z 5 warunków zakazu nie trafia do klasy „skalowanie”.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Klasyfikacja opatrzona statusem HITL — nie jest prezentowana jako decyzja finansowa.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11.2, 11.7; zasada Z.8.</w:t>
      </w:r>
    </w:p>
    <w:p>
      <w:pPr>
        <w:pStyle w:val="Heading3"/>
        <w:spacing w:after="100" w:before="200"/>
      </w:pPr>
      <w:r>
        <w:t xml:space="preserve">PRODUKT 11.7 — System progów i alarmów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11.7.0–11.7.c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POKRYTE (skala kolorów) / SPRZECZNE (progi zahardkodowane) / CZĘŚCIOWE (atrybuty alarmu)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Procedura derywacji progów z rozkładów (percentyle, IQR, odchylenia od benchmarków, spadki r/r, trwałość, współwystępowanie sygnałów); rejestr progów z właścicielem, wersją i datą; rekord alarmu o 10 atrybutach; reguły ochronne dla koloru żółtego.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100% progów wyprowadzonych wg procedury i zatwierdzonych przez Radę metodologiczną; zero progów „z ręki”.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Rekord alarmu zawiera 10/10 atrybutów, w tym udział dominanty i wynik po jej wyłączeniu.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alarm żółty nie generuje automatycznej rekomendacji ograniczenia finansowania.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Alarm czerwony uruchamia obowiązkowy przegląd ekspercki z określonym SLA.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D.3; luki L.6 (mechanizm powiadomień) i L.11 (governance).</w:t>
      </w:r>
    </w:p>
    <w:p>
      <w:pPr>
        <w:pStyle w:val="Heading3"/>
        <w:spacing w:after="100" w:before="200"/>
      </w:pPr>
      <w:r>
        <w:t xml:space="preserve">PRODUKT 11.8 — Krajowy DSS (human-in-the-loop)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11.8.a–11.8.d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baz wiedzy / SPRZECZNE (bezpiecznik w prompcie; werdykt prawny z modelu)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Repozytoria wiedzy DSS: katalog dopuszczalnych instrumentów i zatwierdzone drzewa decyzyjne (wersjonowane). Warianty działań wyznacza silnik deterministyczny; warstwa generatywna wyłącznie opisuje i uzasadnia. Output przechodzi przez bramkę walidacyjną (rozdz. 5.2) zanim trafi do panelu eksperckiego. Kontrakt wyjścia: schemat JSON v2.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treść drzew decyzyjnych i katalogu instrumentów — warsztat z zespołem merytorycznym.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Drzewa decyzyjne i katalog instrumentów istnieją jako zatwierdzone artefakty przed uruchomieniem DSS.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wymuszenia: rekord z rekomendacją skalowania przy aktywnej fladze bazy jest odrzucany przez bramkę systemowo.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Wartości liczbowe w treści rekomendacji są wstrzykiwane z danych, nigdy generowane przez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Pole „wymaga oceny prawnej” jest flagą; werdykt prawny pochodzi wyłącznie od człowieka.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Output zawiera 11/11 elementów (w tym niepewność i ryzyka); maksymalnie 3 warianty; komplet testów negatywnych uprawnień LLM.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Z.3, Z.8, 11.7; luka L.12 (ewaluacja generacji).</w:t>
      </w:r>
    </w:p>
    <w:p>
      <w:pPr>
        <w:pStyle w:val="Heading3"/>
        <w:spacing w:after="100" w:before="200"/>
      </w:pPr>
      <w:r>
        <w:t xml:space="preserve">PRODUKT 11.9 — Katalog rekomendacji systemowych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11.9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— 7 z 13 kolumn, brak adresata, priorytetu i horyzontu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Model danych 13 kolumn zgodny z formatem źródłowym; każda rekomendacja spięta łańcuchem lineage z alarmem, regułą i wersją modelu; katalog wersjonowany i połączony z dashboardem, alarmami i DSS.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13/13 kolumn; każda rekomendacja ma adresata, priorytet i horyzont czasowy.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Pełny łańcuch lineage od rekordu źródłowego do decyzji eksperta odtwarzalny jednym zapytaniem.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11.8; zasady Z.5 i Z.6.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7. Produkty Zadania 14 — system regionalny i EKO_Lokacje</w:t>
      </w:r>
    </w:p>
    <w:p>
      <w:pPr>
        <w:pStyle w:val="Heading3"/>
        <w:spacing w:after="100" w:before="200"/>
      </w:pPr>
      <w:r>
        <w:t xml:space="preserve">PRODUKT 14.1 — Regionalna baza GREENSTRAT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14.1.a–14.1.g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POKRYTE (3 warianty wieloregionalne) / BRAK (dane zewnętrzne, zgodność czasowa, twarde reguły)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Baza województwo × rok zasilana z GUS BDL, Eurostatu NUTS-2, RIS oraz źródeł środowiskowych (GIOŚ, KOBiZE, URE, BDO); metadane temporalne każdej zmiennej z 4-stopniową preferencją dopasowania okresów; trzy warianty projektów wieloregionalnych z twardymi zakazami; rejestr obserwacji dominujących (6 obliczeń); opcjonalna baza powiat/gmina wg decyzji D.6.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katalog zmiennych zewnętrznych ze źródłami i kadencją publikacji; projekt ETL.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Katalog zmiennych zewnętrznych z metadanymi temporalnymi dla 100% pozycji.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Testy twardych reguł: brak równomiernego rozdziału projektów centralnych; imputacja nie tworzy lokalizacji projektu.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Każda wartość imputowana z 4 metadanymi; udział imputacji raportowany per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Rejestr dominant: 6/6 obliczeń per województwo, zasilających flagę bazy i dashboard.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Decyzje D.1 (wariant kanoniczny), D.4 (zasilanie), D.6 (poziom lokalny).</w:t>
      </w:r>
    </w:p>
    <w:p>
      <w:pPr>
        <w:pStyle w:val="Heading3"/>
        <w:spacing w:after="100" w:before="200"/>
      </w:pPr>
      <w:r>
        <w:t xml:space="preserve">PRODUKT 14.2 — Regionalny Indeks Gotowości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14.2.a–14.2.e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programu metodologicznego — w v2.0 jedno zdanie o „odpornym z-score”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Tabela filar → zmienne → źródło → transformacja dla 6 filarów; porównanie trzech normalizacji; kontrola współliniowości (korelacje, VIF, redundancja, indeks pełny vs ograniczony); trzy warianty wag (równe / eksperckie / empiryczne wg decyzji D.2); 10-punktowy program analizy wrażliwości; kontrakt wyniku z semantyką flagi bazy.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skład zmiennych filarów — warsztat metodologiczny z wykorzystaniem pakietu zadań 4/8.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Indeks policzony w siatce 3 wagi × 3 normalizacje; raport wrażliwości (10 testów) opublikowany z pełną dokumentacją.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Współliniowość udokumentowana (VIF, redundancja); wersja pełna vs ograniczona porównana.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Zwrotka 11/11 elementów, w tym wynik po wyłączeniu największej obserwacji i zakres niepewności.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region z flagą bazy nie otrzymuje statusu trwałego lidera; flaga nie obniża wyniku liczbowego.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EIRRI funkcjonuje wyłącznie jako komponent filaru wdrożeniowego (kontrola udziału w wagach).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14.1; decyzja D.2; program W.2 (wspólny).</w:t>
      </w:r>
    </w:p>
    <w:p>
      <w:pPr>
        <w:pStyle w:val="Heading3"/>
        <w:spacing w:after="100" w:before="200"/>
      </w:pPr>
      <w:r>
        <w:t xml:space="preserve">PRODUKT 14.3 — Profile 16 województw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14.3.a–14.3.b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— szablon ~6 z 22 elementów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Szablon karty o 22 elementach z 9 zasadami prezentacji (dane bezwzględne i względne, benchmarki, niepewność, wynik przed i po wyłączeniu dominanty, charakter wzrostu). Generacja opisowa w warstwie AI wyłącznie na wartościach wstrzykniętych z danych; walidator kompletności przed publikacją.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16/16 kart z jednego szablonu; walidator kompletności potwierdza 22/22 elementy przed publikacją.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Każda karta zawiera wynik podstawowy i po wyłączeniu dominanty oraz ocenę charakteru wzrostu (systemowy / jednostkowy).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Karta opatrzona poziomem niepewności i informacją o traktowaniu projektów ogólnokrajowych.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14.1, 14.2; decyzja D.9 (proces publikacji).</w:t>
      </w:r>
    </w:p>
    <w:p>
      <w:pPr>
        <w:pStyle w:val="Heading3"/>
        <w:spacing w:after="100" w:before="200"/>
      </w:pPr>
      <w:r>
        <w:t xml:space="preserve">PRODUKT 14.4 — Typologia regionów (10 typów)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14.4.a–14.4.b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— redukcja 10 typów do 2 profili w v2.0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Typologia wyznaczana z wyników 6 filarów (nie z surowych zmiennych) do 10 typów źródłowych; karta typu z opisem potrzeb, ograniczeń i rekomendowanych instrumentów; walidacja 7 testów stabilności i zgodności.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Przypisanie typu odtwarzalne algorytmicznie z wyników filarów.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Raport walidacji: stabilność przy zmianie metody, zgodność z RIS i ocenami eksperckimi, wpływ dominant i imputacji.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Każdy typ ma kartę opisową z rekomendowanymi instrumentami.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14.2.</w:t>
      </w:r>
    </w:p>
    <w:p>
      <w:pPr>
        <w:pStyle w:val="Heading3"/>
        <w:spacing w:after="100" w:before="200"/>
      </w:pPr>
      <w:r>
        <w:t xml:space="preserve">PRODUKT 14.5 — Europejski benchmark regionalny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14.5.a–14.5.b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— produkt nieobecny w v2.0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Algorytm doboru czterech typów odpowiedników (podobni strukturalnie / podobny poziom rozwoju / „kiedyś podobni – dziś lepsi” / region aspiracyjny) na 10 kryteriach; 8 zasad porównania egzekwowanych w silniku; karta benchmarku per województwo z praktykami do adaptacji.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Każde województwo: grupa regionów podobnych oraz region aspiracyjny z uzasadnieniem realistyczności.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Testy negatywne: brak par stolica–peryferie; wysoka dynamika bez potwierdzonej trwałości nie stanowi przewagi.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Karta zawiera dystanse, luki, mocne strony, praktyki do adaptacji i poziom wiarygodności benchmarku.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14.1 (Eurostat, RIS), 14.2.</w:t>
      </w:r>
    </w:p>
    <w:p>
      <w:pPr>
        <w:pStyle w:val="Heading3"/>
        <w:spacing w:after="100" w:before="200"/>
      </w:pPr>
      <w:r>
        <w:t xml:space="preserve">PRODUKT 14.6 — Mapy specjalizacji i luk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14.6.a–14.6.b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— 2 z 10 map, brak warstwy interpretacyjnej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Dziesięć map (potencjał, absorpcja, wdrożeniowość, transformacyjność, specjalizacje, ryzyko, białe plamy, jakość danych, efekt bazy, koncentracja) na 16 obliczeniach; warstwa interpretacyjna z atrybutem przyczyny: 5 możliwych znaczeń białej plamy i 5 możliwych znaczeń wysokiej dynamiki.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10/10 map generowanych z katalogu definicji wskaźników.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Każdy przypadek białej plamy i wysokiej dynamiki opatrzony atrybutem przyczyny — zero przypadków bez diagnozy.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14.1, 14.2, 11.2.</w:t>
      </w:r>
    </w:p>
    <w:p>
      <w:pPr>
        <w:pStyle w:val="Heading3"/>
        <w:spacing w:after="100" w:before="200"/>
      </w:pPr>
      <w:r>
        <w:t xml:space="preserve">PRODUKT 14.7 — Regionalny DSS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14.7.a–14.7.b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— bez specyfiki regionalnej i pełnego wachlarza fallback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Rozszerzenie wspólnego silnika reguł o wymiar regionalny: katalog interwencji (typy projektów, poziomy TRL, grupy beneficjentów, wzmocnienie MŚP i JST, współpraca nauka–biznes, demonstracje, doradztwo, audyt); bezpiecznik regionalny o 7 warunkach z 6-wariantowym wachlarzem fallback; wynik: maksymalnie 3 warianty × 10 elementów.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katalog interwencji regionalnych — warsztat z zespołem merytorycznym.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Maksymalnie 3 warianty × 10/10 elementów per województwo (dowody, efekt, ryzyka, koszty, KPI, ograniczenia, niepewność, status, ocena bazy, zależność od obserwacji).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region spełniający dowolny z 7 warunków nie otrzymuje pełnego skalowania; system proponuje wariant z 6-elementowego wachlarza.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Każdy wariant z KPI kontroli i statusem HITL.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11.8 (wspólny silnik i bramka), 14.2, 14.4.</w:t>
      </w:r>
    </w:p>
    <w:p>
      <w:pPr>
        <w:pStyle w:val="Heading3"/>
        <w:spacing w:after="100" w:before="200"/>
      </w:pPr>
      <w:r>
        <w:t xml:space="preserve">PRODUKT 14.8 — Model EKO_Lokacji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14.8.a–14.8.c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CZĘŚCIOWE — 2–3 z 10 modeli; BRAK danych dostępnościowych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Integracja danych o dostępności transportowej i cyfrowej oraz rozproszeniu ludności; katalog 10 modeli z kryteriami przypisania; macierz wynikowa 12 kolumn; ścieżka etapowa (pilotaż → sieć → centrum) dla regionów o niestabilnym wyniku.</w:t>
      </w:r>
    </w:p>
    <w:p>
      <w:pPr>
        <w:spacing w:after="120" w:before="0"/>
      </w:pPr>
      <w:r>
        <w:rPr>
          <w:i/>
          <w:iCs/>
          <w:color w:val="595959"/>
          <w:sz w:val="22"/>
          <w:szCs w:val="22"/>
        </w:rPr>
        <w:t xml:space="preserve">[DO OPRACOWANIA] źródła danych dostępności i ocena wykonalności integracji (powiązane z D.6).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Dane dostępności zintegrowane albo udokumentowana decyzja o zakresie zastępczym.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Rekomendacja modelu z kompletem: odbiorcy, usługi, partnerzy, instrumenty, KPI, ryzyka, wariant alternatywny.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negatywny: region o niestabilnym wyniku nie otrzymuje rozbudowanego centrum stacjonarnego bez ścieżki etapowej.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14.1, 14.2, 14.4, 14.6.</w:t>
      </w:r>
    </w:p>
    <w:p>
      <w:pPr>
        <w:pStyle w:val="Heading3"/>
        <w:spacing w:after="100" w:before="200"/>
      </w:pPr>
      <w:r>
        <w:t xml:space="preserve">PRODUKT 14.9 — Katalog rekomendacji dla województw i JST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Wymagania źródłowe: </w:t>
      </w:r>
      <w:r>
        <w:rPr>
          <w:sz w:val="22"/>
          <w:szCs w:val="22"/>
        </w:rPr>
        <w:t xml:space="preserve">14.9 (macierz traceability, ark. MACIERZ)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Status pokrycia w v2.0: </w:t>
      </w:r>
      <w:r>
        <w:rPr>
          <w:sz w:val="22"/>
          <w:szCs w:val="22"/>
        </w:rPr>
        <w:t xml:space="preserve">BRAK — v2.0 nie różnicuje adresatów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Zakres implementacji: </w:t>
      </w:r>
      <w:r>
        <w:rPr>
          <w:sz w:val="22"/>
          <w:szCs w:val="22"/>
        </w:rPr>
        <w:t xml:space="preserve"/>
      </w:r>
    </w:p>
    <w:p>
      <w:pPr>
        <w:spacing w:after="80" w:before="0"/>
      </w:pPr>
      <w:r>
        <w:rPr>
          <w:sz w:val="22"/>
          <w:szCs w:val="22"/>
        </w:rPr>
        <w:t xml:space="preserve">Model danych 14 kolumn; generator siedmiu odrębnych pakietów adresatów (władze wojewódzkie, instytucje pośredniczące, JST, uczelnie, IOB, MŚP, administracja centralna) z jednego rejestru; spięcie z lineage.</w:t>
      </w:r>
    </w:p>
    <w:p>
      <w:pPr>
        <w:spacing w:after="100"/>
      </w:pPr>
      <w:r>
        <w:rPr>
          <w:b/>
          <w:bCs/>
          <w:color w:val="203864"/>
          <w:sz w:val="22"/>
          <w:szCs w:val="22"/>
        </w:rPr>
        <w:t xml:space="preserve">Kryteria akceptacji (DoD):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14/14 kolumn; każda rekomendacja z odpowiedzialnym podmiotem, źródłem finansowania i terminem.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 pakietów generowanych automatycznie; zawartość pakietu adekwatna do kompetencji adresata.</w:t>
      </w:r>
    </w:p>
    <w:p>
      <w:pPr>
        <w:spacing w:after="200"/>
      </w:pPr>
      <w:r>
        <w:rPr>
          <w:b/>
          <w:bCs/>
          <w:color w:val="203864"/>
          <w:sz w:val="22"/>
          <w:szCs w:val="22"/>
        </w:rPr>
        <w:t xml:space="preserve">Zależności i decyzje: </w:t>
      </w:r>
      <w:r>
        <w:rPr>
          <w:sz w:val="22"/>
          <w:szCs w:val="22"/>
        </w:rPr>
        <w:t xml:space="preserve">14.7, 14.8; zasada Z.5.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8. Walidacja systemowa</w:t>
      </w:r>
    </w:p>
    <w:p>
      <w:pPr>
        <w:pStyle w:val="Heading2"/>
        <w:spacing w:after="120" w:before="240"/>
      </w:pPr>
      <w:r>
        <w:t xml:space="preserve">W.1 — Walidacja danych</w:t>
      </w:r>
    </w:p>
    <w:p>
      <w:pPr>
        <w:spacing w:after="120" w:before="0"/>
      </w:pPr>
      <w:r>
        <w:rPr>
          <w:sz w:val="22"/>
          <w:szCs w:val="22"/>
        </w:rPr>
        <w:t xml:space="preserve">Cykliczne raporty sześciu zakresów (kompletność, aktualność, spójność, imputacja, niezgodności czasowe i przestrzenne), publikowane w panelu Jakość danych.</w:t>
      </w:r>
    </w:p>
    <w:p>
      <w:pPr>
        <w:pStyle w:val="Heading2"/>
        <w:spacing w:after="120" w:before="240"/>
      </w:pPr>
      <w:r>
        <w:t xml:space="preserve">W.2 — Walidacja indeksów</w:t>
      </w:r>
    </w:p>
    <w:p>
      <w:pPr>
        <w:spacing w:after="120" w:before="0"/>
      </w:pPr>
      <w:r>
        <w:rPr>
          <w:sz w:val="22"/>
          <w:szCs w:val="22"/>
        </w:rPr>
        <w:t xml:space="preserve">Dziesięć testów prowadzonych jako wspólny program z produktem 14.2 (korelacje, VIF, wagi, stabilność rankingu, normalizacje, obserwacje skrajne, dominanty, baza, średnia wieloletnia); raport metodologiczny publiczny.</w:t>
      </w:r>
    </w:p>
    <w:p>
      <w:pPr>
        <w:pStyle w:val="Heading2"/>
        <w:spacing w:after="120" w:before="240"/>
      </w:pPr>
      <w:r>
        <w:t xml:space="preserve">W.3 — Walidacja rekomendacji</w:t>
      </w:r>
    </w:p>
    <w:p>
      <w:pPr>
        <w:spacing w:after="120" w:before="0"/>
      </w:pPr>
      <w:r>
        <w:rPr>
          <w:sz w:val="22"/>
          <w:szCs w:val="22"/>
        </w:rPr>
        <w:t xml:space="preserve">Checklist dziesięciu kryteriów (wykonalność, zgodność prawna i unijna, koszt, ryzyko, sprawiedliwość terytorialna, wpływ na MŚP, wdrażalność, trwałość, zależność od dominant) wbudowany w workflow — rekomendacja nie uzyskuje statusu zatwierdzonej bez kompletu.</w:t>
      </w:r>
    </w:p>
    <w:p>
      <w:pPr>
        <w:pStyle w:val="Heading2"/>
        <w:spacing w:after="120" w:before="240"/>
      </w:pPr>
      <w:r>
        <w:t xml:space="preserve">W.4 — Test sprawiedliwości</w:t>
      </w:r>
    </w:p>
    <w:p>
      <w:pPr>
        <w:spacing w:after="120" w:before="0"/>
      </w:pPr>
      <w:r>
        <w:rPr>
          <w:sz w:val="22"/>
          <w:szCs w:val="22"/>
        </w:rPr>
        <w:t xml:space="preserve">Okresowy audyt dziewięciu kontroli systemowych (m.in. brak preferencji dla największych regionów, brak marginalizacji MŚP, brak kary za brak danych, brak premii za niską bazę, brak utrwalania koncentracji); wyniki omawia Rada metodologiczna.</w:t>
      </w:r>
    </w:p>
    <w:p>
      <w:pPr>
        <w:pStyle w:val="Heading2"/>
        <w:spacing w:after="120" w:before="240"/>
      </w:pPr>
      <w:r>
        <w:t xml:space="preserve">W.5 — Analityczny bezpiecznik</w:t>
      </w:r>
    </w:p>
    <w:p>
      <w:pPr>
        <w:spacing w:after="120" w:before="0"/>
      </w:pPr>
      <w:r>
        <w:rPr>
          <w:sz w:val="22"/>
          <w:szCs w:val="22"/>
        </w:rPr>
        <w:t xml:space="preserve">Równoległa prezentacja dziesięciu wielkości (zmiana procentowa i bezwzględna, wartości początkowa i końcowa, liczby projektów i beneficjentów, udziały dominant, wynik po wyłączeniu, trwałość) oraz flaga „wysoka dynamika – ograniczona trwałość systemowa” z blokadą egzekwowaną przez bramkę deterministyczną.</w:t>
      </w:r>
    </w:p>
    <w:p>
      <w:pPr>
        <w:pStyle w:val="Heading2"/>
        <w:spacing w:after="120" w:before="240"/>
      </w:pPr>
      <w:r>
        <w:t xml:space="preserve">W.6 — Walidacja ekspercka (bramka go-live)</w:t>
      </w:r>
    </w:p>
    <w:p>
      <w:pPr>
        <w:spacing w:after="120" w:before="0"/>
      </w:pPr>
      <w:r>
        <w:rPr>
          <w:sz w:val="22"/>
          <w:szCs w:val="22"/>
        </w:rPr>
        <w:t xml:space="preserve">Ocena z udziałem siedmiu grup (polityka publiczna, fundusze UE, regionaliści, instytucje wdrażające, prawnicy, MŚP, samorządy) z kryteriami dopuszczenia; system nie wchodzi do użycia operacyjnego bez pozytywnego wyniku.</w:t>
      </w:r>
    </w:p>
    <w:p>
      <w:pPr>
        <w:pStyle w:val="Heading1"/>
        <w:spacing w:after="160" w:before="300"/>
      </w:pPr>
      <w:r>
        <w:t xml:space="preserve">9. Rejestr decyzji otwartych</w:t>
      </w:r>
    </w:p>
    <w:p>
      <w:pPr>
        <w:spacing w:after="120" w:before="0"/>
      </w:pPr>
      <w:r>
        <w:rPr>
          <w:sz w:val="22"/>
          <w:szCs w:val="22"/>
        </w:rPr>
        <w:t xml:space="preserve">Rozstrzygnięcia wymagane przed wypełnieniem sekcji implementacyjnych (pełny kontekst: arkusz REJESTR_DECYZJI w macierzy):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600"/>
        <w:gridCol w:w="1626"/>
      </w:tblGrid>
      <w:tr>
        <w:tc>
          <w:tcPr>
            <w:tcW w:type="dxa" w:w="700"/>
            <w:shd w:fill="20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shd w:fill="20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Decyzja</w:t>
            </w:r>
          </w:p>
        </w:tc>
        <w:tc>
          <w:tcPr>
            <w:tcW w:type="dxa" w:w="3600"/>
            <w:shd w:fill="20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Rekomendacja wstępna</w:t>
            </w:r>
          </w:p>
        </w:tc>
        <w:tc>
          <w:tcPr>
            <w:tcW w:type="dxa" w:w="1626"/>
            <w:shd w:fill="20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Właściciel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Wariant kanoniczny projektów wieloregionalnych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Rozdzielony jako kanoniczny; centralny odrębnie; bezpośredni kontrolnie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 + Rada metod.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Metoda wag empirycznych indeksu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PCA jako wariant bazowy + test stabilności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Metodolog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Właściciel i procedura progów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Rada metodologiczna; rewizja roczna i po zmianie bazy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Źródło zasilania i kadencja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Kadencja kwartalna + korekty wsteczne z wersjonowaniem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 + Architekt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stacku Google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Wariant referencyjny + obowiązkowa warstwa eksportu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 + Prawnik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Zakres bazy powiat/gmina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Faza 2; pilotaż 2–3 województw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Repozytorium decyzji eksperckich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Rejestr bazodanowy + eksport do EZD; arkusz jako front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 + Architekt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Kwalifikacja AI Act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Opinia przed zamrożeniem architektury; projektować „jak high-risk”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Prawnik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D.9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 publikacji profili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Konsultacje 14 dni + embargo + tryb sprostowań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D.10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Nazewnictwo marki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Zapis publiczny odrębny od identyfikatora technicznego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D.11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Ścieżka platformy modułów 11/14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Rozstrzyga test obciążeniowy: zielony = rozbudowa GAS, żółty = hybryda z sejfem BigQuery, czerwony = replatforming (sekcja 5.4)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 + Architekt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D.12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danych symulowanych w aplikacji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Zastąpić prawdziwymi, gdzie istnieją; reszta za przełącznikiem DEMO; czyszczenie bazy przed zasileniem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Zamawiający + Metodolog</w:t>
            </w:r>
          </w:p>
        </w:tc>
      </w:tr>
    </w:tbl>
    <w:p>
      <w:pPr>
        <w:pStyle w:val="Heading1"/>
        <w:spacing w:after="160" w:before="300"/>
      </w:pPr>
      <w:r>
        <w:t xml:space="preserve">10. Plan dojścia (fazy uzupełniania szkieletu)</w:t>
      </w:r>
    </w:p>
    <w:p>
      <w:pPr>
        <w:pStyle w:val="Heading2"/>
        <w:spacing w:after="120" w:before="240"/>
      </w:pPr>
      <w:r>
        <w:t xml:space="preserve">Faza A — rdzeń i zgodność (wszystkie P0)</w:t>
      </w:r>
    </w:p>
    <w:p>
      <w:pPr>
        <w:spacing w:after="120" w:before="0"/>
      </w:pPr>
      <w:r>
        <w:rPr>
          <w:sz w:val="22"/>
          <w:szCs w:val="22"/>
        </w:rPr>
        <w:t xml:space="preserve">Pakiet zadań 4/8; katalog KPI; procedura progów; program metodologiczny indeksu (14.2); bramka deterministyczna i schemat JSON v2; wersjonowanie i niepewność; drzewa decyzyjne i katalog instrumentów; opinie PZP / AI Act / DPIA; decyzje D.1–D.5, D.7–D.8 oraz D.11–D.12 (test obciążeniowy + separacja danych symulowanych). Kryterium wyjścia: zero P0 o statusie BRAK lub SPRZECZNE w macierzy.</w:t>
      </w:r>
    </w:p>
    <w:p>
      <w:pPr>
        <w:pStyle w:val="Heading2"/>
        <w:spacing w:after="120" w:before="240"/>
      </w:pPr>
      <w:r>
        <w:t xml:space="preserve">Faza B — z raportu robi się system (P1)</w:t>
      </w:r>
    </w:p>
    <w:p>
      <w:pPr>
        <w:spacing w:after="120" w:before="0"/>
      </w:pPr>
      <w:r>
        <w:rPr>
          <w:sz w:val="22"/>
          <w:szCs w:val="22"/>
        </w:rPr>
        <w:t xml:space="preserve">Benchmarki 11.4, 11.5 i 14.5; typologia 14.4; komplet paneli dashboardu; mapy 14.6; katalogi rekomendacji 11.9 i 14.9 z adresatami; pipeline zasilania; walidacja ekspercka (W.6) jako bramka go-live.</w:t>
      </w:r>
    </w:p>
    <w:p>
      <w:pPr>
        <w:pStyle w:val="Heading2"/>
        <w:spacing w:after="120" w:before="240"/>
      </w:pPr>
      <w:r>
        <w:t xml:space="preserve">Faza C — operacjonalizacja i wizerunek (P2)</w:t>
      </w:r>
    </w:p>
    <w:p>
      <w:pPr>
        <w:spacing w:after="120" w:before="0"/>
      </w:pPr>
      <w:r>
        <w:rPr>
          <w:sz w:val="22"/>
          <w:szCs w:val="22"/>
        </w:rPr>
        <w:t xml:space="preserve">Baza powiat/gmina (pilotaż wg D.6); proces komunikacji z regionami (D.9); porządek nazewniczy (D.10); model TCO w trybie ciągłym.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2026-07-26T15:19:44.717Z</dcterms:created>
  <dcterms:modified xsi:type="dcterms:W3CDTF">2026-07-26T15:19:44.717Z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