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03864"/>
          <w:sz w:val="40"/>
          <w:szCs w:val="40"/>
        </w:rPr>
        <w:t xml:space="preserve">KSIĘGA PROJEKTU GREENSTRAT</w:t>
      </w:r>
    </w:p>
    <w:p>
      <w:pPr>
        <w:spacing w:after="150"/>
      </w:pPr>
      <w:r>
        <w:rPr>
          <w:sz w:val="25"/>
          <w:szCs w:val="25"/>
        </w:rPr>
        <w:t xml:space="preserve">System monitorowania i wspomagania decyzji polityki ekoinnowacyjnej — dokument nadrzędny</w:t>
      </w:r>
    </w:p>
    <w:p>
      <w:pPr>
        <w:spacing w:after="90"/>
      </w:pPr>
      <w:r>
        <w:rPr>
          <w:b/>
          <w:bCs/>
          <w:color w:val="203864"/>
          <w:sz w:val="22"/>
          <w:szCs w:val="22"/>
        </w:rPr>
        <w:t xml:space="preserve">Wersja / data: </w:t>
      </w:r>
      <w:r>
        <w:rPr>
          <w:sz w:val="22"/>
          <w:szCs w:val="22"/>
        </w:rPr>
        <w:t xml:space="preserve">1.1 / 26.07.2026 (dodano Aneks A — architektura, baza danych i progi przesiadki)</w:t>
      </w:r>
    </w:p>
    <w:p>
      <w:pPr>
        <w:spacing w:after="90"/>
      </w:pPr>
      <w:r>
        <w:rPr>
          <w:b/>
          <w:bCs/>
          <w:color w:val="203864"/>
          <w:sz w:val="22"/>
          <w:szCs w:val="22"/>
        </w:rPr>
        <w:t xml:space="preserve">Właściciele księgi: </w:t>
      </w:r>
      <w:r>
        <w:rPr>
          <w:sz w:val="22"/>
          <w:szCs w:val="22"/>
        </w:rPr>
        <w:t xml:space="preserve">[Właściciel projektu] oraz Krzysztof [nazwisko]</w:t>
      </w:r>
    </w:p>
    <w:p>
      <w:pPr>
        <w:spacing w:after="90"/>
      </w:pPr>
      <w:r>
        <w:rPr>
          <w:b/>
          <w:bCs/>
          <w:color w:val="203864"/>
          <w:sz w:val="22"/>
          <w:szCs w:val="22"/>
        </w:rPr>
        <w:t xml:space="preserve">Charakter dokumentu: </w:t>
      </w:r>
      <w:r>
        <w:rPr>
          <w:sz w:val="22"/>
          <w:szCs w:val="22"/>
        </w:rPr>
        <w:t xml:space="preserve">Księga spina wszystkie materiały projektu i zawiera to, czego nie ma nigdzie indziej: słownik, historię ustaleń, decyzje, role i rytm pracy. Nie powiela załączników — wskazuje je (zasada eliminowania powtórzeń obowiązuje także nas).</w:t>
      </w:r>
    </w:p>
    <w:p>
      <w:pPr>
        <w:spacing w:after="90"/>
      </w:pPr>
      <w:r>
        <w:rPr>
          <w:b/>
          <w:bCs/>
          <w:color w:val="203864"/>
          <w:sz w:val="22"/>
          <w:szCs w:val="22"/>
        </w:rPr>
        <w:t xml:space="preserve">Aktualizacja: </w:t>
      </w:r>
      <w:r>
        <w:rPr>
          <w:sz w:val="22"/>
          <w:szCs w:val="22"/>
        </w:rPr>
        <w:t xml:space="preserve">po każdym kamieniu milowym: rozstrzygnięcie decyzji D.*, ukończenie zadania Z-*, wynik testu, opinia prawna</w:t>
      </w:r>
    </w:p>
    <w:p>
      <w:pPr>
        <w:pStyle w:val="Heading1"/>
        <w:spacing w:after="150" w:before="280"/>
      </w:pPr>
      <w:r>
        <w:t xml:space="preserve">1. Projekt w pigułce</w:t>
      </w:r>
    </w:p>
    <w:p>
      <w:pPr>
        <w:pStyle w:val="Heading2"/>
        <w:spacing w:after="100" w:before="210"/>
      </w:pPr>
      <w:r>
        <w:t xml:space="preserve">1.1. Wersja formalna</w:t>
      </w:r>
    </w:p>
    <w:p>
      <w:pPr>
        <w:spacing w:after="110"/>
      </w:pPr>
      <w:r>
        <w:rPr>
          <w:sz w:val="22"/>
          <w:szCs w:val="22"/>
        </w:rPr>
        <w:t xml:space="preserve">Budujemy system, który na bazie 31 301 projektów Funduszy Europejskich 2021–2027 mierzy wsparcie ekoinnowacji (zadania 4 i 8 — gotowe wskaźniki), a docelowo monitoruje system krajowy i regionalny oraz wspiera decyzje administracji (zadania 11 i 14 — do zbudowania). Aplikacja działa na Google Apps Script + Google Sheets; rozbudowę wykonują agenci AI w środowisku Google Antigravity według przygotowanego pakietu sterującego. Każda decyzja zarządcza wymaga zatwierdzenia przez człowieka.</w:t>
      </w:r>
    </w:p>
    <w:p>
      <w:pPr>
        <w:pStyle w:val="Heading2"/>
        <w:spacing w:after="100" w:before="210"/>
      </w:pPr>
      <w:r>
        <w:t xml:space="preserve">1.2. Wersja dla sześciolatka (do użycia, gdy trzeba wyjaśnić projekt komukolwiek w 60 sekund)</w:t>
      </w:r>
    </w:p>
    <w:p>
      <w:pPr>
        <w:spacing w:after="110"/>
      </w:pPr>
      <w:r>
        <w:rPr>
          <w:i/>
          <w:iCs/>
          <w:sz w:val="22"/>
          <w:szCs w:val="22"/>
        </w:rPr>
        <w:t xml:space="preserve">Mądrzy ludzie w państwie rozdają pieniądze na wynalazki, które pomagają przyrodzie. Budujemy maszynę, która liczy, komu te pieniądze naprawdę pomogły. Zajrzeliśmy do środka maszyny: liczydło działa świetnie, ale kilka okienek pokazywało zmyślone obrazki — jak tekturowy tort na wystawie cukierni: ładny, ale nie do zjedzenia. Spisaliśmy, co jest prawdziwe, a co tekturowe. Dalej budować będą roboty. Roboty są szybkie, ale gdy czegoś nie wiedzą, lubią zmyślać — dlatego dostały od nas regulamin, listę zadań po kolei i klucz odpowiedzi, żeby po każdym klocku sprawdzać, czy dobrze zbudowały. Roboty tylko budują — kiedy skończą, odchodzą, a maszyna działa sama. A ta księga to mapa całej budowy dla ludzi.</w:t>
      </w:r>
    </w:p>
    <w:p>
      <w:pPr>
        <w:pStyle w:val="Heading1"/>
        <w:spacing w:after="150" w:before="280"/>
      </w:pPr>
      <w:r>
        <w:t xml:space="preserve">2. Słownik projektu (obowiązkowy — mamy jedenaście podobnych akronimów)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276"/>
      </w:tblGrid>
      <w:tr>
        <w:tc>
          <w:tcPr>
            <w:tcW w:type="dxa" w:w="1750"/>
            <w:shd w:fill="20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Pojęcie</w:t>
            </w:r>
          </w:p>
        </w:tc>
        <w:tc>
          <w:tcPr>
            <w:tcW w:type="dxa" w:w="7276"/>
            <w:shd w:fill="20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Znaczenie</w:t>
            </w:r>
          </w:p>
        </w:tc>
      </w:tr>
      <w:tr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EIFII</w:t>
            </w:r>
          </w:p>
        </w:tc>
        <w:tc>
          <w:tcPr>
            <w:tcW w:type="dxa" w:w="7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Intensywność finansowania ekoinnowacji: jaki % pieniędzy środowiskowych idzie na ekoinnowacje (zad. 4)</w:t>
            </w:r>
          </w:p>
        </w:tc>
      </w:tr>
      <w:tr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ISBI</w:t>
            </w:r>
          </w:p>
        </w:tc>
        <w:tc>
          <w:tcPr>
            <w:tcW w:type="dxa" w:w="7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Zbalansowanie budżetu między 5 etapów rozwoju technologii, 0–100 (zad. 4)</w:t>
            </w:r>
          </w:p>
        </w:tc>
      </w:tr>
      <w:tr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CRI</w:t>
            </w:r>
          </w:p>
        </w:tc>
        <w:tc>
          <w:tcPr>
            <w:tcW w:type="dxa" w:w="7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Gotowość komercjalizacyjna: ile projektów kończy się wdrożeniem/komercjalizacją, wersja ważona (zad. 4)</w:t>
            </w:r>
          </w:p>
        </w:tc>
      </w:tr>
      <w:tr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EIRSI</w:t>
            </w:r>
          </w:p>
        </w:tc>
        <w:tc>
          <w:tcPr>
            <w:tcW w:type="dxa" w:w="7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Specjalizacja regionalna (Location Quotient): województwo vs średnia kraju (zad. 4)</w:t>
            </w:r>
          </w:p>
        </w:tc>
      </w:tr>
      <w:tr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EIPI / TTEI / GICI / TRLI</w:t>
            </w:r>
          </w:p>
        </w:tc>
        <w:tc>
          <w:tcPr>
            <w:tcW w:type="dxa" w:w="7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Cztery indeksy oceny programów: wsparcie ekoinnowacji / transfer technologii / komercjalizacja / przyrost TRL (zad. 8)</w:t>
            </w:r>
          </w:p>
        </w:tc>
      </w:tr>
      <w:tr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EISEI</w:t>
            </w:r>
          </w:p>
        </w:tc>
        <w:tc>
          <w:tcPr>
            <w:tcW w:type="dxa" w:w="7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Indeks główny oceny programu 0–100, składa 6 komponentów (zad. 8). UWAGA: w części dokumentów występuje błędny zapis „EIESI” — to ten sam wskaźnik</w:t>
            </w:r>
          </w:p>
        </w:tc>
      </w:tr>
      <w:tr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EISPI</w:t>
            </w:r>
          </w:p>
        </w:tc>
        <w:tc>
          <w:tcPr>
            <w:tcW w:type="dxa" w:w="7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Indeks systemowy z zad. 11 — obecnie ATRAPA (wzór arbitralny), do wymiany</w:t>
            </w:r>
          </w:p>
        </w:tc>
      </w:tr>
      <w:tr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EIRRI</w:t>
            </w:r>
          </w:p>
        </w:tc>
        <w:tc>
          <w:tcPr>
            <w:tcW w:type="dxa" w:w="7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Regionalny Indeks Gotowości z zad. 14 — obecnie ATRAPA (6 „filarów” z jednej liczby), do wymiany</w:t>
            </w:r>
          </w:p>
        </w:tc>
      </w:tr>
      <w:tr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TRL</w:t>
            </w:r>
          </w:p>
        </w:tc>
        <w:tc>
          <w:tcPr>
            <w:tcW w:type="dxa" w:w="7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Poziom gotowości technologicznej 1–9</w:t>
            </w:r>
          </w:p>
        </w:tc>
      </w:tr>
      <w:tr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Atrapa</w:t>
            </w:r>
          </w:p>
        </w:tc>
        <w:tc>
          <w:tcPr>
            <w:tcW w:type="dxa" w:w="7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Element aplikacji, który wygląda na działający, ale pokazuje dane zmyślone/wpisane na sztywno</w:t>
            </w:r>
          </w:p>
        </w:tc>
      </w:tr>
      <w:tr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Wyrocznia</w:t>
            </w:r>
          </w:p>
        </w:tc>
        <w:tc>
          <w:tcPr>
            <w:tcW w:type="dxa" w:w="7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Plik z wartościami wyliczonymi niezależnie od kodu; kod musi się z nimi zgadzać (test/fixtures_kontrolne.json)</w:t>
            </w:r>
          </w:p>
        </w:tc>
      </w:tr>
      <w:tr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HITL</w:t>
            </w:r>
          </w:p>
        </w:tc>
        <w:tc>
          <w:tcPr>
            <w:tcW w:type="dxa" w:w="7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Human-in-the-loop: żadna decyzja nie jest ostateczna bez człowieka</w:t>
            </w:r>
          </w:p>
        </w:tc>
      </w:tr>
      <w:tr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Lineage</w:t>
            </w:r>
          </w:p>
        </w:tc>
        <w:tc>
          <w:tcPr>
            <w:tcW w:type="dxa" w:w="7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Ślad pochodzenia wyniku: od danych źródłowych do decyzji eksperta</w:t>
            </w:r>
          </w:p>
        </w:tc>
      </w:tr>
      <w:tr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Efekt niskiej bazy</w:t>
            </w:r>
          </w:p>
        </w:tc>
        <w:tc>
          <w:tcPr>
            <w:tcW w:type="dxa" w:w="7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Mały region/program wygląda na lidera przez 1–2 przypadkowe projekty; system musi to flagować</w:t>
            </w:r>
          </w:p>
        </w:tc>
      </w:tr>
      <w:tr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TRYB DEMO</w:t>
            </w:r>
          </w:p>
        </w:tc>
        <w:tc>
          <w:tcPr>
            <w:tcW w:type="dxa" w:w="7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Przełącznik oddzielający dane pokazowe od badawczych (decyzja D.12)</w:t>
            </w:r>
          </w:p>
        </w:tc>
      </w:tr>
      <w:tr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Agent / misja / artefakt</w:t>
            </w:r>
          </w:p>
        </w:tc>
        <w:tc>
          <w:tcPr>
            <w:tcW w:type="dxa" w:w="7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Robot budujący w Antigravity / jedno zadanie zlecone agentowi / dokument, który agent oddaje do przeglądu (Plan, Walkthrough)</w:t>
            </w:r>
          </w:p>
        </w:tc>
      </w:tr>
      <w:tr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Fabryka vs Produkt</w:t>
            </w:r>
          </w:p>
        </w:tc>
        <w:tc>
          <w:tcPr>
            <w:tcW w:type="dxa" w:w="7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Fabryka = workspace Antigravity (tu się buduje); Produkt = aplikacja na Google (tu się działa). Fabryka nie uczestniczy w działaniu produktu</w:t>
            </w:r>
          </w:p>
        </w:tc>
      </w:tr>
      <w:tr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clasp / GAS</w:t>
            </w:r>
          </w:p>
        </w:tc>
        <w:tc>
          <w:tcPr>
            <w:tcW w:type="dxa" w:w="7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Narzędzie synchronizacji kodu z Google Apps Script / sama platforma Apps Script</w:t>
            </w:r>
          </w:p>
        </w:tc>
      </w:tr>
    </w:tbl>
    <w:p>
      <w:r>
        <w:br w:type="page"/>
      </w:r>
    </w:p>
    <w:p>
      <w:pPr>
        <w:pStyle w:val="Heading1"/>
        <w:spacing w:after="150" w:before="280"/>
      </w:pPr>
      <w:r>
        <w:t xml:space="preserve">3. Stan faktyczny (po audycie kodu, 26.07.2026)</w:t>
      </w:r>
    </w:p>
    <w:p>
      <w:pPr>
        <w:spacing w:after="110"/>
      </w:pPr>
      <w:r>
        <w:rPr>
          <w:sz w:val="22"/>
          <w:szCs w:val="22"/>
        </w:rPr>
        <w:t xml:space="preserve">Architektura rzeczywista: aplikacja webowa Google Apps Script (Code.gs, ~1 400 linii) + interfejs jednoplikowy (index.html, ~8 500 linii) + Google Sheets jako baza + Gemini API. Specyfikacja v2.0 opisywała inny stack (BigQuery/Vertex/Looker) — została odrzucona jako podstawa prac.</w:t>
      </w:r>
    </w:p>
    <w:p>
      <w:pPr>
        <w:pStyle w:val="Heading2"/>
        <w:spacing w:after="100" w:before="210"/>
      </w:pPr>
      <w:r>
        <w:t xml:space="preserve">3.1. Co działa naprawdę (fundament)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Silnik statystyczny klasy publikacyjnej: statystyki opisowe z poprawkami małych prób, alfa Cronbacha, omega McDonalda, PCA, regresja OLS, testy Welcha — udokumentowany raportem walidacji naukowej.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Wskaźniki zadań 4 i 8 wdrożone wiernie względem dokumentu wskaźników, z obsługą braków przez przeskalowanie wag.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Import XLSX/CSV z bramką spójności, eksport do formatu SPSS/R/JASP, dziennik operacji, chatbot naukowy.</w:t>
      </w:r>
    </w:p>
    <w:p>
      <w:pPr>
        <w:pStyle w:val="Heading2"/>
        <w:spacing w:after="100" w:before="210"/>
      </w:pPr>
      <w:r>
        <w:t xml:space="preserve">3.2. Co jest tekturowe (do wymiany w Fazie B)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Moduły zadań 11 i 14 istnieją wizualnie, ale liczą na danych zmyślonych: rok projektu losowany z identyfikatora, benchmark UE wpisany na sztywno, EIRRI z jednej zmiennej, rekomendacje z drzewka pięciu gotowych odpowiedzi.</w:t>
      </w:r>
    </w:p>
    <w:p>
      <w:pPr>
        <w:pStyle w:val="Heading2"/>
        <w:spacing w:after="100" w:before="210"/>
      </w:pPr>
      <w:r>
        <w:t xml:space="preserve">3.3. Trzy ryzyka pilne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L.16 — projekt BEZ ocen jest domyślnie klasyfikowany jako ekoinnowacja (zawyża wszystkie wskaźniki) → naprawa w zadaniu Z-2.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L.17 — dane zmyślone trafiają do eksportów opisanych jako naukowe → separacja w zadaniu Z-3 (decyzja D.12).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L.15 — te same formuły w dwóch kopiach (serwer i przeglądarka) bez testu zgodności → jedno źródło prawdy w zadaniu Z-1.</w:t>
      </w:r>
    </w:p>
    <w:p>
      <w:pPr>
        <w:pStyle w:val="Heading2"/>
        <w:spacing w:after="100" w:before="210"/>
      </w:pPr>
      <w:r>
        <w:t xml:space="preserve">3.4. Liczby audytu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20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Pokrycie wymagań przez spec v2.0 (69 klastrów)</w:t>
            </w:r>
          </w:p>
        </w:tc>
        <w:tc>
          <w:tcPr>
            <w:tcW w:type="dxa" w:w="4513"/>
            <w:shd w:fill="20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Stan istniejącej aplikacji (69 klastrów)</w:t>
            </w:r>
          </w:p>
        </w:tc>
      </w:tr>
      <w:tr>
        <w:tc>
          <w:tcPr>
            <w:tcW w:type="dxa" w:w="4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POKRYTE 4 (6%) · CZĘŚCIOWE 27 (39%) · BRAK 34 (49%) · SPRZECZNE 4 (6%) · pozycji P0: 40, z czego 24 BRAK/SPRZECZNE</w:t>
            </w:r>
          </w:p>
        </w:tc>
        <w:tc>
          <w:tcPr>
            <w:tcW w:type="dxa" w:w="4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JEST 2 · ZALĄŻEK 21 · ATRAPA 4 · BRAK 38 · WBREW 4</w:t>
            </w:r>
          </w:p>
        </w:tc>
      </w:tr>
    </w:tbl>
    <w:p>
      <w:pPr>
        <w:pStyle w:val="Heading1"/>
        <w:spacing w:after="150" w:before="280"/>
      </w:pPr>
      <w:r>
        <w:t xml:space="preserve">4. Historia ustaleń (pięć kamieni)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K1 — Krytyka specyfikacji v2.0: dokument okazał się notą koncepcyjną z trzema blokerami (prawo zamówień, AI Act/RODO, brak metodologii).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K2 — Konfrontacja z celami zadań 11 i 14: v2.0 pokrywa ~30–40% zamówionego zakresu i w 4 punktach jest z celami sprzeczna; powstała macierz traceability.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K3 — Audyt kodu: architektura realna to Apps Script, moduły 11/14 to atrapy, fundament analityczny mocny; macierz v1.1 z trzecim wymiarem.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K4 — Test obciążeniowy: przygotowany protokół + 7 plików danych z liczbami kontrolnymi; rozstrzygnie ścieżkę platformy (D.11).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K5 — Pakiet agentowy: konstytucja (AGENTS.md), backlog Z-0…Z-5, wyrocznia testowa i workflow weryfikacji dla Google Antigravity.</w:t>
      </w:r>
    </w:p>
    <w:p>
      <w:r>
        <w:br w:type="page"/>
      </w:r>
    </w:p>
    <w:p>
      <w:pPr>
        <w:pStyle w:val="Heading1"/>
        <w:spacing w:after="150" w:before="280"/>
      </w:pPr>
      <w:r>
        <w:t xml:space="preserve">5. Założenia konstytucyjne systemu (skrót zasad Z.0–Z.8)</w:t>
      </w:r>
    </w:p>
    <w:p>
      <w:pPr>
        <w:spacing w:after="110"/>
      </w:pPr>
      <w:r>
        <w:rPr>
          <w:sz w:val="22"/>
          <w:szCs w:val="22"/>
        </w:rPr>
        <w:t xml:space="preserve">Człowiek zatwierdza każdą decyzję (HITL). Wyniki zadań 4/8 są formalnym wejściem — formuł nie wymyślamy na nowo. Cztery warstwy z kontraktami: dane → analityka → deterministyczne reguły → warstwa generatywna (AI tylko opisuje). Pełny ślad pochodzenia każdego wyniku. Wersjonowanie: zmiana formuły/progów/wag = nowa wersja, wyniki stemplowane. Każdy wynik niesie miarę niepewności. Bezpiecznik niskiej bazy działa symetrycznie: chroni i przed pochopnym skalowaniem, i przed pochopnym cięciem. Zero danych wymyślonych — brak danych to brak danych, nie „sensowny default”.</w:t>
      </w:r>
    </w:p>
    <w:p>
      <w:pPr>
        <w:pStyle w:val="Heading1"/>
        <w:spacing w:after="150" w:before="280"/>
      </w:pPr>
      <w:r>
        <w:t xml:space="preserve">6. Rejestr decyzji właścicielskich (D.1–D.12)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3400"/>
        <w:gridCol w:w="1626"/>
      </w:tblGrid>
      <w:tr>
        <w:tc>
          <w:tcPr>
            <w:tcW w:type="dxa" w:w="700"/>
            <w:shd w:fill="20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300"/>
            <w:shd w:fill="20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Decyzja</w:t>
            </w:r>
          </w:p>
        </w:tc>
        <w:tc>
          <w:tcPr>
            <w:tcW w:type="dxa" w:w="3400"/>
            <w:shd w:fill="20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Rekomendacja wstępna</w:t>
            </w:r>
          </w:p>
        </w:tc>
        <w:tc>
          <w:tcPr>
            <w:tcW w:type="dxa" w:w="1626"/>
            <w:shd w:fill="20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D.1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Wariant kanoniczny projektów wieloregionalnych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Rozdzielony jako kanoniczny; centralny odrębnie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OTWARTA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D.2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Metoda wag empirycznych indeksu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PCA + test stabilności vs wagi równe i eksperckie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OTWARTA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D.3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Właściciel i procedura progów alarmowych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Rada metodologiczna; rewizja roczna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OTWARTA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D.4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Źródło zasilania i kadencja odświeżania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Kwartalnie + obsługa korekt wstecznych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OTWARTA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D.5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stacku (fakt: Apps Script, nie BigQuery)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Rozstrzyga test obciążeniowy → D.11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OTWARTA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D.6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Zakres bazy powiat/gmina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Faza 2; pilotaż 2–3 województw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OTWARTA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D.7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Repozytorium decyzji eksperckich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Rejestr bazodanowy; arkusz tylko jako interfejs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OTWARTA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D.8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Kwalifikacja AI Act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Opinia prawna; do czasu — projektować jak dla wysokiego ryzyka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OTWARTA — PILNE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D.9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 publikacji profili województw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Konsultacje 14 dni + embargo + tryb sprostowań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OTWARTA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D.10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Nazewnictwo marki (GREENSTRAT / EkoLokacje)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Zapis publiczny odrębny od technicznego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OTWARTA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D.11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Ścieżka platformy dla modułów 11/14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Rozstrzyga test obciążeniowy (zielony=rozbudowa, żółty=hybryda, czerwony=replatforming)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CZEKA NA TEST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D.12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danych zmyślonych w aplikacji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Zastąpić prawdziwymi gdzie się da; reszta za przełącznikiem DEMO; czyszczenie bazy przed zasileniem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CZEKA NA „ZATWIERDZAM”</w:t>
            </w:r>
          </w:p>
        </w:tc>
      </w:tr>
    </w:tbl>
    <w:p>
      <w:pPr>
        <w:pStyle w:val="Heading1"/>
        <w:spacing w:after="150" w:before="280"/>
      </w:pPr>
      <w:r>
        <w:t xml:space="preserve">7. Zadania</w:t>
      </w:r>
    </w:p>
    <w:p>
      <w:pPr>
        <w:pStyle w:val="Heading2"/>
        <w:spacing w:after="100" w:before="210"/>
      </w:pPr>
      <w:r>
        <w:t xml:space="preserve">7.1. Faza A — fundament (wykonują agenci, backlog w docs/BACKLOG_AGENTA.md)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Z-0 Szkielet testów i środowiska — „npm test” działa na 7 plikach testowych.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Z-1 Jedno źródło prawdy obliczeń — silnik wydzielony, liczby kontrolne zielone (naprawa L.15).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Z-2 Braki danych ≠ ekoinnowacja — koniec domyślnych ocen (naprawa L.16).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Z-3 Separacja trybu DEMO — zero fikcji w wynikach badawczych (realizacja D.12).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Z-4 Bramka walidacyjna 2.0 — duplikaty, inwersje TRL, słownik regionów; wynik = 130 odrzuceń z pliku negatywnego.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Z-5 Stemplowanie wyników — wersja silnika, znacznik czasu, odcisk zbioru danych.</w:t>
      </w:r>
    </w:p>
    <w:p>
      <w:pPr>
        <w:pStyle w:val="Heading2"/>
        <w:spacing w:after="100" w:before="210"/>
      </w:pPr>
      <w:r>
        <w:t xml:space="preserve">7.2. Faza B — moduły 11 i 14 naprawdę (po teście i decyzjach; zakres = macierz traceability)</w:t>
      </w:r>
    </w:p>
    <w:p>
      <w:pPr>
        <w:spacing w:after="110"/>
      </w:pPr>
      <w:r>
        <w:rPr>
          <w:sz w:val="22"/>
          <w:szCs w:val="22"/>
        </w:rPr>
        <w:t xml:space="preserve">Wymiana atrap: EIRRI z prawdziwych sześciu filarów z analizą wrażliwości, progi wyprowadzane z rozkładów, klasy benchmarkowe, katalog KPI z metadanymi, DSS z bramką deterministyczną i katalogiem rekomendacji, benchmarki międzynarodowe z realnych źródeł, dashboard z panelami jakości danych i efektu bazy.</w:t>
      </w:r>
    </w:p>
    <w:p>
      <w:pPr>
        <w:pStyle w:val="Heading2"/>
        <w:spacing w:after="100" w:before="210"/>
      </w:pPr>
      <w:r>
        <w:t xml:space="preserve">7.3. Faza C — operacjonalizacja</w:t>
      </w:r>
    </w:p>
    <w:p>
      <w:pPr>
        <w:spacing w:after="110"/>
      </w:pPr>
      <w:r>
        <w:rPr>
          <w:sz w:val="22"/>
          <w:szCs w:val="22"/>
        </w:rPr>
        <w:t xml:space="preserve">Poziom powiat/gmina (pilotaż), proces komunikacji z regionami, nazewnictwo, model kosztów.</w:t>
      </w:r>
    </w:p>
    <w:p>
      <w:pPr>
        <w:pStyle w:val="Heading1"/>
        <w:spacing w:after="150" w:before="280"/>
      </w:pPr>
      <w:r>
        <w:t xml:space="preserve">8. Zgodność prawna (obowiązki właścicielskie — poza zasięgiem agentów)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AI Act: system wspomagający decyzje o środkach publicznych = istotne ryzyko klasy wysokiego ryzyka; obowiązki dla tej kategorii wchodzą w życie 2.08.2026 — TYDZIEŃ od daty tej księgi. Zlecenie opinii kwalifikacyjnej to ruch nr 1.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RODO/DPIA: beneficjenci-JDG to dane osobowe przetwarzane w chmurze i podawane modelowi AI — wymagana ocena skutków przed zasileniem danych produkcyjnych.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PZP: opis przedmiotu zamówienia neutralny technologicznie z klauzulą równoważności; rozbudowa istniejącego systemu to inna sytuacja zamówieniowa niż budowa nowego.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Dostępność cyfrowa (WCAG 2.1 AA) dla publicznych interfejsów — w kryteriach odbioru dashboardu.</w:t>
      </w:r>
    </w:p>
    <w:p>
      <w:r>
        <w:br w:type="page"/>
      </w:r>
    </w:p>
    <w:p>
      <w:pPr>
        <w:pStyle w:val="Heading1"/>
        <w:spacing w:after="150" w:before="280"/>
      </w:pPr>
      <w:r>
        <w:t xml:space="preserve">9. Role i odpowiedzialności (do uzupełnienia imionami)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2626"/>
      </w:tblGrid>
      <w:tr>
        <w:tc>
          <w:tcPr>
            <w:tcW w:type="dxa" w:w="3800"/>
            <w:shd w:fill="20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Obszar</w:t>
            </w:r>
          </w:p>
        </w:tc>
        <w:tc>
          <w:tcPr>
            <w:tcW w:type="dxa" w:w="2600"/>
            <w:shd w:fill="20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Właściciel</w:t>
            </w:r>
          </w:p>
        </w:tc>
        <w:tc>
          <w:tcPr>
            <w:tcW w:type="dxa" w:w="2626"/>
            <w:shd w:fill="20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Uwagi</w:t>
            </w:r>
          </w:p>
        </w:tc>
      </w:tr>
      <w:t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Decyzje strategiczne i rejestr D.* / akcepty artefaktów agentów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[Właściciel projektu]</w:t>
            </w:r>
          </w:p>
        </w:tc>
        <w:tc>
          <w:tcPr>
            <w:tcW w:type="dxa" w:w="2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bramki: Plan → Walkthrough → wdrożenie</w:t>
            </w:r>
          </w:p>
        </w:tc>
      </w:tr>
      <w:t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Operator misji agentów (Antigravity, clasp, /weryfikacja)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[Właściciel / Krzysztof]</w:t>
            </w:r>
          </w:p>
        </w:tc>
        <w:tc>
          <w:tcPr>
            <w:tcW w:type="dxa" w:w="2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jedna misja = jedna rozmowa</w:t>
            </w:r>
          </w:p>
        </w:tc>
      </w:tr>
      <w:t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Metodologia wskaźników i walidacja (Faza B)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[do przypisania]</w:t>
            </w:r>
          </w:p>
        </w:tc>
        <w:tc>
          <w:tcPr>
            <w:tcW w:type="dxa" w:w="2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wagi, progi, wrażliwość</w:t>
            </w:r>
          </w:p>
        </w:tc>
      </w:tr>
      <w:t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Koordynacja zleceń prawnych (AI Act, DPIA, PZP)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[do przypisania]</w:t>
            </w:r>
          </w:p>
        </w:tc>
        <w:tc>
          <w:tcPr>
            <w:tcW w:type="dxa" w:w="2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briefy do przygotowania</w:t>
            </w:r>
          </w:p>
        </w:tc>
      </w:tr>
      <w:t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Dane zewnętrzne (GUS, Eurostat, RIS, środowiskowe)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[do przypisania]</w:t>
            </w:r>
          </w:p>
        </w:tc>
        <w:tc>
          <w:tcPr>
            <w:tcW w:type="dxa" w:w="2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Faza B</w:t>
            </w:r>
          </w:p>
        </w:tc>
      </w:tr>
      <w:t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Wykonanie testu obciążeniowego wg protokołu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[Właściciel / Krzysztof]</w:t>
            </w:r>
          </w:p>
        </w:tc>
        <w:tc>
          <w:tcPr>
            <w:tcW w:type="dxa" w:w="2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2–3 h, jeden dzień</w:t>
            </w:r>
          </w:p>
        </w:tc>
      </w:tr>
    </w:tbl>
    <w:p>
      <w:pPr>
        <w:pStyle w:val="Heading1"/>
        <w:spacing w:after="150" w:before="280"/>
      </w:pPr>
      <w:r>
        <w:t xml:space="preserve">10. Biblioteka materiałów projektu (indeks kompletny)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3326"/>
      </w:tblGrid>
      <w:tr>
        <w:tc>
          <w:tcPr>
            <w:tcW w:type="dxa" w:w="4200"/>
            <w:shd w:fill="20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Materiał</w:t>
            </w:r>
          </w:p>
        </w:tc>
        <w:tc>
          <w:tcPr>
            <w:tcW w:type="dxa" w:w="1500"/>
            <w:shd w:fill="20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Odbiorca</w:t>
            </w:r>
          </w:p>
        </w:tc>
        <w:tc>
          <w:tcPr>
            <w:tcW w:type="dxa" w:w="3326"/>
            <w:shd w:fill="20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Rola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KSIĘGA_PROJEKTU.docx (ten dokument)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ludzie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dokument nadrzędny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GREENSTRAT_macierz_traceability_v1_1.xlsx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ludzie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mapa 69 wymagań × spec v2.0 × stan aplikacji + luki + decyzje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macierz_traceability.csv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agenci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 sama mapa w formacie dla agenta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GREENSTRAT_spec_v3_szkielet.docx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ludzie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szkielet specyfikacji v3.0 z kryteriami akceptacji per produkt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GREENSTRAT_protokol_testu_obciazeniowego.docx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ludzie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scenariusz testu rozstrzygającego D.11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 × pliki testowe XLSX (proba_1000/5000, czesc_1–3, pelna_31301, walidacja_negatywna)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ludzie + agenci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dane testu i regresji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AGENTS.md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agenci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konstytucja: 10 zasad, granice platformy, zakazy z audytu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BACKLOG_AGENTA.md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agenci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zadania Z-0…Z-5 z kryteriami ukończenia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fixtures_kontrolne.json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agenci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wyrocznia: liczby kontrolne + manifest 130 błędów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workflow_weryfikacja.md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agenci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komenda /weryfikacja — pełna regresja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README_WORKSPACE.md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ludzie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montaż fabryki krok po kroku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Dokumenty źródłowe: Cele zadań 11 i 14, Plan badań, Wskaźniki autorskie 4/8, scientific_validation.md, spec v2.0 (archiwum)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ludzie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wymagania i dowody; v2.0 wyłącznie jako archiwum</w:t>
            </w:r>
          </w:p>
        </w:tc>
      </w:tr>
    </w:tbl>
    <w:p>
      <w:pPr>
        <w:pStyle w:val="Heading1"/>
        <w:spacing w:after="150" w:before="280"/>
      </w:pPr>
      <w:r>
        <w:t xml:space="preserve">11. Rytm pracy (dla obu właścicieli)</w:t>
      </w:r>
    </w:p>
    <w:p>
      <w:pPr>
        <w:spacing w:after="110"/>
      </w:pPr>
      <w:r>
        <w:rPr>
          <w:sz w:val="22"/>
          <w:szCs w:val="22"/>
        </w:rPr>
        <w:t xml:space="preserve">Fabryka buduje, produkt działa — spotykają się wyłącznie w momencie wdrożenia, zawsze na ludzką komendę. Cykl misji: zlecenie zadania → agent oddaje Plan → akcept → implementacja → Walkthrough z wynikiem testów → /weryfikacja → zgoda na wdrożenie → wpis do CHANGELOG → aktualizacja tej księgi przy kamieniu milowym. Trzy czerwone flagi w przeglądzie (bez czytania kodu): plan wykracza poza zadanie; agent chce zmienić wyrocznię lub pliki testowe; brak wklejonego wyniku testów.</w:t>
      </w:r>
    </w:p>
    <w:p>
      <w:pPr>
        <w:pStyle w:val="Heading1"/>
        <w:spacing w:after="150" w:before="280"/>
      </w:pPr>
      <w:r>
        <w:t xml:space="preserve">12. Najbliższe trzy ruchy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1. Zlecić opinie prawne (AI Act — termin 2.08! + DPIA + PZP) — najdłuższy czas realizacji, blokują decyzje architektoniczne.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2. Wykonać test obciążeniowy wg protokołu i odesłać kartę wyników → werdykt D.11.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3. Zmontować fabrykę wg README i uruchomić misję Z-0; równolegle zatwierdzić D.12 jednym słowem.</w:t>
      </w:r>
    </w:p>
    <w:p>
      <w:r>
        <w:br w:type="page"/>
      </w:r>
    </w:p>
    <w:p>
      <w:pPr>
        <w:pStyle w:val="Heading1"/>
        <w:spacing w:after="150" w:before="280"/>
      </w:pPr>
      <w:r>
        <w:t xml:space="preserve">Aneks A — Architektura, baza danych i ekosystem Google (progi przesiadki)</w:t>
      </w:r>
    </w:p>
    <w:p>
      <w:pPr>
        <w:spacing w:after="110"/>
      </w:pPr>
      <w:r>
        <w:rPr>
          <w:sz w:val="22"/>
          <w:szCs w:val="22"/>
        </w:rPr>
        <w:t xml:space="preserve">Teza „Sheets i Apps Script nie udźwigną zadań 11 i 14” pochodziła ze specyfikacji v2.0 i nigdy nie została zmierzona; dokument celów zadań jest technologicznie neutralny. Dlatego decyzję rozstrzygamy pomiarem, a pytanie nie brzmi „Sheets albo BigQuery”, lecz „która warstwa systemu gdzie mieszka”.</w:t>
      </w:r>
    </w:p>
    <w:p>
      <w:pPr>
        <w:pStyle w:val="Heading2"/>
        <w:spacing w:after="100" w:before="210"/>
      </w:pPr>
      <w:r>
        <w:t xml:space="preserve">A.1. Diagnoza skali</w:t>
      </w:r>
    </w:p>
    <w:p>
      <w:pPr>
        <w:spacing w:after="110"/>
      </w:pPr>
      <w:r>
        <w:rPr>
          <w:sz w:val="22"/>
          <w:szCs w:val="22"/>
        </w:rPr>
        <w:t xml:space="preserve">Zadania 11 i 14 są ciężkie metodologicznie, nie obliczeniowo. Pełna baza to ok. 0,66 mln komórek przy limicie 10 mln na arkusz; indeksy regionalne operują na macierzach 16 województw × dziesiątki zmiennych — silnik statystyczny aplikacji liczy takie rozmiary w milisekundach. Progi z rozkładów, klasy benchmarkowe i reguły DSS dla kilkudziesięciu programów to nie jest big data. Pomylenie ciężaru metodologicznego z obliczeniowym było błędem założycielskim v2.0.</w:t>
      </w:r>
    </w:p>
    <w:p>
      <w:pPr>
        <w:pStyle w:val="Heading2"/>
        <w:spacing w:after="100" w:before="210"/>
      </w:pPr>
      <w:r>
        <w:t xml:space="preserve">A.2. Pięć realnych wąskich gardeł platformy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Import: pojedynczy pakiet ~20 MB przy limicie 6 minut na wykonanie — dokładnie to mierzy test obciążeniowy (scenariusze T2/T3).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Historia: pełne kwartalne migawki surowych wierszy wyczerpałyby arkusz w ok. 3,5 roku. Rozwiązanie projektowe, nie platformowe: historię trzymamy na poziomie zagregowanych KPI (tysiące wierszy), surową bazę jako stan bieżący z korektami.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Rejestr decyzji administracji (HITL): arkusz jako urzędowy rejestr jest słaby prawnie i audytowo — argument za bazą danych niezależnie od wydajności (decyzja D.7).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Współbieżna praca wielu ekspertów w panelu zatwierdzeń — wykonalna w Sheets, ale szyta ręcznie.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Obowiązki rejestrowania zdarzeń i retencji z AI Act mogą wymagać porządnego magazynu logów.</w:t>
      </w:r>
    </w:p>
    <w:p>
      <w:pPr>
        <w:spacing w:after="110"/>
      </w:pPr>
      <w:r>
        <w:rPr>
          <w:i/>
          <w:iCs/>
          <w:color w:val="595959"/>
          <w:sz w:val="22"/>
          <w:szCs w:val="22"/>
        </w:rPr>
        <w:t xml:space="preserve">Na przekór v2.0: alerting, koronny argument za Lookerem, w Apps Script istnieje natywnie (wyzwalacze czasowe + powiadomienia) — a w Looker Studio progowego alertingu nie ma.</w:t>
      </w:r>
    </w:p>
    <w:p>
      <w:pPr>
        <w:pStyle w:val="Heading2"/>
        <w:spacing w:after="100" w:before="210"/>
      </w:pPr>
      <w:r>
        <w:t xml:space="preserve">A.3. Polisa przenośności (dlaczego Z-1 jest decyzją architektoniczną)</w:t>
      </w:r>
    </w:p>
    <w:p>
      <w:pPr>
        <w:spacing w:after="110"/>
      </w:pPr>
      <w:r>
        <w:rPr>
          <w:sz w:val="22"/>
          <w:szCs w:val="22"/>
        </w:rPr>
        <w:t xml:space="preserve">Po zadaniu Z-1 cała logika wskaźników żyje w silniku czystych funkcji JavaScript, a wyrocznia testowa podróżuje razem z nim. Silnik działa dziś w Apps Script i przeglądarce, jutro może działać w chmurze obliczeniowej albo zostać przełożony na SQL — a migracja jest DOWIEDZIONA, gdy te same liczby kontrolne przechodzą w nowym środowisku. Kupiliśmy prawo do zmiany zdania bez kary.</w:t>
      </w:r>
    </w:p>
    <w:p>
      <w:pPr>
        <w:pStyle w:val="Heading2"/>
        <w:spacing w:after="100" w:before="210"/>
      </w:pPr>
      <w:r>
        <w:t xml:space="preserve">A.4. Trzy ścieżki decyzji D.11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750"/>
        <w:gridCol w:w="5826"/>
      </w:tblGrid>
      <w:tr>
        <w:tc>
          <w:tcPr>
            <w:tcW w:type="dxa" w:w="1450"/>
            <w:shd w:fill="20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Wynik testu</w:t>
            </w:r>
          </w:p>
        </w:tc>
        <w:tc>
          <w:tcPr>
            <w:tcW w:type="dxa" w:w="1750"/>
            <w:shd w:fill="20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Ścieżka</w:t>
            </w:r>
          </w:p>
        </w:tc>
        <w:tc>
          <w:tcPr>
            <w:tcW w:type="dxa" w:w="5826"/>
            <w:shd w:fill="20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 to znaczy fizycznie</w:t>
            </w:r>
          </w:p>
        </w:tc>
      </w:tr>
      <w:tr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ZIELONY</w:t>
            </w:r>
          </w:p>
        </w:tc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(a) rozbudowa</w:t>
            </w:r>
          </w:p>
        </w:tc>
        <w:tc>
          <w:tcPr>
            <w:tcW w:type="dxa" w:w="58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Wszystko zostaje w Apps Script + Sheets; historia wyłącznie agregatowa; rejestr decyzji i tak wychodzi do bazy (D.7)</w:t>
            </w:r>
          </w:p>
        </w:tc>
      </w:tr>
      <w:tr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ŻÓŁTY</w:t>
            </w:r>
          </w:p>
        </w:tc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(c) hybryda</w:t>
            </w:r>
          </w:p>
        </w:tc>
        <w:tc>
          <w:tcPr>
            <w:tcW w:type="dxa" w:w="58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Front, staging i silnik bez zmian; BigQuery jako „sejf”: historia KPI, dane zewnętrzne (GUS/Eurostat/środowiskowe), logi zdarzeń, rejestr decyzji; BI opcjonalnie na sejfie — użytkownik nie widzi różnicy</w:t>
            </w:r>
          </w:p>
        </w:tc>
      </w:tr>
      <w:tr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CZERWONY</w:t>
            </w:r>
          </w:p>
        </w:tc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(b)/(c)</w:t>
            </w:r>
          </w:p>
        </w:tc>
        <w:tc>
          <w:tcPr>
            <w:tcW w:type="dxa" w:w="58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Silnik i dane wyprowadzone poza Apps Script; aplikacja najwyżej jako cienki interfejs</w:t>
            </w:r>
          </w:p>
        </w:tc>
      </w:tr>
    </w:tbl>
    <w:p>
      <w:pPr>
        <w:pStyle w:val="Heading2"/>
        <w:spacing w:after="100" w:before="210"/>
      </w:pPr>
      <w:r>
        <w:t xml:space="preserve">A.5. Progi przesiadki niezależne od testu</w:t>
      </w:r>
    </w:p>
    <w:p>
      <w:pPr>
        <w:spacing w:after="110"/>
      </w:pPr>
      <w:r>
        <w:rPr>
          <w:sz w:val="22"/>
          <w:szCs w:val="22"/>
        </w:rPr>
        <w:t xml:space="preserve">Spełnienie któregokolwiek z poniższych warunków przełącza na hybrydę nawet przy wyniku zielonym: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wymóg przechowywania historii na poziomie surowych wierszy (nie agregatów);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formalny rejestr decyzji administracyjnych z retencją i integracją z obiegiem dokumentów (EZD);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rozbudowa integracji źródeł zewnętrznych ponad proste cykliczne pobrania;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twarde obowiązki rejestrowania zdarzeń wynikające z kwalifikacji AI Act.</w:t>
      </w:r>
    </w:p>
    <w:p>
      <w:pPr>
        <w:pStyle w:val="Heading2"/>
        <w:spacing w:after="100" w:before="210"/>
      </w:pPr>
      <w:r>
        <w:t xml:space="preserve">A.6. Kolejność nienegocjowalna</w:t>
      </w:r>
    </w:p>
    <w:p>
      <w:pPr>
        <w:spacing w:after="110"/>
      </w:pPr>
      <w:r>
        <w:rPr>
          <w:sz w:val="22"/>
          <w:szCs w:val="22"/>
        </w:rPr>
        <w:t xml:space="preserve">Najpierw naprawa jakości (Z-1→Z-3), potem pomiar (test), na końcu decyzja o adresie. Przenosiny przed naprawą przeniosłyby błędy L.16 i L.17 do hurtowni — wybudowalibyśmy marmurowe hale dla śmieci.</w:t>
      </w:r>
    </w:p>
    <w:p>
      <w:pPr>
        <w:spacing w:after="110"/>
      </w:pPr>
      <w:r>
        <w:rPr>
          <w:i/>
          <w:iCs/>
          <w:color w:val="595959"/>
          <w:sz w:val="22"/>
          <w:szCs w:val="22"/>
        </w:rPr>
        <w:t xml:space="preserve">Zasada nadrzędna projektu: system oblicza, porównuje i proponuje — decyduje człowiek. Wysoki wzrost wskaźnika nie jest sukcesem, jeśli stoi za nim niska baza, jeden projekt albo jeden beneficjent.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2026-07-26T15:19:44.342Z</dcterms:created>
  <dcterms:modified xsi:type="dcterms:W3CDTF">2026-07-26T15:19:44.356Z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