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61" w:rsidRDefault="00361CBC">
      <w:r>
        <w:t>Projekt</w:t>
      </w:r>
      <w:r>
        <w:tab/>
      </w:r>
    </w:p>
    <w:p w:rsidR="00361CBC" w:rsidRDefault="00361CBC">
      <w:r>
        <w:t>Układ jest systemem regulacji dwustanowej. Czujnik temperatury LM-35 mierzy temperaturę otoczenia i wysyła sygnał o odpowiedniej wielkości (1</w:t>
      </w:r>
      <w:r>
        <w:rPr>
          <w:rFonts w:ascii="Times New Roman" w:hAnsi="Times New Roman" w:cs="Times New Roman"/>
        </w:rPr>
        <w:t>̊</w:t>
      </w:r>
      <w:r>
        <w:t>C/10mV) na wejście analogowe (w przypadku schematu pin A5). Program przelicza wartość na stopnie Celsjusza stosując formułę</w:t>
      </w:r>
    </w:p>
    <w:p w:rsidR="00361CBC" w:rsidRDefault="00361CBC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tem</m:t>
        </m:r>
        <m:r>
          <w:rPr>
            <w:rFonts w:ascii="Cambria Math" w:hAnsi="Cambria Math"/>
          </w:rPr>
          <m:t>peratura=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V_wejścia</m:t>
            </m:r>
          </m:e>
        </m:d>
        <m:r>
          <w:rPr>
            <w:rFonts w:ascii="Cambria Math" w:hAnsi="Cambria Math" w:cs="Times New Roman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 w:cs="Times New Roman"/>
          </w:rPr>
          <m:t>·</m:t>
        </m:r>
        <m:r>
          <w:rPr>
            <w:rFonts w:ascii="Cambria Math" w:hAnsi="Cambria Math"/>
          </w:rPr>
          <m:t>100</m:t>
        </m:r>
      </m:oMath>
    </w:p>
    <w:p w:rsidR="00361CBC" w:rsidRDefault="00361CBC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>·</w:t>
      </w:r>
      <w:r>
        <w:rPr>
          <w:rFonts w:eastAsiaTheme="minorEastAsia"/>
        </w:rPr>
        <w:t>5/1024 – układ zasilany jest napięciem 5V a zakres pracy przetwornika to 1024</w:t>
      </w:r>
    </w:p>
    <w:p w:rsidR="006463A0" w:rsidRDefault="00361CBC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>·</w:t>
      </w:r>
      <w:r>
        <w:rPr>
          <w:rFonts w:eastAsiaTheme="minorEastAsia"/>
        </w:rPr>
        <w:t>100 – Napięcia na wejściu jest w miliwoltach więc trzeba je przeskalować</w:t>
      </w:r>
    </w:p>
    <w:p w:rsidR="000E7D4D" w:rsidRDefault="0037556F">
      <w:pPr>
        <w:rPr>
          <w:rFonts w:eastAsiaTheme="minorEastAsia"/>
        </w:rPr>
      </w:pPr>
      <w:r>
        <w:rPr>
          <w:rFonts w:eastAsiaTheme="minorEastAsia"/>
        </w:rPr>
        <w:t>Następnie program podejmuje decyzję czy należy włączyć grzanie czy je wyłączyć porównując zmierzoną temperaturę z ustalonymi wartościami granicznymi z uwzględnieniem histerezy.</w:t>
      </w:r>
      <w:r w:rsidR="006463A0">
        <w:rPr>
          <w:rFonts w:eastAsiaTheme="minorEastAsia"/>
        </w:rPr>
        <w:t xml:space="preserve"> Grzanie lub chłodzenie reprezentowane jest poprzez diody LED. Jednocześnie aktualna temperatura podawana jest na wyświetlacz LCD poprzez piny od 4 do 7 na schemacie. Wyświetlacz komunikuje się z kontrolerem w trybie 4-bitowym stąd 4 podłączenia sygnałowe z danymi. Sam wyświetlacz patrząc od lewej na schemacie ma podłączone: </w:t>
      </w:r>
    </w:p>
    <w:p w:rsidR="000E7D4D" w:rsidRPr="000E7D4D" w:rsidRDefault="000E7D4D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masę</w:t>
      </w:r>
      <w:r w:rsidR="006463A0" w:rsidRPr="000E7D4D">
        <w:rPr>
          <w:rFonts w:eastAsiaTheme="minorEastAsia"/>
        </w:rPr>
        <w:t xml:space="preserve"> </w:t>
      </w:r>
    </w:p>
    <w:p w:rsid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z</w:t>
      </w:r>
      <w:r w:rsidR="000E7D4D">
        <w:rPr>
          <w:rFonts w:eastAsiaTheme="minorEastAsia"/>
        </w:rPr>
        <w:t>asilanie</w:t>
      </w:r>
    </w:p>
    <w:p w:rsid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regulację kontrastu podłączoną do potencjometru będącego dzielnikiem nap</w:t>
      </w:r>
      <w:r w:rsidR="000E7D4D">
        <w:rPr>
          <w:rFonts w:eastAsiaTheme="minorEastAsia"/>
        </w:rPr>
        <w:t>ięcia</w:t>
      </w:r>
    </w:p>
    <w:p w:rsid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wybór rejestrów</w:t>
      </w:r>
      <w:r w:rsidR="000E7D4D" w:rsidRPr="000E7D4D">
        <w:rPr>
          <w:rFonts w:eastAsiaTheme="minorEastAsia"/>
        </w:rPr>
        <w:t xml:space="preserve"> (RS)</w:t>
      </w:r>
      <w:r w:rsidR="005F3F9B" w:rsidRPr="000E7D4D">
        <w:rPr>
          <w:rFonts w:eastAsiaTheme="minorEastAsia"/>
        </w:rPr>
        <w:t xml:space="preserve"> – pozwala zadecydować, gdzie w pamięci DDRAM wyświetlacza zostaną zapisane dane</w:t>
      </w:r>
    </w:p>
    <w:p w:rsid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wybór odczyt/zapis</w:t>
      </w:r>
      <w:r w:rsidR="000E7D4D" w:rsidRPr="000E7D4D">
        <w:rPr>
          <w:rFonts w:eastAsiaTheme="minorEastAsia"/>
        </w:rPr>
        <w:t xml:space="preserve"> (R/W)</w:t>
      </w:r>
      <w:r w:rsidR="007F5CED" w:rsidRPr="000E7D4D">
        <w:rPr>
          <w:rFonts w:eastAsiaTheme="minorEastAsia"/>
        </w:rPr>
        <w:t xml:space="preserve"> – czy dane są zapisywane czy sczytywane</w:t>
      </w:r>
      <w:r w:rsidR="000E7D4D" w:rsidRPr="000E7D4D">
        <w:rPr>
          <w:rFonts w:eastAsiaTheme="minorEastAsia"/>
        </w:rPr>
        <w:t>, w schemacie na stałe ustawione na zapis</w:t>
      </w:r>
    </w:p>
    <w:p w:rsid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zezwolenie na zapis do rejestru</w:t>
      </w:r>
      <w:r w:rsidR="000E7D4D" w:rsidRPr="000E7D4D">
        <w:rPr>
          <w:rFonts w:eastAsiaTheme="minorEastAsia"/>
        </w:rPr>
        <w:t xml:space="preserve"> (E)</w:t>
      </w:r>
    </w:p>
    <w:p w:rsid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7 wejść sygnałowych (podłączone 4)</w:t>
      </w:r>
    </w:p>
    <w:p w:rsid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zasilanie podświetlenia</w:t>
      </w:r>
    </w:p>
    <w:p w:rsidR="0037556F" w:rsidRPr="000E7D4D" w:rsidRDefault="006463A0" w:rsidP="000E7D4D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0E7D4D">
        <w:rPr>
          <w:rFonts w:eastAsiaTheme="minorEastAsia"/>
        </w:rPr>
        <w:t>masę podświetlenia</w:t>
      </w:r>
      <w:r w:rsidR="007F5CED" w:rsidRPr="000E7D4D">
        <w:rPr>
          <w:rFonts w:eastAsiaTheme="minorEastAsia"/>
        </w:rPr>
        <w:t xml:space="preserve"> </w:t>
      </w:r>
    </w:p>
    <w:p w:rsidR="006463A0" w:rsidRDefault="006463A0">
      <w:pPr>
        <w:rPr>
          <w:rFonts w:eastAsiaTheme="minorEastAsia"/>
        </w:rPr>
      </w:pPr>
      <w:bookmarkStart w:id="0" w:name="_GoBack"/>
      <w:r>
        <w:rPr>
          <w:rFonts w:eastAsiaTheme="minorEastAsia"/>
          <w:noProof/>
          <w:lang w:eastAsia="pl-PL"/>
        </w:rPr>
        <w:lastRenderedPageBreak/>
        <w:drawing>
          <wp:inline distT="0" distB="0" distL="0" distR="0" wp14:anchorId="2AC3A3EC" wp14:editId="2E746F53">
            <wp:extent cx="5909095" cy="374920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326" cy="37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63A0" w:rsidRDefault="006463A0">
      <w:pPr>
        <w:rPr>
          <w:rFonts w:eastAsiaTheme="minorEastAsia"/>
        </w:rPr>
      </w:pPr>
    </w:p>
    <w:p w:rsidR="00240FFD" w:rsidRPr="00361CBC" w:rsidRDefault="00240FFD">
      <w:pPr>
        <w:rPr>
          <w:rFonts w:eastAsiaTheme="minorEastAsia"/>
        </w:rPr>
      </w:pPr>
      <w:r>
        <w:rPr>
          <w:rFonts w:eastAsiaTheme="minorEastAsia"/>
        </w:rPr>
        <w:t xml:space="preserve">Podczas tworzenie układu nie pojawiły się żadne większe problemy. Bardzo łatwo jest znaleźć poradniki do układów </w:t>
      </w:r>
      <w:proofErr w:type="spellStart"/>
      <w:r>
        <w:rPr>
          <w:rFonts w:eastAsiaTheme="minorEastAsia"/>
        </w:rPr>
        <w:t>Arduino</w:t>
      </w:r>
      <w:proofErr w:type="spellEnd"/>
      <w:r>
        <w:rPr>
          <w:rFonts w:eastAsiaTheme="minorEastAsia"/>
        </w:rPr>
        <w:t xml:space="preserve">  oraz istnieje duża baza bibliotek co pozwala na łatwe zaprogramowanie mikrokontrolera. Najciężej było znaleźć informacje jak działa komunikacja między kontrolerem a wyświetlaczem LCD.</w:t>
      </w:r>
    </w:p>
    <w:sectPr w:rsidR="00240FFD" w:rsidRPr="0036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5375"/>
    <w:multiLevelType w:val="hybridMultilevel"/>
    <w:tmpl w:val="2C6A4D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BC"/>
    <w:rsid w:val="000E7D4D"/>
    <w:rsid w:val="00240FFD"/>
    <w:rsid w:val="00361CBC"/>
    <w:rsid w:val="0037556F"/>
    <w:rsid w:val="004A6F61"/>
    <w:rsid w:val="005F3F9B"/>
    <w:rsid w:val="006463A0"/>
    <w:rsid w:val="007F5CED"/>
    <w:rsid w:val="00B8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61CB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1CB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E7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61CB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1CB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E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5</cp:revision>
  <dcterms:created xsi:type="dcterms:W3CDTF">2020-05-27T11:42:00Z</dcterms:created>
  <dcterms:modified xsi:type="dcterms:W3CDTF">2020-05-27T12:23:00Z</dcterms:modified>
</cp:coreProperties>
</file>