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6FA8"/>
          <w:sz w:val="38"/>
        </w:rPr>
        <w:t>VESMA — kroky a časová os validácie</w:t>
      </w:r>
    </w:p>
    <w:p>
      <w:r>
        <w:rPr>
          <w:b w:val="0"/>
        </w:rPr>
        <w:t>Verzia 2, stav k 30. 9. 2026. Po piatich prezentáciách pre subregióny.</w:t>
      </w:r>
    </w:p>
    <w:p>
      <w:r>
        <w:rPr>
          <w:b w:val="0"/>
        </w:rPr>
        <w:t>Zmena oproti verzii 1: vypadlo meranie v aplikácii a organizácie v zriaďovateľskej pôsobnosti kraja, pribudla časť K a presmerovanie dopytu od tímu zadávateľky. Žiadny krok v tomto dokumente nie je vývoj.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1. Východiskový stav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Zoznam prihlásení</w:t>
      </w:r>
    </w:p>
    <w:p>
      <w:r>
        <w:rPr>
          <w:b w:val="0"/>
        </w:rPr>
        <w:t xml:space="preserve">Nie sú to registrácie. </w:t>
      </w:r>
      <w:r>
        <w:rPr>
          <w:rFonts w:ascii="Consolas" w:hAnsi="Consolas"/>
          <w:color w:val="5A5A5A"/>
          <w:sz w:val="18"/>
        </w:rPr>
        <w:t>api/overenie.ts</w:t>
      </w:r>
      <w:r>
        <w:rPr>
          <w:b w:val="0"/>
        </w:rPr>
        <w:t xml:space="preserve"> zapisuje jeden riadok pri každom kliknutí na prihlasovací odkaz, takže opakované prihlásenie tej istej osoby je nový riadok.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Riadkov (prihlásení)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36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Unikátnych adries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Z toho mimo INOVIA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Z toho zo samosprávy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18"/>
              </w:rPr>
              <w:t>3</w:t>
            </w:r>
            <w:r>
              <w:rPr>
                <w:b w:val="0"/>
                <w:sz w:val="18"/>
              </w:rPr>
              <w:t xml:space="preserve"> — Martin, Žabokreky, Turčianske Teplice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Obcí v ŽSK celkom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315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Posledné prihlásenie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22. 9. 2026 — ticho 8 dní</w:t>
            </w:r>
          </w:p>
        </w:tc>
      </w:tr>
    </w:tbl>
    <w:p>
      <w:pPr>
        <w:spacing w:after="40"/>
      </w:pPr>
    </w:p>
    <w:p>
      <w:r>
        <w:rPr>
          <w:b w:val="0"/>
        </w:rPr>
        <w:t>Rozdelenie 20 adries: INOVIA 2 · ŽSK 2 · samospráva 3 · verejný sektor a blízke organizácie 4 (SHMÚ, UNIZA, MAS Dolný Liptov, Orava) · firmy 3 · neurčiteľné freemailové adresy 6. Z 36 prihlásení pripadá 24 na 8. a 9. 9., teda na dni prezentácií.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Zadanie a zadávateľka</w:t>
      </w:r>
    </w:p>
    <w:p>
      <w:pPr>
        <w:pStyle w:val="ListBullet"/>
        <w:spacing w:after="60"/>
        <w:ind w:left="369"/>
      </w:pPr>
      <w:r>
        <w:rPr>
          <w:b w:val="0"/>
        </w:rPr>
        <w:t>Zadanie vzniklo v dobrej viere, že nástroj je pre obce užitočný. Reality obcí sa to overiť ešte musí.</w:t>
      </w:r>
    </w:p>
    <w:p>
      <w:pPr>
        <w:pStyle w:val="ListBullet"/>
        <w:spacing w:after="60"/>
        <w:ind w:left="369"/>
      </w:pPr>
      <w:r>
        <w:rPr>
          <w:b w:val="0"/>
        </w:rPr>
        <w:t>Zadávateľka je s výstupom spokojná a ďalšie nároky nemá.</w:t>
      </w:r>
    </w:p>
    <w:p>
      <w:pPr>
        <w:pStyle w:val="ListBullet"/>
        <w:spacing w:after="60"/>
        <w:ind w:left="369"/>
      </w:pPr>
      <w:r>
        <w:rPr>
          <w:b w:val="0"/>
        </w:rPr>
        <w:t>Úprava produktu aj cieľovej skupiny je v našej kompetencii.</w:t>
      </w:r>
    </w:p>
    <w:p>
      <w:pPr>
        <w:pStyle w:val="ListBullet"/>
        <w:spacing w:after="60"/>
        <w:ind w:left="369"/>
      </w:pPr>
      <w:r>
        <w:rPr>
          <w:b w:val="0"/>
        </w:rPr>
        <w:t>Meradlo úspechu zo strany zadávateľky: keď si starosta alebo úradník chce túto operáciu urobiť, neosloví ju a jej tím, ale použije VESMA.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Obce</w:t>
      </w:r>
    </w:p>
    <w:p>
      <w:pPr>
        <w:pStyle w:val="ListBullet"/>
        <w:spacing w:after="60"/>
        <w:ind w:left="369"/>
      </w:pPr>
      <w:r>
        <w:rPr>
          <w:b w:val="0"/>
        </w:rPr>
        <w:t>Odborné kapacity na takéto hodnotenie sa u obcí nepredpokladajú. Nástroj ich má nahradiť.</w:t>
      </w:r>
    </w:p>
    <w:p>
      <w:pPr>
        <w:pStyle w:val="ListBullet"/>
        <w:spacing w:after="60"/>
        <w:ind w:left="369"/>
      </w:pPr>
      <w:r>
        <w:rPr>
          <w:b w:val="0"/>
        </w:rPr>
        <w:t>Prekážky na strane obcí: chýbajúca kapacita, chýbajúca motivácia, neefektívne fungovanie a bariéra „nie som odborník".</w:t>
      </w:r>
    </w:p>
    <w:p>
      <w:pPr>
        <w:pStyle w:val="ListBullet"/>
        <w:spacing w:after="60"/>
        <w:ind w:left="369"/>
      </w:pPr>
      <w:r>
        <w:rPr>
          <w:b w:val="0"/>
        </w:rPr>
        <w:t xml:space="preserve">Organizácie v zriaďovateľskej pôsobnosti kraja sú </w:t>
      </w:r>
      <w:r>
        <w:rPr>
          <w:b/>
        </w:rPr>
        <w:t>mimo hry</w:t>
      </w:r>
      <w:r>
        <w:rPr>
          <w:b w:val="0"/>
        </w:rPr>
        <w:t xml:space="preserve"> — hodnotenie za ne robil kraj, pretože odborné kapacity nemali.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2. Hypotéza, ktorú overujeme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Tvrdenie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Stav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Obec potrebuje vedieť, čo so svojimi budovami a pozemkami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čiastočne potvrdené — organizácie kraja to potrebovali a kraj to za ne robil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Laik v obci to s VESMA zvládne urobiť sám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neoverené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Laik sa do toho pustí — prekoná bariéru, že nie je odborník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neoverené, najrizikovejšie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H4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Obec výsledok použije a zmení podľa neho rozhodnutie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neoverené</w:t>
            </w:r>
          </w:p>
        </w:tc>
      </w:tr>
    </w:tbl>
    <w:p>
      <w:pPr>
        <w:spacing w:after="40"/>
      </w:pPr>
    </w:p>
    <w:p>
      <w:r>
        <w:rPr>
          <w:b w:val="0"/>
        </w:rPr>
        <w:t>Celá kampaň smeruje na H3. H2 a H4 sa merajú pri sedeniach a pri spätnej otázke po dvoch týždňoch.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3. Kroky</w:t>
      </w:r>
    </w:p>
    <w:p>
      <w:r>
        <w:rPr>
          <w:b w:val="0"/>
        </w:rPr>
        <w:t xml:space="preserve">Formát: </w:t>
      </w:r>
      <w:r>
        <w:rPr>
          <w:b/>
        </w:rPr>
        <w:t>číslo · krok · kto · dokedy</w:t>
      </w:r>
      <w:r>
        <w:rPr>
          <w:b w:val="0"/>
        </w:rPr>
        <w:t>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Z — Zadanie validácie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Kto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Dokedy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Napísať, čo je validovaný zákazník a pri akom výsledku sa projekt zastavuje. Návrh definície: obec dokončí hodnotenie skutočného areálu bez našej účasti a vráti sa druhýkrát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2. 10.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K — Prekonanie bariéry laika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Kto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Dokedy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Dohodnúť s tímom zadávateľky, že dopyt obce na takéto hodnotenie presmerujú na VESMA a pripoja ponuku spoločného prvého areálu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7. 10.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K2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Zistiť od tímu zadávateľky, koľko takých dopytov im chodilo doteraz — východisková hodnota pre meradlo úspechu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7. 10.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Zmapovať jeden skutočný areál sami a rozposlať ako ukážku výstupu spolu s časom, ktorý to trvalo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10. 10.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K4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Ponuku „prvý areál prejdeme s vami online za 30 minút" zaradiť do každej komunikácie s obcou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od 10.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K5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Pri sedeniach odmerať čas jedného areálu a zapísať, ktoré údaje obec nemá po ruke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priebežne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R — Rozhovory a sedenia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Kto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Dokedy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Osloviť individuálne všetkých 18 adries mimo INOVIA a dohodnúť 15-minútový hovor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3. 10.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Odviesť 8 hovorov. Otázky: čo ste hľadali · kde ste sa zastavili · čo by muselo platiť, aby ste to použili na skutočnú budovu · čo vás na tom odrádza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17. 10.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Odviesť 3 asistované sedenia (Martin, Žabokreky, Turčianske Teplice) — oni klikajú, my mlčíme a píšeme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24. 10.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Dva týždne po každom sedení sa opýtať, či s výsledkom niečo urobili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do 7. 11.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Zapisovať do jedného hárku, jeden riadok na osobu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priebežne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D — Dodávatelia a sprostredkovatelia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Kto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Dokedy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Osloviť 5 energetických audítorov, projektantov alebo MAS. Otázka: použili by ste to pre svojich klientov a čo by vám to muselo šetriť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doplniť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17. 10.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Zapísať rozhodnutie: pokračovať alebo zastaviť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24. 10.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M —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Kto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Dokedy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Zmraziť platený štart. Nestavať účty, evidenciu predplatného ani fakturáciu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3. 10.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M2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Informovať zadávateľku o stave (3 obce z 315, ticho 8 dní) a dohodnúť s ňou meradlo presmerovaného dopytu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10. 10.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 xml:space="preserve">Premietnuť M1 a M2 do </w:t>
            </w:r>
            <w:r>
              <w:rPr>
                <w:rFonts w:ascii="Consolas" w:hAnsi="Consolas"/>
                <w:color w:val="5A5A5A"/>
                <w:sz w:val="18"/>
              </w:rPr>
              <w:t>docs/monetizacia-navrh.md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M. Ž.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do 5 dní po M1</w:t>
            </w:r>
          </w:p>
        </w:tc>
      </w:tr>
    </w:tbl>
    <w:p>
      <w:pPr>
        <w:spacing w:after="40"/>
      </w:pP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4. Časová os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Fáza 1 · 30. 9. – 24. 10. 2026 — do volieb</w:t>
      </w:r>
    </w:p>
    <w:p>
      <w:r>
        <w:rPr>
          <w:b w:val="0"/>
        </w:rPr>
        <w:t>Samosprávy sa plošne neoslovujú. Bežia Z1, K1 – K5, R1 – R3, D1 – D2, M1 – M3.</w:t>
      </w:r>
    </w:p>
    <w:p>
      <w:r>
        <w:rPr>
          <w:b w:val="0"/>
        </w:rPr>
        <w:t>Výstup fázy: 8 zapísaných rozhovorov, 3 asistované sedenia, dohodnuté presmerovanie dopytu od tímu zadávateľky.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Fáza 2 · 25. 10. – 15. 12. 2026 — po voľbách</w:t>
      </w:r>
    </w:p>
    <w:p>
      <w:r>
        <w:rPr>
          <w:b w:val="0"/>
        </w:rPr>
        <w:t>Nové vedenia obcí, odovzdávanie agendy. Pokračujú K4 a R4.</w:t>
      </w:r>
    </w:p>
    <w:p>
      <w:r>
        <w:rPr>
          <w:b w:val="0"/>
        </w:rPr>
        <w:t>Oslovenie nových starostov jedinou vecou: prehľad budov a pozemkov, ktoré preberajú. Ponuka spoločného prvého areálu, bez ceny a bez registrácie.</w:t>
      </w:r>
    </w:p>
    <w:p>
      <w:r>
        <w:rPr>
          <w:b w:val="0"/>
        </w:rPr>
        <w:t>Výstup fázy: počet obcí, ktoré dokončili hodnotenie bez našej účasti.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Fáza 3 · 1. 1. – 31. 3. 2027 — prvý plný cyklus</w:t>
      </w:r>
    </w:p>
    <w:p>
      <w:r>
        <w:rPr>
          <w:b w:val="0"/>
        </w:rPr>
        <w:t>Rozpočty na 2027, časť obcí v provizóriu. Bežná prevádzka bez kampane, sleduje sa presmerovaný dopyt a dokončené hodnotenia.</w:t>
      </w:r>
    </w:p>
    <w:p>
      <w:r>
        <w:rPr>
          <w:b w:val="0"/>
        </w:rPr>
        <w:t>Výstup fázy: rozhodnutie, či sa pokračuje, mení zadanie alebo zastavuje.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5. Rozhodovacie body</w:t>
      </w:r>
    </w:p>
    <w:p>
      <w:r>
        <w:rPr>
          <w:b w:val="0"/>
        </w:rPr>
        <w:t>Prahy sú návrh a treba ich potvrdiť v kroku Z1.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Kedy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Otázka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Prah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Ak sa nesplní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24. 10. 2026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Koľko obcí prijalo ponuku spoločného prvého areálu?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Bariéra nie je v odbornosti, ale v motivácii — zmeniť oslovenie, nie nástroj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24. 10. 2026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Koľko z 8 opýtaných povedalo, že nástroj použije na skutočný objekt?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Vrátiť sa k zadaniu produktu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15. 12. 2026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Koľko obcí dokončilo hodnotenie bez našej účasti?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Zastaviť oslovovanie, riešiť, kde ľudia odpadávajú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31. 3. 2027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Koľko obcí dokončilo hodnotenie a koľko sa vrátilo druhýkrát?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10 / 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Zmeniť cieľovú skupinu na dodávateľov alebo projekt zastaviť</w:t>
            </w:r>
          </w:p>
        </w:tc>
      </w:tr>
    </w:tbl>
    <w:p>
      <w:pPr>
        <w:spacing w:after="40"/>
      </w:pP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6. Čo sa nerobí</w:t>
      </w:r>
    </w:p>
    <w:p>
      <w:pPr>
        <w:pStyle w:val="ListBullet"/>
        <w:spacing w:after="60"/>
        <w:ind w:left="369"/>
      </w:pPr>
      <w:r>
        <w:rPr>
          <w:b w:val="0"/>
        </w:rPr>
        <w:t>Žiadny vývoj, kým neprejde brána k 24. 10. 2026.</w:t>
      </w:r>
    </w:p>
    <w:p>
      <w:pPr>
        <w:pStyle w:val="ListBullet"/>
        <w:spacing w:after="60"/>
        <w:ind w:left="369"/>
      </w:pPr>
      <w:r>
        <w:rPr>
          <w:b w:val="0"/>
        </w:rPr>
        <w:t>Žiadne meranie používania v aplikácii — pri 18 ľuďoch ho nahrádza telefonát.</w:t>
      </w:r>
    </w:p>
    <w:p>
      <w:pPr>
        <w:pStyle w:val="ListBullet"/>
        <w:spacing w:after="60"/>
        <w:ind w:left="369"/>
      </w:pPr>
      <w:r>
        <w:rPr>
          <w:b w:val="0"/>
        </w:rPr>
        <w:t>Žiadne oslovovanie organizácií v zriaďovateľskej pôsobnosti kraja.</w:t>
      </w:r>
    </w:p>
    <w:p>
      <w:pPr>
        <w:pStyle w:val="ListBullet"/>
        <w:spacing w:after="60"/>
        <w:ind w:left="369"/>
      </w:pPr>
      <w:r>
        <w:rPr>
          <w:b w:val="0"/>
        </w:rPr>
        <w:t>Žiadne plošné oslovovanie obcí do 24. 10. 2026.</w:t>
      </w:r>
    </w:p>
    <w:p>
      <w:pPr>
        <w:pStyle w:val="ListBullet"/>
        <w:spacing w:after="60"/>
        <w:ind w:left="369"/>
      </w:pPr>
      <w:r>
        <w:rPr>
          <w:b w:val="0"/>
        </w:rPr>
        <w:t>Žiadne ďalšie prezentácie pre subregióny, kým nie sú hotové rozhovory R2.</w:t>
      </w:r>
    </w:p>
    <w:p>
      <w:pPr>
        <w:pStyle w:val="ListBullet"/>
        <w:spacing w:after="60"/>
        <w:ind w:left="369"/>
      </w:pPr>
      <w:r>
        <w:rPr>
          <w:b w:val="0"/>
        </w:rPr>
        <w:t>Nestavia sa databáza účtov, evidencia predplatného ani fakturácia.</w:t>
      </w:r>
    </w:p>
    <w:p>
      <w:pPr>
        <w:pStyle w:val="ListBullet"/>
        <w:spacing w:after="60"/>
        <w:ind w:left="369"/>
      </w:pPr>
      <w:r>
        <w:rPr>
          <w:b w:val="0"/>
        </w:rPr>
        <w:t>Nespúšťa sa balík PLUS ani spracovanie skenov.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7. Otvorené</w:t>
      </w:r>
    </w:p>
    <w:p>
      <w:pPr>
        <w:pStyle w:val="ListBullet"/>
        <w:spacing w:after="60"/>
        <w:ind w:left="369"/>
      </w:pPr>
      <w:r>
        <w:rPr>
          <w:b w:val="0"/>
        </w:rPr>
        <w:t>Kto vedie krok D1.</w:t>
      </w:r>
    </w:p>
    <w:p>
      <w:pPr>
        <w:pStyle w:val="ListBullet"/>
        <w:spacing w:after="60"/>
        <w:ind w:left="369"/>
      </w:pPr>
      <w:r>
        <w:rPr>
          <w:b w:val="0"/>
        </w:rPr>
        <w:t>Či sa oslovenie nových starostov robí cez ZMOS a Úniu miest, alebo priamo.</w:t>
      </w:r>
    </w:p>
    <w:p>
      <w:pPr>
        <w:pStyle w:val="ListBullet"/>
        <w:spacing w:after="60"/>
        <w:ind w:left="369"/>
      </w:pPr>
      <w:r>
        <w:rPr>
          <w:b w:val="0"/>
        </w:rPr>
        <w:t>Či sa cieľová skupina mení z obcí na ich dodávateľov — rozhoduje sa v D2.</w:t>
      </w:r>
    </w:p>
    <w:p>
      <w:pPr>
        <w:pStyle w:val="ListBullet"/>
        <w:spacing w:after="60"/>
        <w:ind w:left="369"/>
      </w:pPr>
      <w:r>
        <w:rPr>
          <w:b w:val="0"/>
        </w:rPr>
        <w:t>Ktorý areál sa použije ako ukážka v kroku K3.</w:t>
      </w:r>
    </w:p>
    <w:p>
      <w:r>
        <w:rPr>
          <w:b w:val="0"/>
        </w:rPr>
        <w:t xml:space="preserve">Súvisiace: </w:t>
      </w:r>
      <w:r>
        <w:rPr>
          <w:rFonts w:ascii="Consolas" w:hAnsi="Consolas"/>
          <w:color w:val="5A5A5A"/>
          <w:sz w:val="18"/>
        </w:rPr>
        <w:t>docs/validacia-casova-os.puml</w:t>
      </w:r>
      <w:r>
        <w:rPr>
          <w:b w:val="0"/>
        </w:rPr>
        <w:t xml:space="preserve"> — diagram krokov a časovej osi · </w:t>
      </w:r>
      <w:r>
        <w:rPr>
          <w:rFonts w:ascii="Consolas" w:hAnsi="Consolas"/>
          <w:color w:val="5A5A5A"/>
          <w:sz w:val="18"/>
        </w:rPr>
        <w:t>docs/monetizacia-navrh.md</w:t>
      </w:r>
      <w:r>
        <w:rPr>
          <w:b w:val="0"/>
        </w:rPr>
        <w:t xml:space="preserve"> — model monetizácie, mení ho krok M3.</w:t>
      </w:r>
    </w:p>
    <w:p>
      <w:pPr>
        <w:spacing w:before="120" w:after="200"/>
        <w:pBdr>
          <w:bottom w:val="single" w:sz="6" w:space="1" w:color="C9DCEA"/>
        </w:pBdr>
      </w:pPr>
    </w:p>
    <w:p>
      <w:r>
        <w:rPr>
          <w:color w:val="5A5A5A"/>
          <w:sz w:val="16"/>
        </w:rPr>
        <w:t>Vygenerované z docs/validacia-dalsie-kroky.md — zdrojom pravdy je ten súbor v repozitári VESMA.</w:t>
      </w:r>
    </w:p>
    <w:p>
      <w:r>
        <w:br w:type="page"/>
      </w:r>
    </w:p>
    <w:p>
      <w:pPr>
        <w:spacing w:before="280" w:after="120"/>
      </w:pPr>
      <w:r>
        <w:rPr>
          <w:b/>
          <w:color w:val="14486F"/>
          <w:sz w:val="29"/>
        </w:rPr>
        <w:t>Príloha — časová 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1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cia-casova-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1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5A5A"/>
          <w:sz w:val="17"/>
        </w:rPr>
        <w:t>Vygenerované z docs/validacia-casova-os.puml</w:t>
      </w:r>
    </w:p>
    <w:p>
      <w:r>
        <w:br w:type="page"/>
      </w:r>
    </w:p>
    <w:p>
      <w:pPr>
        <w:spacing w:before="280" w:after="120"/>
      </w:pPr>
      <w:r>
        <w:rPr>
          <w:b/>
          <w:color w:val="14486F"/>
          <w:sz w:val="29"/>
        </w:rPr>
        <w:t>Príloha — kroky podľa fáz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74663" cy="84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cia-krok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4663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5A5A"/>
          <w:sz w:val="17"/>
        </w:rPr>
        <w:t>Vygenerované z docs/validacia-casova-os.puml</w:t>
      </w:r>
    </w:p>
    <w:sectPr w:rsidR="00FC693F" w:rsidRPr="0006063C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Calibri" w:hAnsi="Calibri" w:cs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