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8tc08tdw344v" w:id="0"/>
      <w:bookmarkEnd w:id="0"/>
      <w:r w:rsidDel="00000000" w:rsidR="00000000" w:rsidRPr="00000000">
        <w:rPr>
          <w:rtl w:val="0"/>
        </w:rPr>
        <w:t xml:space="preserve">Database Architect — Przewodnik Użytkownika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maj 2026 · </w:t>
      </w:r>
      <w:r w:rsidDel="00000000" w:rsidR="00000000" w:rsidRPr="00000000">
        <w:rPr>
          <w:b w:val="1"/>
          <w:bCs w:val="1"/>
          <w:rtl w:val="0"/>
        </w:rPr>
        <w:t xml:space="preserve">Wersja:</w:t>
      </w:r>
      <w:r w:rsidDel="00000000" w:rsidR="00000000" w:rsidRPr="00000000">
        <w:rPr>
          <w:rtl w:val="0"/>
        </w:rPr>
        <w:t xml:space="preserve"> 1.0 (Vmodel-S) · </w:t>
      </w:r>
      <w:r w:rsidDel="00000000" w:rsidR="00000000" w:rsidRPr="00000000">
        <w:rPr>
          <w:b w:val="1"/>
          <w:bCs w:val="1"/>
          <w:rtl w:val="0"/>
        </w:rPr>
        <w:t xml:space="preserve">Agent:</w:t>
      </w:r>
      <w:r w:rsidDel="00000000" w:rsidR="00000000" w:rsidRPr="00000000">
        <w:rPr>
          <w:rtl w:val="0"/>
        </w:rPr>
        <w:t xml:space="preserve"> Aniela (🗄️) · </w:t>
      </w:r>
      <w:r w:rsidDel="00000000" w:rsidR="00000000" w:rsidRPr="00000000">
        <w:rPr>
          <w:b w:val="1"/>
          <w:bCs w:val="1"/>
          <w:rtl w:val="0"/>
        </w:rPr>
        <w:t xml:space="preserve">Plik: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dba.agent.yaml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l9x26wvmprjl" w:id="1"/>
      <w:bookmarkEnd w:id="1"/>
      <w:r w:rsidDel="00000000" w:rsidR="00000000" w:rsidRPr="00000000">
        <w:rPr>
          <w:rtl w:val="0"/>
        </w:rPr>
        <w:t xml:space="preserve">1. Wprowadzenie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Aniela</w:t>
      </w:r>
      <w:r w:rsidDel="00000000" w:rsidR="00000000" w:rsidRPr="00000000">
        <w:rPr>
          <w:rtl w:val="0"/>
        </w:rPr>
        <w:t xml:space="preserve"> jest mistrzynią integralności danych, wydajności i wnikliwej analizy w SaldeoSMART. Specjalizuje się w architekturze danych SaldeoSMART (4,1 mln faktur/mies., 6 300 klientów, </w:t>
      </w:r>
      <w:r w:rsidDel="00000000" w:rsidR="00000000" w:rsidRPr="00000000">
        <w:rPr>
          <w:b w:val="1"/>
          <w:bCs w:val="1"/>
          <w:rtl w:val="0"/>
        </w:rPr>
        <w:t xml:space="preserve">16 lat historii decyzji księgowych jako moat AI</w:t>
      </w:r>
      <w:r w:rsidDel="00000000" w:rsidR="00000000" w:rsidRPr="00000000">
        <w:rPr>
          <w:rtl w:val="0"/>
        </w:rPr>
        <w:t xml:space="preserve">), modelach multi-tenant biuro/klient, integracjach KSeF/JPK, hurtowniach analitycznych dla cohort analysis, i przygotowaniu datasetów do telemetrii VBP (T - czas zaoszczędzony, E - redukcja błędów).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r7bxi8ljkxs9" w:id="2"/>
      <w:bookmarkEnd w:id="2"/>
      <w:r w:rsidDel="00000000" w:rsidR="00000000" w:rsidRPr="00000000">
        <w:rPr>
          <w:rtl w:val="0"/>
        </w:rPr>
        <w:t xml:space="preserve">2. Kiedy używać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Architektura bazy danych (nowa lub refactor) ✅ Modele danych (Liquibase changelogs, ERD) ✅ Multi-tenancy strategy (biuro/klient/SMB → CEE) ✅ Performance analysis i query optimization ✅ Przygotowanie feature store / labeled dataset dla agentów A1–A7 ✅ Cohort analysis dla VBP / churn / cross-engine adoption ✅ Compliance retention (KSeF 5 lat, podatkowe 5+, RODO right to forget)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q5svbsi9pon2" w:id="3"/>
      <w:bookmarkEnd w:id="3"/>
      <w:r w:rsidDel="00000000" w:rsidR="00000000" w:rsidRPr="00000000">
        <w:rPr>
          <w:rtl w:val="0"/>
        </w:rPr>
        <w:t xml:space="preserve">3. Polecenia menu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Trigger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create-database-architecture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Architektura bazy danych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create-data-model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Model danych + Liquibase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analyze-performance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Performance analysis (4,1 mln faktur/mies.)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design-multi-tenancy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Multi-tenancy biuro/klient/SMB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prepare-ai-dataset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Feature store / labeled dataset dla A1-A7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execute-checklist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DBA + data-quality checklist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party-mode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Cały zespół</w:t>
            </w:r>
          </w:p>
        </w:tc>
      </w:tr>
    </w:tbl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hhhsqznk71bp" w:id="4"/>
      <w:bookmarkEnd w:id="4"/>
      <w:r w:rsidDel="00000000" w:rsidR="00000000" w:rsidRPr="00000000">
        <w:rPr>
          <w:rtl w:val="0"/>
        </w:rPr>
        <w:t xml:space="preserve">4. Kluczowe wzorce SaldeoSMART</w:t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fwknchslhfz1" w:id="5"/>
      <w:bookmarkEnd w:id="5"/>
      <w:r w:rsidDel="00000000" w:rsidR="00000000" w:rsidRPr="00000000">
        <w:rPr>
          <w:rtl w:val="0"/>
        </w:rPr>
        <w:t xml:space="preserve">4.1 Multi-tenancy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Standardowy wzorzec: </w:t>
      </w:r>
      <w:r w:rsidDel="00000000" w:rsidR="00000000" w:rsidRPr="00000000">
        <w:rPr>
          <w:b w:val="1"/>
          <w:bCs w:val="1"/>
          <w:rtl w:val="0"/>
        </w:rPr>
        <w:t xml:space="preserve">schema-per-biuro</w:t>
      </w:r>
      <w:r w:rsidDel="00000000" w:rsidR="00000000" w:rsidRPr="00000000">
        <w:rPr>
          <w:rtl w:val="0"/>
        </w:rPr>
        <w:t xml:space="preserve"> dla danych operacyjnych biur (wysoka izolacja, łatwy backup per biuro, łatwe restore RODO right-to-forget per klient biura) + </w:t>
      </w:r>
      <w:r w:rsidDel="00000000" w:rsidR="00000000" w:rsidRPr="00000000">
        <w:rPr>
          <w:b w:val="1"/>
          <w:bCs w:val="1"/>
          <w:rtl w:val="0"/>
        </w:rPr>
        <w:t xml:space="preserve">shared schema z RLS</w:t>
      </w:r>
      <w:r w:rsidDel="00000000" w:rsidR="00000000" w:rsidRPr="00000000">
        <w:rPr>
          <w:rtl w:val="0"/>
        </w:rPr>
        <w:t xml:space="preserve"> dla danych SMB self-serve (PLG, niskie ARPU, gęste).</w:t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ikxm7eul9irx" w:id="6"/>
      <w:bookmarkEnd w:id="6"/>
      <w:r w:rsidDel="00000000" w:rsidR="00000000" w:rsidRPr="00000000">
        <w:rPr>
          <w:rtl w:val="0"/>
        </w:rPr>
        <w:t xml:space="preserve">4.2 16 lat historii — data moat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labeled_decisions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- id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- tenant_id (biuro)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- document_id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- decision_type (klasyfikacja / kwota / kontrahent / kategoria / VAT)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- human_decision (label)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- source (księgowy biura / property auto-rule)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- timestamp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- context_features (JSON: kontrahent_id, plan_kont, kwota_bin, …)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To jest trampolina dla agentów A1–A7. Konkurencja (Comarch, InsERT) ma per-klient ERP, </w:t>
      </w:r>
      <w:r w:rsidDel="00000000" w:rsidR="00000000" w:rsidRPr="00000000">
        <w:rPr>
          <w:b w:val="1"/>
          <w:bCs w:val="1"/>
          <w:rtl w:val="0"/>
        </w:rPr>
        <w:t xml:space="preserve">nie ma per-biuro labeled dataset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pStyle w:val="Heading3"/>
        <w:rPr/>
      </w:pPr>
      <w:bookmarkStart w:colFirst="0" w:colLast="0" w:name="_dj40ydyxlrhk" w:id="7"/>
      <w:bookmarkEnd w:id="7"/>
      <w:r w:rsidDel="00000000" w:rsidR="00000000" w:rsidRPr="00000000">
        <w:rPr>
          <w:rtl w:val="0"/>
        </w:rPr>
        <w:t xml:space="preserve">4.3 Telemetria T+E (krytyczne dla VBP Etap 3)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work_event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- tenant_id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- user_id (księgowy)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- event_type (manual_correction / auto_action / review / approve)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- duration_seconds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- timestamp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- related_document_id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error_event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- tenant_id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- error_type (KSeF_rejection / VAT_inconsistency / duplicate / …)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- prevented_by (rule / AI / manual)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- estimated_cost_pln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- timestamp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Z tego wyliczamy: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 = Σ(duration_seconds zaoszczędzone) × stawka godzinowa księgowej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= Σ(estimated_cost_pln × probability_prevented_by_AI)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Bez tego </w:t>
      </w:r>
      <w:r w:rsidDel="00000000" w:rsidR="00000000" w:rsidRPr="00000000">
        <w:rPr>
          <w:b w:val="1"/>
          <w:bCs w:val="1"/>
          <w:rtl w:val="0"/>
        </w:rPr>
        <w:t xml:space="preserve">shadow pricing dla VBP Etap 3 nie zadziała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0">
      <w:pPr>
        <w:pStyle w:val="Heading3"/>
        <w:rPr/>
      </w:pPr>
      <w:bookmarkStart w:colFirst="0" w:colLast="0" w:name="_cppt3pq7i98f" w:id="8"/>
      <w:bookmarkEnd w:id="8"/>
      <w:r w:rsidDel="00000000" w:rsidR="00000000" w:rsidRPr="00000000">
        <w:rPr>
          <w:rtl w:val="0"/>
        </w:rPr>
        <w:t xml:space="preserve">4.4 Compliance retention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Retencja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Reguła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Faktury KSeF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lat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Ustawa o VAT + KSeF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Faktury non-KSeF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lat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Ustawa o rachunkowości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Logi audit 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lat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RODO + AI Act + ustawa o rachunkowości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Dane osobowe pracowników (HR)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 lat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Kodeks pracy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Telemetria T/E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 mies.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Wewnętrzna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RODO right-to-forget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 dni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RODO art. 17</w:t>
            </w:r>
          </w:p>
        </w:tc>
      </w:tr>
    </w:tbl>
    <w:p w:rsidR="00000000" w:rsidDel="00000000" w:rsidP="00000000" w:rsidRDefault="00000000" w:rsidRPr="00000000" w14:paraId="00000066">
      <w:pPr>
        <w:pStyle w:val="Heading2"/>
        <w:rPr/>
      </w:pPr>
      <w:bookmarkStart w:colFirst="0" w:colLast="0" w:name="_vrkbe8qv9aav" w:id="9"/>
      <w:bookmarkEnd w:id="9"/>
      <w:r w:rsidDel="00000000" w:rsidR="00000000" w:rsidRPr="00000000">
        <w:rPr>
          <w:rtl w:val="0"/>
        </w:rPr>
        <w:t xml:space="preserve">5. Quick start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@aniela create-data-model A4-Compliance-Guard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&gt; Encje: ComplianceCheck, KSeFEvent, BiałaListaSnapshot, DPIArecord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&gt; Liquibase: tak (changelog-2026-05-A4.xml)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@aniela design-multi-tenancy CEE-expansion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&gt; Regions: PL/CZ/RO/SK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&gt; Constraint: data sovereignty per region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&gt; Output: tenancy strategy + data flow diagrams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@aniela prepare-ai-dataset A1-Document-Intelligence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&gt; Source: 16 lat labeled decisions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&gt; Target: golden dataset 50k examples + holdout 10k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&gt; Validation: per-cohort accuracy</w:t>
      </w:r>
    </w:p>
    <w:p w:rsidR="00000000" w:rsidDel="00000000" w:rsidP="00000000" w:rsidRDefault="00000000" w:rsidRPr="00000000" w14:paraId="0000007C">
      <w:pPr>
        <w:pStyle w:val="Heading2"/>
        <w:rPr/>
      </w:pPr>
      <w:bookmarkStart w:colFirst="0" w:colLast="0" w:name="_bswzbg7p510s" w:id="10"/>
      <w:bookmarkEnd w:id="10"/>
      <w:r w:rsidDel="00000000" w:rsidR="00000000" w:rsidRPr="00000000">
        <w:rPr>
          <w:rtl w:val="0"/>
        </w:rPr>
        <w:t xml:space="preserve">6. Best practices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Liquibase dla wszystkiego</w:t>
      </w:r>
      <w:r w:rsidDel="00000000" w:rsidR="00000000" w:rsidRPr="00000000">
        <w:rPr>
          <w:rtl w:val="0"/>
        </w:rPr>
        <w:t xml:space="preserve"> — żadnych ad-hoc DDL na produkcji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Indexing per query pattern</w:t>
      </w:r>
      <w:r w:rsidDel="00000000" w:rsidR="00000000" w:rsidRPr="00000000">
        <w:rPr>
          <w:rtl w:val="0"/>
        </w:rPr>
        <w:t xml:space="preserve"> — 4,1 mln faktur wymaga careful planu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Partycjonowanie</w:t>
      </w:r>
      <w:r w:rsidDel="00000000" w:rsidR="00000000" w:rsidRPr="00000000">
        <w:rPr>
          <w:rtl w:val="0"/>
        </w:rPr>
        <w:t xml:space="preserve"> — per okres + per biuro tenant_id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RLS dla shared schemas</w:t>
      </w:r>
      <w:r w:rsidDel="00000000" w:rsidR="00000000" w:rsidRPr="00000000">
        <w:rPr>
          <w:rtl w:val="0"/>
        </w:rPr>
        <w:t xml:space="preserve"> — RODO + audit trail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PII encryption at-rest</w:t>
      </w:r>
      <w:r w:rsidDel="00000000" w:rsidR="00000000" w:rsidRPr="00000000">
        <w:rPr>
          <w:rtl w:val="0"/>
        </w:rPr>
        <w:t xml:space="preserve"> — pgcrypto / column-level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Backup i restore tested monthly</w:t>
      </w:r>
      <w:r w:rsidDel="00000000" w:rsidR="00000000" w:rsidRPr="00000000">
        <w:rPr>
          <w:rtl w:val="0"/>
        </w:rPr>
        <w:t xml:space="preserve"> — biura księgowe nie tolerują utraty danych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Telemetria T+E first-class</w:t>
      </w:r>
      <w:r w:rsidDel="00000000" w:rsidR="00000000" w:rsidRPr="00000000">
        <w:rPr>
          <w:rtl w:val="0"/>
        </w:rPr>
        <w:t xml:space="preserve"> — bez tego VBP się sypie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Migration zero-downtime</w:t>
      </w:r>
      <w:r w:rsidDel="00000000" w:rsidR="00000000" w:rsidRPr="00000000">
        <w:rPr>
          <w:rtl w:val="0"/>
        </w:rPr>
        <w:t xml:space="preserve"> — biura pracują 6:00–22:00; nie ma okna serwisowego</w:t>
      </w:r>
    </w:p>
    <w:p w:rsidR="00000000" w:rsidDel="00000000" w:rsidP="00000000" w:rsidRDefault="00000000" w:rsidRPr="00000000" w14:paraId="00000085">
      <w:pPr>
        <w:pStyle w:val="Heading2"/>
        <w:rPr/>
      </w:pPr>
      <w:bookmarkStart w:colFirst="0" w:colLast="0" w:name="_9xgj68l5kj59" w:id="11"/>
      <w:bookmarkEnd w:id="11"/>
      <w:r w:rsidDel="00000000" w:rsidR="00000000" w:rsidRPr="00000000">
        <w:rPr>
          <w:rtl w:val="0"/>
        </w:rPr>
        <w:t xml:space="preserve">7. Powiązani agenci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Dominik</w:t>
      </w:r>
      <w:r w:rsidDel="00000000" w:rsidR="00000000" w:rsidRPr="00000000">
        <w:rPr>
          <w:rtl w:val="0"/>
        </w:rPr>
        <w:t xml:space="preserve"> — domain architecture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Sylwia</w:t>
      </w:r>
      <w:r w:rsidDel="00000000" w:rsidR="00000000" w:rsidRPr="00000000">
        <w:rPr>
          <w:rtl w:val="0"/>
        </w:rPr>
        <w:t xml:space="preserve"> — encryption, RODO, retention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Maksym</w:t>
      </w:r>
      <w:r w:rsidDel="00000000" w:rsidR="00000000" w:rsidRPr="00000000">
        <w:rPr>
          <w:rtl w:val="0"/>
        </w:rPr>
        <w:t xml:space="preserve"> — query performance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Maciej</w:t>
      </w:r>
      <w:r w:rsidDel="00000000" w:rsidR="00000000" w:rsidRPr="00000000">
        <w:rPr>
          <w:rtl w:val="0"/>
        </w:rPr>
        <w:t xml:space="preserve"> — implementacja DAO / repositories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Piotr</w:t>
      </w:r>
      <w:r w:rsidDel="00000000" w:rsidR="00000000" w:rsidRPr="00000000">
        <w:rPr>
          <w:rtl w:val="0"/>
        </w:rPr>
        <w:t xml:space="preserve"> — feature store dla agentów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