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9.png" ContentType="image/png"/>
  <Override PartName="/word/media/rId26.png" ContentType="image/png"/>
  <Override PartName="/word/media/rId46.jpg" ContentType="image/jpe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DSP_DNS_Book</w:t>
      </w:r>
    </w:p>
    <w:p>
      <w:pPr>
        <w:pStyle w:val="Author"/>
      </w:pPr>
      <w:r>
        <w:t xml:space="preserve">Michał</w:t>
      </w:r>
      <w:r>
        <w:t xml:space="preserve"> </w:t>
      </w:r>
      <w:r>
        <w:t xml:space="preserve">Lesiowski</w:t>
      </w:r>
    </w:p>
    <w:p>
      <w:pPr>
        <w:pStyle w:val="Date"/>
      </w:pPr>
      <w:r>
        <w:t xml:space="preserve">Invalid</w:t>
      </w:r>
      <w:r>
        <w:t xml:space="preserve"> </w:t>
      </w:r>
      <w:r>
        <w:t xml:space="preserve">Date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SourceCode"/>
      </w:pP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[1] 4.333333</w:t>
      </w:r>
    </w:p>
    <w:p>
      <w:pPr>
        <w:pStyle w:val="FirstParagraph"/>
      </w:pPr>
      <w:r>
        <w:t xml:space="preserve">Test test 123</w:t>
      </w:r>
    </w:p>
    <w:bookmarkEnd w:id="21"/>
    <w:bookmarkStart w:id="54" w:name="introduction"/>
    <w:p>
      <w:pPr>
        <w:pStyle w:val="Heading1"/>
      </w:pPr>
      <w:r>
        <w:t xml:space="preserve">1. Introduction</w:t>
      </w:r>
    </w:p>
    <w:p>
      <w:pPr>
        <w:pStyle w:val="FirstParagraph"/>
      </w:pPr>
      <w:r>
        <w:t xml:space="preserve">This is a book created from markdown and executable code.</w:t>
      </w:r>
    </w:p>
    <w:p>
      <w:pPr>
        <w:pStyle w:val="BodyText"/>
      </w:pPr>
      <w:r>
        <w:t xml:space="preserve">See</w:t>
      </w:r>
      <w:r>
        <w:t xml:space="preserve"> </w:t>
      </w:r>
      <w:r>
        <w:t xml:space="preserve">Knuth (1984)</w:t>
      </w:r>
      <w:r>
        <w:t xml:space="preserve"> </w:t>
      </w:r>
      <w:r>
        <w:t xml:space="preserve">for additional discussion of literate programming.</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Start w:id="22" w:name="rozdział-kolejny"/>
    <w:p>
      <w:pPr>
        <w:pStyle w:val="Heading2"/>
      </w:pPr>
      <w:r>
        <w:t xml:space="preserve">1.1 Rozdział kolejny</w:t>
      </w:r>
    </w:p>
    <w:p>
      <w:pPr>
        <w:pStyle w:val="FirstParagraph"/>
      </w:pPr>
      <w:r>
        <w:t xml:space="preserve">Test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Col1</w:t>
            </w:r>
          </w:p>
        </w:tc>
        <w:tc>
          <w:tcPr/>
          <w:p>
            <w:pPr>
              <w:pStyle w:val="Compact"/>
              <w:jc w:val="left"/>
            </w:pPr>
            <w:r>
              <w:t xml:space="preserve">Col2</w:t>
            </w:r>
          </w:p>
        </w:tc>
        <w:tc>
          <w:tcPr/>
          <w:p>
            <w:pPr>
              <w:pStyle w:val="Compact"/>
              <w:jc w:val="left"/>
            </w:pPr>
            <w:r>
              <w:t xml:space="preserve">Col3</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3</w:t>
            </w:r>
          </w:p>
        </w:tc>
      </w:tr>
    </w:tbl>
    <w:bookmarkEnd w:id="22"/>
    <w:bookmarkStart w:id="53" w:name="rozdział-drugi"/>
    <w:p>
      <w:pPr>
        <w:pStyle w:val="Heading2"/>
      </w:pPr>
      <w:r>
        <w:t xml:space="preserve">1.2 Rozdział drugi</w:t>
      </w:r>
    </w:p>
    <w:p>
      <w:pPr>
        <w:pStyle w:val="FirstParagraph"/>
      </w:pPr>
      <w:r>
        <w:t xml:space="preserve">Drugi rozdział</w:t>
      </w:r>
    </w:p>
    <w:bookmarkStart w:id="35" w:name="trzeci-podrozdział"/>
    <w:p>
      <w:pPr>
        <w:pStyle w:val="Heading3"/>
      </w:pPr>
      <w:r>
        <w:t xml:space="preserve">1.2.1 Trzeci podrozdział</w:t>
      </w:r>
    </w:p>
    <w:p>
      <w:pPr>
        <w:pStyle w:val="FirstParagraph"/>
      </w:pPr>
      <w:r>
        <w:t xml:space="preserve">Trzeci itd..</w:t>
      </w:r>
      <w:r>
        <w:t xml:space="preserve"> </w:t>
      </w:r>
      <w:r>
        <w:t xml:space="preserve">You can also do this on a per-format basis (if for example you want to provide a higher resolution image for EPUB and a lower resolution image for HTML to reduce download time). For example:</w:t>
      </w:r>
    </w:p>
    <w:p>
      <w:pPr>
        <w:pStyle w:val="BodyText"/>
      </w:pPr>
      <w:r>
        <w:t xml:space="preserve">By</w:t>
      </w:r>
      <w:r>
        <w:t xml:space="preserve"> </w:t>
      </w:r>
      <w:r>
        <w:t xml:space="preserve">“</w:t>
      </w:r>
      <w:r>
        <w:t xml:space="preserve">right format</w:t>
      </w:r>
      <w:r>
        <w:t xml:space="preserve">”</w:t>
      </w:r>
      <w:r>
        <w:t xml:space="preserve">, we mean that the data is tidy, and ready to be summarised and graphed.</w:t>
      </w:r>
    </w:p>
    <w:p>
      <w:pPr>
        <w:pStyle w:val="BodyText"/>
      </w:pPr>
      <w:r>
        <w:t xml:space="preserve">Quarto Pub is a free publishing service for content created with Quarto. Quarto Pub is ideal for blogs, course or project websites, books, presentations, and personal hobby sites.</w:t>
      </w:r>
    </w:p>
    <w:p>
      <w:pPr>
        <w:pStyle w:val="BodyText"/>
      </w:pPr>
      <w:r>
        <w:t xml:space="preserve">It’s important to note that all documents and sites published to Quarto Pub are publicly visible. You should only publish content you wish to share publicly.</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michallesiowski\AppData\Local\Programs\Quarto\share\formats\docx\caution.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Tu znajduje się zwijana sekcja w boxie callout typu caution</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michallesiowski\AppData\Local\Program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Altair is based on Vega-Lite, a high-level grammar of interactive graphics</w:t>
            </w:r>
          </w:p>
        </w:tc>
      </w:tr>
    </w:tbl>
    <w:p>
      <w:pPr>
        <w:pStyle w:val="BodyText"/>
      </w:pPr>
      <w:r>
        <w:t xml:space="preserve">Właściwe linki i tu przykładowy odnośnik do mojej [[books]] książek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C:\Users\michallesiowski\AppData\Local\Programs\Quarto\share\formats\docx\note.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tu znajduje się callout note</w:t>
            </w:r>
          </w:p>
        </w:tc>
      </w:tr>
    </w:tbl>
    <w:p>
      <w:pPr>
        <w:pStyle w:val="BlockText"/>
      </w:pPr>
      <w:r>
        <w:t xml:space="preserve">Cytacik lub wcięcie takie coś…</w:t>
      </w:r>
    </w:p>
    <w:p>
      <w:pPr>
        <w:pStyle w:val="FirstParagraph"/>
      </w:pPr>
      <w:r>
        <w:t xml:space="preserve">If you haven’t published to Quarto Pub before, the publish command will prompt you to authenticate. After confirming that you want to publish, your content will be rendered and deployed, and then a browser opened to view your site.</w:t>
      </w:r>
    </w:p>
    <w:p>
      <w:pPr>
        <w:pStyle w:val="BodyText"/>
      </w:pPr>
      <w:r>
        <w:t xml:space="preserve">A jeśli chcemy umieścić kod to możemy to zrobić przy użyciu takiej dyrektywy jak poniżej. Może być ona też zwijana i rozwijana. To się określa w konigu yaml/</w:t>
      </w:r>
    </w:p>
    <w:p>
      <w:pPr>
        <w:pStyle w:val="SourceCode"/>
      </w:pPr>
      <w:r>
        <w:rPr>
          <w:rStyle w:val="FunctionTok"/>
        </w:rPr>
        <w:t xml:space="preserve">library</w:t>
      </w:r>
      <w:r>
        <w:rPr>
          <w:rStyle w:val="NormalTok"/>
        </w:rPr>
        <w:t xml:space="preserve">(tidyverse)</w:t>
      </w:r>
      <w:r>
        <w:br/>
      </w: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'https://raw.githubusercontent.com/rfordatascience/tidytuesday/master/data/2020/2020-07-28/penguins.csv'</w:t>
      </w:r>
      <w:r>
        <w:rPr>
          <w:rStyle w:val="NormalTok"/>
        </w:rPr>
        <w:t xml:space="preserve">)</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1  Adelie Torgersen           39.1          18.7               181        3750</w:t>
      </w:r>
      <w:r>
        <w:br/>
      </w:r>
      <w:r>
        <w:rPr>
          <w:rStyle w:val="VerbatimChar"/>
        </w:rPr>
        <w:t xml:space="preserve">2  Adelie Torgersen           39.5          17.4               186        3800</w:t>
      </w:r>
      <w:r>
        <w:br/>
      </w:r>
      <w:r>
        <w:rPr>
          <w:rStyle w:val="VerbatimChar"/>
        </w:rPr>
        <w:t xml:space="preserve">3  Adelie Torgersen           40.3          18.0               195        3250</w:t>
      </w:r>
      <w:r>
        <w:br/>
      </w:r>
      <w:r>
        <w:rPr>
          <w:rStyle w:val="VerbatimChar"/>
        </w:rPr>
        <w:t xml:space="preserve">4  Adelie Torgersen           36.7          19.3               193        3450</w:t>
      </w:r>
      <w:r>
        <w:br/>
      </w:r>
      <w:r>
        <w:rPr>
          <w:rStyle w:val="VerbatimChar"/>
        </w:rPr>
        <w:t xml:space="preserve">5  Adelie Torgersen           39.3          20.6               190        3650</w:t>
      </w:r>
      <w:r>
        <w:br/>
      </w:r>
      <w:r>
        <w:rPr>
          <w:rStyle w:val="VerbatimChar"/>
        </w:rPr>
        <w:t xml:space="preserve">6  Adelie Torgersen           38.9          17.8               181        3625</w:t>
      </w:r>
      <w:r>
        <w:br/>
      </w:r>
      <w:r>
        <w:rPr>
          <w:rStyle w:val="VerbatimChar"/>
        </w:rPr>
        <w:t xml:space="preserve">     sex year</w:t>
      </w:r>
      <w:r>
        <w:br/>
      </w:r>
      <w:r>
        <w:rPr>
          <w:rStyle w:val="VerbatimChar"/>
        </w:rPr>
        <w:t xml:space="preserve">1   male 2007</w:t>
      </w:r>
      <w:r>
        <w:br/>
      </w:r>
      <w:r>
        <w:rPr>
          <w:rStyle w:val="VerbatimChar"/>
        </w:rPr>
        <w:t xml:space="preserve">2 female 2007</w:t>
      </w:r>
      <w:r>
        <w:br/>
      </w:r>
      <w:r>
        <w:rPr>
          <w:rStyle w:val="VerbatimChar"/>
        </w:rPr>
        <w:t xml:space="preserve">3 female 2007</w:t>
      </w:r>
      <w:r>
        <w:br/>
      </w:r>
      <w:r>
        <w:rPr>
          <w:rStyle w:val="VerbatimChar"/>
        </w:rPr>
        <w:t xml:space="preserve">4 female 2007</w:t>
      </w:r>
      <w:r>
        <w:br/>
      </w:r>
      <w:r>
        <w:rPr>
          <w:rStyle w:val="VerbatimChar"/>
        </w:rPr>
        <w:t xml:space="preserve">5   male 2007</w:t>
      </w:r>
      <w:r>
        <w:br/>
      </w:r>
      <w:r>
        <w:rPr>
          <w:rStyle w:val="VerbatimChar"/>
        </w:rPr>
        <w:t xml:space="preserve">6 female 2007</w:t>
      </w:r>
    </w:p>
    <w:p>
      <w:pPr>
        <w:pStyle w:val="FirstParagraph"/>
      </w:pPr>
      <w:r>
        <w:t xml:space="preserve">We’ve removed missing values here, which means that the data has 333 rows now[^1]. Ten indeks górny przypis ^1 coś nie chce zabanglać</w:t>
      </w:r>
    </w:p>
    <w:p>
      <w:pPr>
        <w:pStyle w:val="BodyText"/>
      </w:pPr>
      <w:r>
        <w:t xml:space="preserve">If you have an existing Quarto Pub site that you want to publish to, you should manually create a _publish.yml file that looks like the example above, but with the appropriate id and url values for your site.</w:t>
      </w:r>
    </w:p>
    <w:p>
      <w:pPr>
        <w:pStyle w:val="CaptionedFigure"/>
      </w:pPr>
      <w:r>
        <w:drawing>
          <wp:inline>
            <wp:extent cx="2857500" cy="1158986"/>
            <wp:effectExtent b="0" l="0" r="0" t="0"/>
            <wp:docPr descr="Właściwy opis wykresu" title="" id="33" name="Picture"/>
            <a:graphic>
              <a:graphicData uri="http://schemas.openxmlformats.org/drawingml/2006/picture">
                <pic:pic>
                  <pic:nvPicPr>
                    <pic:cNvPr descr="graph1.png" id="34" name="Picture"/>
                    <pic:cNvPicPr>
                      <a:picLocks noChangeArrowheads="1" noChangeAspect="1"/>
                    </pic:cNvPicPr>
                  </pic:nvPicPr>
                  <pic:blipFill>
                    <a:blip r:embed="rId32"/>
                    <a:stretch>
                      <a:fillRect/>
                    </a:stretch>
                  </pic:blipFill>
                  <pic:spPr bwMode="auto">
                    <a:xfrm>
                      <a:off x="0" y="0"/>
                      <a:ext cx="2857500" cy="1158986"/>
                    </a:xfrm>
                    <a:prstGeom prst="rect">
                      <a:avLst/>
                    </a:prstGeom>
                    <a:noFill/>
                    <a:ln w="9525">
                      <a:noFill/>
                      <a:headEnd/>
                      <a:tailEnd/>
                    </a:ln>
                  </pic:spPr>
                </pic:pic>
              </a:graphicData>
            </a:graphic>
          </wp:inline>
        </w:drawing>
      </w:r>
    </w:p>
    <w:p>
      <w:pPr>
        <w:pStyle w:val="ImageCaption"/>
      </w:pPr>
      <w:r>
        <w:t xml:space="preserve">Właściwy opis wykresu</w:t>
      </w:r>
    </w:p>
    <w:bookmarkEnd w:id="35"/>
    <w:bookmarkStart w:id="43" w:name="podział-na-dwie-kolumny"/>
    <w:p>
      <w:pPr>
        <w:pStyle w:val="Heading3"/>
      </w:pPr>
      <w:r>
        <w:t xml:space="preserve">1.2.2 Podział na dwie kolumny</w:t>
      </w:r>
    </w:p>
    <w:p>
      <w:pPr>
        <w:pStyle w:val="FirstParagraph"/>
      </w:pPr>
      <w:r>
        <w:t xml:space="preserve">Poniżej demo jak podzielić przestrzeń na 2 kolumny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38" w:name="fig-obraz1"/>
                <w:p>
                  <w:pPr>
                    <w:pStyle w:val="Compact"/>
                    <w:jc w:val="center"/>
                    <w:jc w:val="left"/>
                  </w:pPr>
                  <w:r>
                    <w:drawing>
                      <wp:inline>
                        <wp:extent cx="2857500" cy="1158986"/>
                        <wp:effectExtent b="0" l="0" r="0" t="0"/>
                        <wp:docPr descr="" title="" id="36" name="Picture"/>
                        <a:graphic>
                          <a:graphicData uri="http://schemas.openxmlformats.org/drawingml/2006/picture">
                            <pic:pic>
                              <pic:nvPicPr>
                                <pic:cNvPr descr="graph1.png" id="37" name="Picture"/>
                                <pic:cNvPicPr>
                                  <a:picLocks noChangeArrowheads="1" noChangeAspect="1"/>
                                </pic:cNvPicPr>
                              </pic:nvPicPr>
                              <pic:blipFill>
                                <a:blip r:embed="rId32"/>
                                <a:stretch>
                                  <a:fillRect/>
                                </a:stretch>
                              </pic:blipFill>
                              <pic:spPr bwMode="auto">
                                <a:xfrm>
                                  <a:off x="0" y="0"/>
                                  <a:ext cx="2857500" cy="11589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1.1: Właściwy opis wykresu</w:t>
                  </w:r>
                </w:p>
                <w:bookmarkEnd w:id="38"/>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42" w:name="fig-obraz2"/>
                <w:p>
                  <w:pPr>
                    <w:pStyle w:val="Compact"/>
                    <w:jc w:val="center"/>
                    <w:jc w:val="left"/>
                  </w:pPr>
                  <w:r>
                    <w:drawing>
                      <wp:inline>
                        <wp:extent cx="2857500" cy="2041071"/>
                        <wp:effectExtent b="0" l="0" r="0" t="0"/>
                        <wp:docPr descr="" title="" id="40" name="Picture"/>
                        <a:graphic>
                          <a:graphicData uri="http://schemas.openxmlformats.org/drawingml/2006/picture">
                            <pic:pic>
                              <pic:nvPicPr>
                                <pic:cNvPr descr="graph2.png" id="41" name="Picture"/>
                                <pic:cNvPicPr>
                                  <a:picLocks noChangeArrowheads="1" noChangeAspect="1"/>
                                </pic:cNvPicPr>
                              </pic:nvPicPr>
                              <pic:blipFill>
                                <a:blip r:embed="rId39"/>
                                <a:stretch>
                                  <a:fillRect/>
                                </a:stretch>
                              </pic:blipFill>
                              <pic:spPr bwMode="auto">
                                <a:xfrm>
                                  <a:off x="0" y="0"/>
                                  <a:ext cx="2857500" cy="204107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1.2: Właściwy opis wykresu</w:t>
                  </w:r>
                </w:p>
                <w:bookmarkEnd w:id="42"/>
              </w:tc>
            </w:tr>
          </w:tbl>
          <w:p/>
        </w:tc>
      </w:tr>
    </w:tbl>
    <w:p>
      <w:pPr>
        <w:pStyle w:val="BodyText"/>
      </w:pPr>
      <w:r>
        <w:t xml:space="preserve">The average bill length is 43.9927928 mm and the average bill depth is 17.1648649 mm.</w:t>
      </w:r>
    </w:p>
    <w:p>
      <w:pPr>
        <w:pStyle w:val="BodyText"/>
      </w:pPr>
      <w:r>
        <w:t xml:space="preserve">The data was collected between 2007 and 2009</w:t>
      </w:r>
    </w:p>
    <w:bookmarkEnd w:id="43"/>
    <w:bookmarkStart w:id="45" w:name="zewnętrzne-źródło"/>
    <w:p>
      <w:pPr>
        <w:pStyle w:val="Heading3"/>
      </w:pPr>
      <w:r>
        <w:t xml:space="preserve">1.2.3 Zewnętrzne źródło</w:t>
      </w:r>
    </w:p>
    <w:tbl>
      <w:tblPr>
        <w:tblStyle w:val="Table"/>
        <w:tblW w:type="pct" w:w="5000"/>
        <w:tblLayout w:type="fixed"/>
        <w:tblLook w:firstRow="0" w:lastRow="0" w:firstColumn="0" w:lastColumn="0" w:noHBand="0" w:noVBand="0" w:val="0000"/>
      </w:tblPr>
      <w:tblGrid>
        <w:gridCol w:w="7920"/>
      </w:tblGrid>
      <w:tr>
        <w:tc>
          <w:tcPr/>
          <w:bookmarkStart w:id="44" w:name="fig-elephant"/>
          <w:p>
            <w:pPr>
              <w:jc w:val="center"/>
            </w:pPr>
            <w:pPr>
              <w:jc w:val="start"/>
              <w:spacing w:before="200"/>
              <w:pStyle w:val="ImageCaption"/>
            </w:pPr>
            <w:r>
              <w:t xml:space="preserve">Figure 1.3: Elephant</w:t>
            </w:r>
          </w:p>
          <w:bookmarkEnd w:id="44"/>
        </w:tc>
      </w:tr>
    </w:tbl>
    <w:bookmarkEnd w:id="45"/>
    <w:bookmarkStart w:id="49" w:name="dyrektywa-na-całą-szerokość"/>
    <w:p>
      <w:pPr>
        <w:pStyle w:val="Heading3"/>
      </w:pPr>
      <w:r>
        <w:t xml:space="preserve">1.2.4 Dyrektywa na całą szerokość</w:t>
      </w:r>
    </w:p>
    <w:p>
      <w:pPr>
        <w:pStyle w:val="FirstParagraph"/>
      </w:pPr>
      <w:r>
        <w:drawing>
          <wp:inline>
            <wp:extent cx="5334000" cy="3556308"/>
            <wp:effectExtent b="0" l="0" r="0" t="0"/>
            <wp:docPr descr="" title="" id="47" name="Picture"/>
            <a:graphic>
              <a:graphicData uri="http://schemas.openxmlformats.org/drawingml/2006/picture">
                <pic:pic>
                  <pic:nvPicPr>
                    <pic:cNvPr descr="elephant.jpg" id="48" name="Picture"/>
                    <pic:cNvPicPr>
                      <a:picLocks noChangeArrowheads="1" noChangeAspect="1"/>
                    </pic:cNvPicPr>
                  </pic:nvPicPr>
                  <pic:blipFill>
                    <a:blip r:embed="rId46"/>
                    <a:stretch>
                      <a:fillRect/>
                    </a:stretch>
                  </pic:blipFill>
                  <pic:spPr bwMode="auto">
                    <a:xfrm>
                      <a:off x="0" y="0"/>
                      <a:ext cx="5334000" cy="3556308"/>
                    </a:xfrm>
                    <a:prstGeom prst="rect">
                      <a:avLst/>
                    </a:prstGeom>
                    <a:noFill/>
                    <a:ln w="9525">
                      <a:noFill/>
                      <a:headEnd/>
                      <a:tailEnd/>
                    </a:ln>
                  </pic:spPr>
                </pic:pic>
              </a:graphicData>
            </a:graphic>
          </wp:inline>
        </w:drawing>
      </w:r>
    </w:p>
    <w:bookmarkEnd w:id="49"/>
    <w:bookmarkStart w:id="52" w:name="dyrektywa-na-całe-okno"/>
    <w:p>
      <w:pPr>
        <w:pStyle w:val="Heading3"/>
      </w:pPr>
      <w:r>
        <w:t xml:space="preserve">1.2.5 Dyrektywa na całe okno</w:t>
      </w:r>
    </w:p>
    <w:p>
      <w:pPr>
        <w:pStyle w:val="CaptionedFigure"/>
      </w:pPr>
      <w:r>
        <w:drawing>
          <wp:inline>
            <wp:extent cx="5334000" cy="3556308"/>
            <wp:effectExtent b="0" l="0" r="0" t="0"/>
            <wp:docPr descr="A full screen image" title="" id="50" name="Picture"/>
            <a:graphic>
              <a:graphicData uri="http://schemas.openxmlformats.org/drawingml/2006/picture">
                <pic:pic>
                  <pic:nvPicPr>
                    <pic:cNvPr descr="elephant.jpg" id="51" name="Picture"/>
                    <pic:cNvPicPr>
                      <a:picLocks noChangeArrowheads="1" noChangeAspect="1"/>
                    </pic:cNvPicPr>
                  </pic:nvPicPr>
                  <pic:blipFill>
                    <a:blip r:embed="rId46"/>
                    <a:stretch>
                      <a:fillRect/>
                    </a:stretch>
                  </pic:blipFill>
                  <pic:spPr bwMode="auto">
                    <a:xfrm>
                      <a:off x="0" y="0"/>
                      <a:ext cx="5334000" cy="3556308"/>
                    </a:xfrm>
                    <a:prstGeom prst="rect">
                      <a:avLst/>
                    </a:prstGeom>
                    <a:noFill/>
                    <a:ln w="9525">
                      <a:noFill/>
                      <a:headEnd/>
                      <a:tailEnd/>
                    </a:ln>
                  </pic:spPr>
                </pic:pic>
              </a:graphicData>
            </a:graphic>
          </wp:inline>
        </w:drawing>
      </w:r>
    </w:p>
    <w:p>
      <w:pPr>
        <w:pStyle w:val="ImageCaption"/>
      </w:pPr>
      <w:r>
        <w:t xml:space="preserve">A full screen image</w:t>
      </w:r>
    </w:p>
    <w:p>
      <w:pPr>
        <w:pStyle w:val="BodyText"/>
      </w:pPr>
      <w:r>
        <w:t xml:space="preserve">Dodatkowo szerokości</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mtcars[</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w:t>
      </w:r>
    </w:p>
    <w:tbl>
      <w:tblPr>
        <w:tblStyle w:val="Table"/>
        <w:tblW w:type="pct" w:w="5000"/>
        <w:tblLayout w:type="fixed"/>
        <w:tblLook w:firstRow="1" w:lastRow="0" w:firstColumn="0" w:lastColumn="0" w:noHBand="0" w:noVBand="0" w:val="0020"/>
      </w:tblPr>
      <w:tblGrid>
        <w:gridCol w:w="2227"/>
        <w:gridCol w:w="618"/>
        <w:gridCol w:w="495"/>
        <w:gridCol w:w="618"/>
        <w:gridCol w:w="495"/>
        <w:gridCol w:w="618"/>
        <w:gridCol w:w="742"/>
        <w:gridCol w:w="742"/>
        <w:gridCol w:w="371"/>
        <w:gridCol w:w="371"/>
        <w:gridCol w:w="618"/>
      </w:tblGrid>
      <w:tr>
        <w:trPr>
          <w:tblHeader w:val="on"/>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c>
          <w:tcPr/>
          <w:p>
            <w:pPr>
              <w:pStyle w:val="Compact"/>
              <w:jc w:val="right"/>
            </w:pPr>
            <w:r>
              <w:t xml:space="preserve">qsec</w:t>
            </w:r>
          </w:p>
        </w:tc>
        <w:tc>
          <w:tcPr/>
          <w:p>
            <w:pPr>
              <w:pStyle w:val="Compact"/>
              <w:jc w:val="right"/>
            </w:pPr>
            <w:r>
              <w:t xml:space="preserve">vs</w:t>
            </w:r>
          </w:p>
        </w:tc>
        <w:tc>
          <w:tcPr/>
          <w:p>
            <w:pPr>
              <w:pStyle w:val="Compact"/>
              <w:jc w:val="right"/>
            </w:pPr>
            <w:r>
              <w:t xml:space="preserve">am</w:t>
            </w:r>
          </w:p>
        </w:tc>
        <w:tc>
          <w:tcPr/>
          <w:p>
            <w:pPr>
              <w:pStyle w:val="Compact"/>
              <w:jc w:val="right"/>
            </w:pPr>
            <w:r>
              <w:t xml:space="preserve">gear</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c>
          <w:tcPr/>
          <w:p>
            <w:pPr>
              <w:pStyle w:val="Compact"/>
              <w:jc w:val="right"/>
            </w:pPr>
            <w:r>
              <w:t xml:space="preserve">16.46</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c>
          <w:tcPr/>
          <w:p>
            <w:pPr>
              <w:pStyle w:val="Compact"/>
              <w:jc w:val="right"/>
            </w:pPr>
            <w:r>
              <w:t xml:space="preserve">18.61</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c>
          <w:tcPr/>
          <w:p>
            <w:pPr>
              <w:pStyle w:val="Compact"/>
              <w:jc w:val="right"/>
            </w:pPr>
            <w:r>
              <w:t xml:space="preserve">19.44</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Valiant</w:t>
            </w:r>
          </w:p>
        </w:tc>
        <w:tc>
          <w:tcPr/>
          <w:p>
            <w:pPr>
              <w:pStyle w:val="Compact"/>
              <w:jc w:val="right"/>
            </w:pPr>
            <w:r>
              <w:t xml:space="preserve">18.1</w:t>
            </w:r>
          </w:p>
        </w:tc>
        <w:tc>
          <w:tcPr/>
          <w:p>
            <w:pPr>
              <w:pStyle w:val="Compact"/>
              <w:jc w:val="right"/>
            </w:pPr>
            <w:r>
              <w:t xml:space="preserve">6</w:t>
            </w:r>
          </w:p>
        </w:tc>
        <w:tc>
          <w:tcPr/>
          <w:p>
            <w:pPr>
              <w:pStyle w:val="Compact"/>
              <w:jc w:val="right"/>
            </w:pPr>
            <w:r>
              <w:t xml:space="preserve">225</w:t>
            </w:r>
          </w:p>
        </w:tc>
        <w:tc>
          <w:tcPr/>
          <w:p>
            <w:pPr>
              <w:pStyle w:val="Compact"/>
              <w:jc w:val="right"/>
            </w:pPr>
            <w:r>
              <w:t xml:space="preserve">105</w:t>
            </w:r>
          </w:p>
        </w:tc>
        <w:tc>
          <w:tcPr/>
          <w:p>
            <w:pPr>
              <w:pStyle w:val="Compact"/>
              <w:jc w:val="right"/>
            </w:pPr>
            <w:r>
              <w:t xml:space="preserve">2.76</w:t>
            </w:r>
          </w:p>
        </w:tc>
        <w:tc>
          <w:tcPr/>
          <w:p>
            <w:pPr>
              <w:pStyle w:val="Compact"/>
              <w:jc w:val="right"/>
            </w:pPr>
            <w:r>
              <w:t xml:space="preserve">3.460</w:t>
            </w:r>
          </w:p>
        </w:tc>
        <w:tc>
          <w:tcPr/>
          <w:p>
            <w:pPr>
              <w:pStyle w:val="Compact"/>
              <w:jc w:val="right"/>
            </w:pPr>
            <w:r>
              <w:t xml:space="preserve">20.22</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r>
    </w:tbl>
    <w:bookmarkEnd w:id="52"/>
    <w:bookmarkEnd w:id="53"/>
    <w:bookmarkEnd w:id="54"/>
    <w:bookmarkStart w:id="55" w:name="summary"/>
    <w:p>
      <w:pPr>
        <w:pStyle w:val="Heading1"/>
      </w:pPr>
      <w:r>
        <w:t xml:space="preserve">2.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55"/>
    <w:bookmarkStart w:id="59" w:name="references"/>
    <w:p>
      <w:pPr>
        <w:pStyle w:val="Heading1"/>
      </w:pPr>
      <w:r>
        <w:t xml:space="preserve">References</w:t>
      </w:r>
    </w:p>
    <w:bookmarkStart w:id="58" w:name="refs"/>
    <w:bookmarkStart w:id="57"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56">
        <w:r>
          <w:rPr>
            <w:rStyle w:val="Hyperlink"/>
          </w:rPr>
          <w:t xml:space="preserve">https://doi.org/10.1093/comjnl/27.2.97</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46" Target="media/rId46.jp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56" Target="https://doi.org/10.1093/comjnl/27.2.97" TargetMode="External" /><Relationship Type="http://schemas.openxmlformats.org/officeDocument/2006/relationships/hyperlink" Id="rId20" Target="https://quarto.org/docs/books"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93/comjnl/27.2.97" TargetMode="External" /><Relationship Type="http://schemas.openxmlformats.org/officeDocument/2006/relationships/hyperlink" Id="rId20" Target="https://quarto.org/docs/boo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DSP_DNS_Book</dc:title>
  <dc:creator>Michał Lesiowski</dc:creator>
  <cp:keywords/>
  <dcterms:created xsi:type="dcterms:W3CDTF">2024-09-18T12:57:13Z</dcterms:created>
  <dcterms:modified xsi:type="dcterms:W3CDTF">2024-09-18T12:57:13Z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Invalid Date</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