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E516B" w14:textId="77777777" w:rsidR="00A23396" w:rsidRPr="007E61E2" w:rsidRDefault="00C76279">
      <w:pPr>
        <w:spacing w:before="200" w:after="100"/>
        <w:jc w:val="center"/>
        <w:rPr>
          <w:color w:val="auto"/>
        </w:rPr>
      </w:pPr>
      <w:r w:rsidRPr="007E61E2">
        <w:rPr>
          <w:b/>
          <w:color w:val="auto"/>
          <w:sz w:val="40"/>
        </w:rPr>
        <w:t>Módulo 3</w:t>
      </w:r>
    </w:p>
    <w:p w14:paraId="025640F4" w14:textId="77777777" w:rsidR="00A23396" w:rsidRPr="007E61E2" w:rsidRDefault="00C76279">
      <w:pPr>
        <w:spacing w:after="200"/>
        <w:jc w:val="center"/>
        <w:rPr>
          <w:color w:val="auto"/>
        </w:rPr>
      </w:pPr>
      <w:r w:rsidRPr="007E61E2">
        <w:rPr>
          <w:b/>
          <w:color w:val="auto"/>
          <w:sz w:val="28"/>
        </w:rPr>
        <w:t>Ictus isquémico en paciente con enfermedad cardiovascular establecida y Lp(a) elevada: papel de las terapias emergentes y el ensayo HORIZON</w:t>
      </w:r>
    </w:p>
    <w:p w14:paraId="42068444" w14:textId="77777777" w:rsidR="00A23396" w:rsidRPr="007E61E2" w:rsidRDefault="00C76279">
      <w:pPr>
        <w:pStyle w:val="Ttulo1"/>
        <w:rPr>
          <w:color w:val="auto"/>
        </w:rPr>
      </w:pPr>
      <w:r w:rsidRPr="007E61E2">
        <w:rPr>
          <w:color w:val="auto"/>
        </w:rPr>
        <w:t>1. Presentación del caso</w:t>
      </w:r>
    </w:p>
    <w:p w14:paraId="0F0D0451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>Perfil del paciente</w:t>
      </w:r>
    </w:p>
    <w:p w14:paraId="016B5938" w14:textId="77777777" w:rsidR="00A23396" w:rsidRDefault="00C76279">
      <w:pPr>
        <w:numPr>
          <w:ilvl w:val="0"/>
          <w:numId w:val="2"/>
        </w:numPr>
        <w:spacing w:after="80"/>
      </w:pPr>
      <w:r>
        <w:t>Edad y sexo: Juan, varón de 55 años.</w:t>
      </w:r>
    </w:p>
    <w:p w14:paraId="0E4A58E4" w14:textId="77777777" w:rsidR="00A23396" w:rsidRDefault="00C76279">
      <w:pPr>
        <w:numPr>
          <w:ilvl w:val="0"/>
          <w:numId w:val="2"/>
        </w:numPr>
        <w:spacing w:after="80"/>
      </w:pPr>
      <w:r>
        <w:t>Peso, estatura: 74 kg, 167 cm (índice de masa corporal [IMC]: 26,5 kg/m²; sobrepeso).</w:t>
      </w:r>
    </w:p>
    <w:p w14:paraId="5540E85D" w14:textId="77777777" w:rsidR="00A23396" w:rsidRDefault="00C76279">
      <w:pPr>
        <w:numPr>
          <w:ilvl w:val="0"/>
          <w:numId w:val="2"/>
        </w:numPr>
        <w:spacing w:after="80"/>
      </w:pPr>
      <w:r>
        <w:t xml:space="preserve">Hábitos: exfumador desde hace </w:t>
      </w:r>
      <w:r w:rsidR="00701CDA">
        <w:t>3</w:t>
      </w:r>
      <w:r>
        <w:t xml:space="preserve"> años.</w:t>
      </w:r>
    </w:p>
    <w:p w14:paraId="361F0C58" w14:textId="77777777" w:rsidR="00A23396" w:rsidRDefault="00C76279">
      <w:pPr>
        <w:numPr>
          <w:ilvl w:val="0"/>
          <w:numId w:val="2"/>
        </w:numPr>
        <w:spacing w:after="80"/>
      </w:pPr>
      <w:r>
        <w:t>Ocupación: empresario.</w:t>
      </w:r>
    </w:p>
    <w:p w14:paraId="602951F3" w14:textId="77777777" w:rsidR="00A23396" w:rsidRDefault="00C76279">
      <w:pPr>
        <w:numPr>
          <w:ilvl w:val="0"/>
          <w:numId w:val="2"/>
        </w:numPr>
        <w:spacing w:after="80"/>
      </w:pPr>
      <w:r>
        <w:t>Estilo de vida: adherente a medicación y hábitos saludables, rehabilitación cardiaca completada.</w:t>
      </w:r>
    </w:p>
    <w:p w14:paraId="2C39CA25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>Historia médica</w:t>
      </w:r>
    </w:p>
    <w:p w14:paraId="400CB260" w14:textId="77777777" w:rsidR="00A23396" w:rsidRDefault="00C76279">
      <w:pPr>
        <w:numPr>
          <w:ilvl w:val="0"/>
          <w:numId w:val="2"/>
        </w:numPr>
        <w:spacing w:after="80"/>
      </w:pPr>
      <w:r>
        <w:t>Hipertensión arterial (HTA).</w:t>
      </w:r>
    </w:p>
    <w:p w14:paraId="4223EAE9" w14:textId="27A68F9F" w:rsidR="00A23396" w:rsidRDefault="00C76279">
      <w:pPr>
        <w:numPr>
          <w:ilvl w:val="0"/>
          <w:numId w:val="2"/>
        </w:numPr>
        <w:spacing w:after="80"/>
      </w:pPr>
      <w:r>
        <w:t>Infarto agudo de miocardio con elevación del segmento ST (IAMCEST) inferoposterior a los 52 años, con dos stents farmacoactivos en coronaria derecha y lesión moderada (50%) en arteria descendente anterior.</w:t>
      </w:r>
    </w:p>
    <w:p w14:paraId="76F7C4E8" w14:textId="22DE2B9E" w:rsidR="00A23396" w:rsidRDefault="00C76279" w:rsidP="00B20127">
      <w:pPr>
        <w:numPr>
          <w:ilvl w:val="0"/>
          <w:numId w:val="2"/>
        </w:numPr>
        <w:spacing w:after="80"/>
      </w:pPr>
      <w:r>
        <w:t>Síndrome coronario agudo sin elevación del segmento ST (SCASEST) a los 53 años, con revascularización de descendente anterior media</w:t>
      </w:r>
      <w:r w:rsidR="00B20127">
        <w:t xml:space="preserve"> y de la </w:t>
      </w:r>
      <w:r w:rsidR="00B20127" w:rsidRPr="00B20127">
        <w:t>primera rama diagonal</w:t>
      </w:r>
      <w:r w:rsidR="00B20127">
        <w:t xml:space="preserve"> (</w:t>
      </w:r>
      <w:r>
        <w:t>D1</w:t>
      </w:r>
      <w:r w:rsidR="00B20127">
        <w:t>)</w:t>
      </w:r>
      <w:r>
        <w:t>.</w:t>
      </w:r>
    </w:p>
    <w:p w14:paraId="1A49F770" w14:textId="436D03E4" w:rsidR="00A23396" w:rsidRDefault="00C76279">
      <w:pPr>
        <w:numPr>
          <w:ilvl w:val="0"/>
          <w:numId w:val="2"/>
        </w:numPr>
        <w:spacing w:after="80"/>
      </w:pPr>
      <w:r>
        <w:t xml:space="preserve">Enfermedad arterial periférica </w:t>
      </w:r>
      <w:r w:rsidR="00B20127">
        <w:t xml:space="preserve">(EAP) </w:t>
      </w:r>
      <w:r>
        <w:t>documentada</w:t>
      </w:r>
      <w:r w:rsidR="00701CDA">
        <w:t xml:space="preserve"> hace 2 años</w:t>
      </w:r>
      <w:r>
        <w:t xml:space="preserve"> (índice tobillo-brazo </w:t>
      </w:r>
      <w:r w:rsidR="00B20127">
        <w:t xml:space="preserve">[ITB] </w:t>
      </w:r>
      <w:r>
        <w:t>&lt;0,9).</w:t>
      </w:r>
    </w:p>
    <w:p w14:paraId="22A6409B" w14:textId="6D205161" w:rsidR="00A23396" w:rsidRDefault="00C76279">
      <w:pPr>
        <w:numPr>
          <w:ilvl w:val="0"/>
          <w:numId w:val="2"/>
        </w:numPr>
        <w:spacing w:after="80"/>
      </w:pPr>
      <w:r>
        <w:t xml:space="preserve">Dislipidemia con </w:t>
      </w:r>
      <w:r w:rsidR="00F40545">
        <w:t>lipoproteína(a) [</w:t>
      </w:r>
      <w:r>
        <w:t>Lp(a)</w:t>
      </w:r>
      <w:r w:rsidR="00F40545">
        <w:t>]</w:t>
      </w:r>
      <w:r>
        <w:t xml:space="preserve"> elevada (315 nmol/L en determinación</w:t>
      </w:r>
      <w:r w:rsidR="00701CDA">
        <w:t xml:space="preserve"> basal</w:t>
      </w:r>
      <w:r>
        <w:t>).</w:t>
      </w:r>
    </w:p>
    <w:p w14:paraId="5F0947A2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>Medicación actual</w:t>
      </w:r>
    </w:p>
    <w:p w14:paraId="020DFD14" w14:textId="7C3E13CF" w:rsidR="00A23396" w:rsidRDefault="00C76279">
      <w:pPr>
        <w:numPr>
          <w:ilvl w:val="0"/>
          <w:numId w:val="2"/>
        </w:numPr>
        <w:spacing w:after="80"/>
      </w:pPr>
      <w:r>
        <w:t>Ácido acetilsalicílico</w:t>
      </w:r>
      <w:r w:rsidR="00F40545">
        <w:t xml:space="preserve"> (AAS)</w:t>
      </w:r>
      <w:r>
        <w:t>: 100 mg/24 h.</w:t>
      </w:r>
    </w:p>
    <w:p w14:paraId="6DB298F7" w14:textId="77777777" w:rsidR="00A23396" w:rsidRDefault="00C76279">
      <w:pPr>
        <w:numPr>
          <w:ilvl w:val="0"/>
          <w:numId w:val="2"/>
        </w:numPr>
        <w:spacing w:after="80"/>
      </w:pPr>
      <w:r>
        <w:t>Ramipril: 5 mg/24 h.</w:t>
      </w:r>
    </w:p>
    <w:p w14:paraId="77A33E7B" w14:textId="77777777" w:rsidR="00A23396" w:rsidRDefault="00C76279">
      <w:pPr>
        <w:numPr>
          <w:ilvl w:val="0"/>
          <w:numId w:val="2"/>
        </w:numPr>
        <w:spacing w:after="80"/>
      </w:pPr>
      <w:r>
        <w:t>Atorvastatina/ezetimiba: 80/10 mg/24 h.</w:t>
      </w:r>
    </w:p>
    <w:p w14:paraId="4CA0E41A" w14:textId="77777777" w:rsidR="00A23396" w:rsidRDefault="00C76279">
      <w:pPr>
        <w:numPr>
          <w:ilvl w:val="0"/>
          <w:numId w:val="2"/>
        </w:numPr>
        <w:spacing w:after="80"/>
      </w:pPr>
      <w:r>
        <w:t>Semaglutida: 2,4 mg/semana.</w:t>
      </w:r>
    </w:p>
    <w:p w14:paraId="535B972E" w14:textId="77777777" w:rsidR="00A23396" w:rsidRDefault="00C76279">
      <w:pPr>
        <w:numPr>
          <w:ilvl w:val="0"/>
          <w:numId w:val="2"/>
        </w:numPr>
        <w:spacing w:after="80"/>
      </w:pPr>
      <w:r>
        <w:t>Inclisirán: dosis semestral (última dosis hace 3 meses)</w:t>
      </w:r>
      <w:r w:rsidR="00040D88">
        <w:t xml:space="preserve"> con buena tolerancia</w:t>
      </w:r>
      <w:r>
        <w:t>.</w:t>
      </w:r>
    </w:p>
    <w:p w14:paraId="7BC3A277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lastRenderedPageBreak/>
        <w:t>Motivo de consulta</w:t>
      </w:r>
    </w:p>
    <w:p w14:paraId="1B3C9882" w14:textId="5952805B" w:rsidR="00A23396" w:rsidRDefault="00C4001A">
      <w:r>
        <w:t>Juan acude al servicio de Urgencias del hospital acompañado por su esposa tras presentar</w:t>
      </w:r>
      <w:r w:rsidR="00F40545">
        <w:t>,</w:t>
      </w:r>
      <w:r w:rsidR="003811F1">
        <w:t xml:space="preserve"> </w:t>
      </w:r>
      <w:r w:rsidR="00B96FED">
        <w:t>3</w:t>
      </w:r>
      <w:r>
        <w:t xml:space="preserve"> horas antes, un cuadro de aparición brusca de </w:t>
      </w:r>
      <w:r w:rsidR="003811F1">
        <w:t>debilidad</w:t>
      </w:r>
      <w:r>
        <w:t xml:space="preserve"> en hemicuerpo </w:t>
      </w:r>
      <w:r w:rsidR="0097124C">
        <w:t>izquierdo</w:t>
      </w:r>
      <w:r>
        <w:t xml:space="preserve"> con </w:t>
      </w:r>
      <w:r w:rsidR="00036BA5">
        <w:t>inestabilidad</w:t>
      </w:r>
      <w:r>
        <w:t xml:space="preserve"> y leve confusión. Los síntomas se han mantenido estables desde </w:t>
      </w:r>
      <w:r w:rsidR="00036BA5">
        <w:t xml:space="preserve">el inicio. </w:t>
      </w:r>
      <w:r w:rsidR="00F40545">
        <w:t>No refiere</w:t>
      </w:r>
      <w:r w:rsidR="00036BA5">
        <w:t xml:space="preserve"> cefalea, pérdida de conocimiento ni</w:t>
      </w:r>
      <w:r>
        <w:t xml:space="preserve"> convulsiones.</w:t>
      </w:r>
      <w:r w:rsidR="00040D88">
        <w:t xml:space="preserve"> </w:t>
      </w:r>
      <w:r w:rsidR="00F40545">
        <w:t>Se le realiza un electrocardiograma (</w:t>
      </w:r>
      <w:r w:rsidR="00040D88">
        <w:t>ECG</w:t>
      </w:r>
      <w:r w:rsidR="00F40545">
        <w:t>) en el que</w:t>
      </w:r>
      <w:r w:rsidR="00040D88">
        <w:t xml:space="preserve"> se observa taquicardia sinusal. </w:t>
      </w:r>
    </w:p>
    <w:p w14:paraId="7EB36EA4" w14:textId="022980D3" w:rsidR="00A23396" w:rsidRDefault="00C76279">
      <w:r>
        <w:t xml:space="preserve">Dado su historial de enfermedad cardiovascular </w:t>
      </w:r>
      <w:r w:rsidR="0055077A">
        <w:t xml:space="preserve">(ECV) </w:t>
      </w:r>
      <w:r>
        <w:t xml:space="preserve">polivascular y Lp(a) elevada, la sospecha de ictus isquémico es alta. </w:t>
      </w:r>
    </w:p>
    <w:p w14:paraId="44A88B5B" w14:textId="77777777" w:rsidR="00A23396" w:rsidRPr="007E61E2" w:rsidRDefault="00C76279">
      <w:pPr>
        <w:pStyle w:val="Ttulo1"/>
        <w:rPr>
          <w:color w:val="auto"/>
        </w:rPr>
      </w:pPr>
      <w:r w:rsidRPr="007E61E2">
        <w:rPr>
          <w:color w:val="auto"/>
        </w:rPr>
        <w:t>2. Pruebas complementarias</w:t>
      </w:r>
    </w:p>
    <w:p w14:paraId="10F6EC9E" w14:textId="4D1306F0" w:rsidR="00A23396" w:rsidRPr="007E61E2" w:rsidRDefault="00C76279" w:rsidP="00F40545">
      <w:pPr>
        <w:pStyle w:val="Ttulo2"/>
        <w:rPr>
          <w:color w:val="auto"/>
        </w:rPr>
      </w:pPr>
      <w:r w:rsidRPr="007E61E2">
        <w:rPr>
          <w:color w:val="auto"/>
        </w:rPr>
        <w:t xml:space="preserve">Tomografía computarizada </w:t>
      </w:r>
      <w:r w:rsidR="00F40545" w:rsidRPr="007E61E2">
        <w:rPr>
          <w:color w:val="auto"/>
        </w:rPr>
        <w:t>(TC)</w:t>
      </w:r>
      <w:r w:rsidR="00F40545">
        <w:rPr>
          <w:color w:val="auto"/>
        </w:rPr>
        <w:t xml:space="preserve"> </w:t>
      </w:r>
      <w:r w:rsidRPr="007E61E2">
        <w:rPr>
          <w:color w:val="auto"/>
        </w:rPr>
        <w:t xml:space="preserve">craneal </w:t>
      </w:r>
    </w:p>
    <w:p w14:paraId="0E36C0C5" w14:textId="77777777" w:rsidR="00040D88" w:rsidRDefault="00040D88" w:rsidP="006641EA">
      <w:r w:rsidRPr="00040D88">
        <w:rPr>
          <w:noProof/>
        </w:rPr>
        <w:drawing>
          <wp:inline distT="0" distB="0" distL="0" distR="0" wp14:anchorId="0F9028B2" wp14:editId="261F727C">
            <wp:extent cx="3392170" cy="3177540"/>
            <wp:effectExtent l="0" t="0" r="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8ECC65C-925C-F22C-01EB-619E80369D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8ECC65C-925C-F22C-01EB-619E80369D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438" cy="31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7D3" w14:textId="171028D8" w:rsidR="00F86145" w:rsidRPr="00020024" w:rsidRDefault="00F86145">
      <w:pPr>
        <w:rPr>
          <w:color w:val="auto"/>
        </w:rPr>
      </w:pPr>
      <w:r w:rsidRPr="00020024">
        <w:rPr>
          <w:color w:val="auto"/>
        </w:rPr>
        <w:t>Figura 1</w:t>
      </w:r>
      <w:r w:rsidR="006641EA">
        <w:rPr>
          <w:color w:val="auto"/>
        </w:rPr>
        <w:t>.</w:t>
      </w:r>
      <w:r w:rsidRPr="00020024">
        <w:rPr>
          <w:color w:val="auto"/>
        </w:rPr>
        <w:t xml:space="preserve"> </w:t>
      </w:r>
      <w:r w:rsidR="006641EA">
        <w:t xml:space="preserve">TC craneal sin contraste: </w:t>
      </w:r>
      <w:r w:rsidR="009006D8">
        <w:t>ausencia de</w:t>
      </w:r>
      <w:r w:rsidR="006641EA">
        <w:t xml:space="preserve"> hemorragia intracraneal </w:t>
      </w:r>
      <w:r w:rsidR="009006D8">
        <w:t>y de</w:t>
      </w:r>
      <w:r w:rsidR="006641EA">
        <w:t xml:space="preserve"> signos de infarto agudo en territorio arterial definido</w:t>
      </w:r>
      <w:r w:rsidR="009006D8">
        <w:t>.</w:t>
      </w:r>
      <w:r w:rsidR="006641EA" w:rsidRPr="00020024">
        <w:rPr>
          <w:color w:val="auto"/>
        </w:rPr>
        <w:t xml:space="preserve"> </w:t>
      </w:r>
    </w:p>
    <w:p w14:paraId="15DDB267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>Angio-TC de vasos intracraneales y supraaórticos</w:t>
      </w:r>
    </w:p>
    <w:p w14:paraId="7511DC53" w14:textId="61FB9AEB" w:rsidR="00A23396" w:rsidRDefault="00036BA5">
      <w:r>
        <w:t xml:space="preserve">Lesión </w:t>
      </w:r>
      <w:r w:rsidR="00543E05">
        <w:t>grave (</w:t>
      </w:r>
      <w:r>
        <w:t>90%</w:t>
      </w:r>
      <w:r w:rsidR="00543E05">
        <w:t>)</w:t>
      </w:r>
      <w:r>
        <w:t xml:space="preserve"> </w:t>
      </w:r>
      <w:r w:rsidR="00543E05">
        <w:t xml:space="preserve">de la </w:t>
      </w:r>
      <w:r>
        <w:t>arteria car</w:t>
      </w:r>
      <w:r w:rsidR="0097124C">
        <w:t>ótida interna derecha</w:t>
      </w:r>
      <w:r w:rsidR="00C76279">
        <w:t>. Placas</w:t>
      </w:r>
      <w:r w:rsidR="0097124C">
        <w:t xml:space="preserve"> de ateroma en bulbo carotídeo izquierdo</w:t>
      </w:r>
      <w:r w:rsidR="00C76279">
        <w:t xml:space="preserve"> con estenosis &lt;50%. Signos de enfermedad aterosclerótica difusa en arco aórtico y arterias supraaórticas.</w:t>
      </w:r>
    </w:p>
    <w:p w14:paraId="4BC0ADD8" w14:textId="0C7308E8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 xml:space="preserve">Resonancia magnética (RM) </w:t>
      </w:r>
      <w:r w:rsidR="00543E05" w:rsidRPr="007E61E2">
        <w:rPr>
          <w:color w:val="auto"/>
        </w:rPr>
        <w:t xml:space="preserve">cerebral </w:t>
      </w:r>
      <w:r w:rsidRPr="007E61E2">
        <w:rPr>
          <w:color w:val="auto"/>
        </w:rPr>
        <w:t>a las 48 horas</w:t>
      </w:r>
    </w:p>
    <w:p w14:paraId="39DA06D2" w14:textId="34297676" w:rsidR="00A23396" w:rsidRDefault="00C76279">
      <w:r>
        <w:t xml:space="preserve">Infarto isquémico agudo </w:t>
      </w:r>
      <w:r w:rsidR="00036BA5">
        <w:t>hemisférico derecho de localización</w:t>
      </w:r>
      <w:r>
        <w:t xml:space="preserve"> subinsular y capsular </w:t>
      </w:r>
      <w:r w:rsidR="00543E05">
        <w:t xml:space="preserve">que se extiende </w:t>
      </w:r>
      <w:r>
        <w:t>a corona radiada. Sin transformación</w:t>
      </w:r>
      <w:r w:rsidR="003811F1">
        <w:t xml:space="preserve"> hemorrágica</w:t>
      </w:r>
      <w:r>
        <w:t xml:space="preserve">. Leucoaraiosis periventricular </w:t>
      </w:r>
      <w:r w:rsidR="003811F1">
        <w:t>ligera.</w:t>
      </w:r>
    </w:p>
    <w:p w14:paraId="69711567" w14:textId="77777777" w:rsidR="00036BA5" w:rsidRPr="007E61E2" w:rsidRDefault="00036BA5" w:rsidP="00036BA5">
      <w:pPr>
        <w:pStyle w:val="Ttulo2"/>
        <w:rPr>
          <w:color w:val="auto"/>
        </w:rPr>
      </w:pPr>
      <w:r w:rsidRPr="007E61E2">
        <w:rPr>
          <w:color w:val="auto"/>
        </w:rPr>
        <w:lastRenderedPageBreak/>
        <w:t>Revascularización</w:t>
      </w:r>
    </w:p>
    <w:p w14:paraId="641A8BC6" w14:textId="2E06CFF3" w:rsidR="00036BA5" w:rsidRDefault="00036BA5">
      <w:r>
        <w:t xml:space="preserve">Se realiza endarterectomía carotídea derecha emergente con buen resultado y sin complicaciones. </w:t>
      </w:r>
    </w:p>
    <w:p w14:paraId="7C446779" w14:textId="77777777" w:rsidR="00A23396" w:rsidRPr="007E61E2" w:rsidRDefault="00C76279">
      <w:pPr>
        <w:pStyle w:val="Ttulo2"/>
        <w:rPr>
          <w:color w:val="auto"/>
        </w:rPr>
      </w:pPr>
      <w:r w:rsidRPr="007E61E2">
        <w:rPr>
          <w:color w:val="auto"/>
        </w:rPr>
        <w:t>Analítica sanguínea</w:t>
      </w:r>
    </w:p>
    <w:p w14:paraId="67428E35" w14:textId="45F0FBB8" w:rsidR="00A23396" w:rsidRDefault="00C76279">
      <w:pPr>
        <w:numPr>
          <w:ilvl w:val="0"/>
          <w:numId w:val="2"/>
        </w:numPr>
        <w:spacing w:after="80"/>
      </w:pPr>
      <w:r>
        <w:t>Glucosa plasmática</w:t>
      </w:r>
      <w:r w:rsidR="00543E05">
        <w:t xml:space="preserve"> (GLU)</w:t>
      </w:r>
      <w:r>
        <w:t>: 98 mg/dL.</w:t>
      </w:r>
    </w:p>
    <w:p w14:paraId="7F566DD4" w14:textId="77777777" w:rsidR="00A23396" w:rsidRDefault="00C76279">
      <w:pPr>
        <w:numPr>
          <w:ilvl w:val="0"/>
          <w:numId w:val="2"/>
        </w:numPr>
        <w:spacing w:after="80"/>
      </w:pPr>
      <w:r>
        <w:t>Hemoglobina glicada (HbA1c): 5,8%.</w:t>
      </w:r>
    </w:p>
    <w:p w14:paraId="31C05168" w14:textId="77777777" w:rsidR="00A23396" w:rsidRDefault="00C76279">
      <w:pPr>
        <w:numPr>
          <w:ilvl w:val="0"/>
          <w:numId w:val="2"/>
        </w:numPr>
        <w:spacing w:after="80"/>
      </w:pPr>
      <w:r>
        <w:t>Colesterol total (CT): 10</w:t>
      </w:r>
      <w:r w:rsidR="00C52EB3">
        <w:t>1</w:t>
      </w:r>
      <w:r>
        <w:t xml:space="preserve"> mg/dL.</w:t>
      </w:r>
    </w:p>
    <w:p w14:paraId="39FFD222" w14:textId="77777777" w:rsidR="00A23396" w:rsidRDefault="00C76279">
      <w:pPr>
        <w:numPr>
          <w:ilvl w:val="0"/>
          <w:numId w:val="2"/>
        </w:numPr>
        <w:spacing w:after="80"/>
      </w:pPr>
      <w:r>
        <w:t xml:space="preserve">Triglicéridos (TG): </w:t>
      </w:r>
      <w:r w:rsidR="00C52EB3">
        <w:t>95</w:t>
      </w:r>
      <w:r>
        <w:t xml:space="preserve"> mg/dL.</w:t>
      </w:r>
    </w:p>
    <w:p w14:paraId="262D238B" w14:textId="35B25FF7" w:rsidR="00A23396" w:rsidRDefault="004C7002" w:rsidP="004C7002">
      <w:pPr>
        <w:numPr>
          <w:ilvl w:val="0"/>
          <w:numId w:val="2"/>
        </w:numPr>
        <w:spacing w:after="80"/>
      </w:pPr>
      <w:r w:rsidRPr="004C7002">
        <w:t xml:space="preserve">Colesterol unido a lipoproteínas de alta densidad </w:t>
      </w:r>
      <w:r w:rsidR="00C76279">
        <w:t>(cHDL): 40 mg/dL.</w:t>
      </w:r>
    </w:p>
    <w:p w14:paraId="2CB94006" w14:textId="1A0497D4" w:rsidR="00A23396" w:rsidRDefault="004C7002" w:rsidP="004C7002">
      <w:pPr>
        <w:numPr>
          <w:ilvl w:val="0"/>
          <w:numId w:val="2"/>
        </w:numPr>
        <w:spacing w:after="80"/>
      </w:pPr>
      <w:r w:rsidRPr="004C7002">
        <w:t xml:space="preserve">Colesterol unido a lipoproteínas de baja densidad </w:t>
      </w:r>
      <w:r w:rsidR="00C76279">
        <w:t xml:space="preserve">(cLDL): </w:t>
      </w:r>
      <w:r w:rsidR="00C52EB3">
        <w:t>41</w:t>
      </w:r>
      <w:r w:rsidR="00C76279">
        <w:t xml:space="preserve"> mg/dL.</w:t>
      </w:r>
    </w:p>
    <w:p w14:paraId="59D9E651" w14:textId="77777777" w:rsidR="00A23396" w:rsidRDefault="00C76279">
      <w:pPr>
        <w:numPr>
          <w:ilvl w:val="0"/>
          <w:numId w:val="2"/>
        </w:numPr>
        <w:spacing w:after="80"/>
      </w:pPr>
      <w:r>
        <w:t xml:space="preserve">Colesterol no-HDL: </w:t>
      </w:r>
      <w:r w:rsidR="00C52EB3">
        <w:t>70</w:t>
      </w:r>
      <w:r>
        <w:t xml:space="preserve"> mg/dL.</w:t>
      </w:r>
    </w:p>
    <w:p w14:paraId="17659DDA" w14:textId="3D4172E3" w:rsidR="00C52EB3" w:rsidRDefault="00C76279" w:rsidP="00C52EB3">
      <w:pPr>
        <w:numPr>
          <w:ilvl w:val="0"/>
          <w:numId w:val="2"/>
        </w:numPr>
        <w:spacing w:after="80"/>
      </w:pPr>
      <w:r>
        <w:t>Apolipoproteína B (</w:t>
      </w:r>
      <w:r w:rsidR="00FE2A54">
        <w:t>a</w:t>
      </w:r>
      <w:r>
        <w:t xml:space="preserve">poB): </w:t>
      </w:r>
      <w:r w:rsidR="00C52EB3">
        <w:t>46</w:t>
      </w:r>
      <w:r>
        <w:t xml:space="preserve"> mg/dL.</w:t>
      </w:r>
    </w:p>
    <w:p w14:paraId="3065614E" w14:textId="77777777" w:rsidR="00A23396" w:rsidRDefault="00C76279">
      <w:pPr>
        <w:numPr>
          <w:ilvl w:val="0"/>
          <w:numId w:val="2"/>
        </w:numPr>
        <w:spacing w:after="80"/>
      </w:pPr>
      <w:r>
        <w:t xml:space="preserve">TG/HDL: </w:t>
      </w:r>
      <w:r w:rsidR="00C52EB3">
        <w:t>2,3</w:t>
      </w:r>
      <w:r>
        <w:t>.</w:t>
      </w:r>
    </w:p>
    <w:p w14:paraId="3C52AE26" w14:textId="1122BB68" w:rsidR="00A23396" w:rsidRDefault="00543E05">
      <w:pPr>
        <w:numPr>
          <w:ilvl w:val="0"/>
          <w:numId w:val="2"/>
        </w:numPr>
        <w:spacing w:after="80"/>
      </w:pPr>
      <w:r>
        <w:t>Proteína C reactiva (</w:t>
      </w:r>
      <w:r w:rsidR="00C76279">
        <w:t>PCR</w:t>
      </w:r>
      <w:r>
        <w:t>)</w:t>
      </w:r>
      <w:r w:rsidR="00C76279">
        <w:t xml:space="preserve"> ultrasensible: 1,2 mg/L.</w:t>
      </w:r>
    </w:p>
    <w:p w14:paraId="4AEFC637" w14:textId="670470FD" w:rsidR="00A23396" w:rsidRPr="003811F1" w:rsidRDefault="00C76279">
      <w:pPr>
        <w:numPr>
          <w:ilvl w:val="0"/>
          <w:numId w:val="2"/>
        </w:numPr>
        <w:spacing w:after="80"/>
        <w:rPr>
          <w:lang w:val="it-IT"/>
        </w:rPr>
      </w:pPr>
      <w:r w:rsidRPr="003811F1">
        <w:rPr>
          <w:lang w:val="it-IT"/>
        </w:rPr>
        <w:t>Creatinina: 0,72 mg/dL (</w:t>
      </w:r>
      <w:r w:rsidR="00543E05" w:rsidRPr="00543E05">
        <w:rPr>
          <w:lang w:val="it-IT"/>
        </w:rPr>
        <w:t>tasa de filtrado glomerular [TFG] estimada mediante la ecuación Chronic Kidney Disease Epidemiology Collaboration [CKD-EPI])</w:t>
      </w:r>
      <w:r w:rsidRPr="003811F1">
        <w:rPr>
          <w:lang w:val="it-IT"/>
        </w:rPr>
        <w:t>: 98 mL/min/1,73 m²).</w:t>
      </w:r>
    </w:p>
    <w:p w14:paraId="6B9400B9" w14:textId="77777777" w:rsidR="00A456F2" w:rsidRDefault="00C76279">
      <w:pPr>
        <w:numPr>
          <w:ilvl w:val="0"/>
          <w:numId w:val="2"/>
        </w:numPr>
        <w:spacing w:after="80"/>
      </w:pPr>
      <w:r>
        <w:rPr>
          <w:rFonts w:cs="Calibri"/>
        </w:rPr>
        <w:t>Hemograma, coagulación, función hepática, ferrocinética y perfil tiroideo: normales.</w:t>
      </w:r>
    </w:p>
    <w:p w14:paraId="27ECA3C2" w14:textId="4341AA2D" w:rsidR="00A456F2" w:rsidRDefault="00C76279">
      <w:pPr>
        <w:numPr>
          <w:ilvl w:val="0"/>
          <w:numId w:val="2"/>
        </w:numPr>
        <w:spacing w:after="80"/>
      </w:pPr>
      <w:r>
        <w:rPr>
          <w:rFonts w:cs="Calibri"/>
        </w:rPr>
        <w:t xml:space="preserve">Lp(a) previa tras 1 mes </w:t>
      </w:r>
      <w:r w:rsidR="00543E05">
        <w:rPr>
          <w:rFonts w:cs="Calibri"/>
        </w:rPr>
        <w:t xml:space="preserve">de tratamiento con </w:t>
      </w:r>
      <w:r>
        <w:rPr>
          <w:rFonts w:cs="Calibri"/>
        </w:rPr>
        <w:t>inclisir</w:t>
      </w:r>
      <w:r w:rsidR="00543E05">
        <w:rPr>
          <w:rFonts w:cs="Calibri"/>
        </w:rPr>
        <w:t>á</w:t>
      </w:r>
      <w:r>
        <w:rPr>
          <w:rFonts w:cs="Calibri"/>
        </w:rPr>
        <w:t>n</w:t>
      </w:r>
      <w:r w:rsidR="00543E05">
        <w:rPr>
          <w:rFonts w:cs="Calibri"/>
        </w:rPr>
        <w:t>:</w:t>
      </w:r>
      <w:r>
        <w:rPr>
          <w:rFonts w:cs="Calibri"/>
        </w:rPr>
        <w:t xml:space="preserve"> 276 nmol/</w:t>
      </w:r>
      <w:r w:rsidR="00543E05">
        <w:rPr>
          <w:rFonts w:cs="Calibri"/>
        </w:rPr>
        <w:t>L</w:t>
      </w:r>
      <w:r>
        <w:rPr>
          <w:rFonts w:cs="Calibri"/>
        </w:rPr>
        <w:t>.</w:t>
      </w:r>
    </w:p>
    <w:p w14:paraId="3C530858" w14:textId="492A4A74" w:rsidR="00A456F2" w:rsidRDefault="00040D88">
      <w:pPr>
        <w:shd w:val="clear" w:color="auto" w:fill="D4E6F1"/>
        <w:spacing w:before="400" w:after="120"/>
        <w:ind w:left="200" w:right="200"/>
      </w:pPr>
      <w:r>
        <w:rPr>
          <w:rFonts w:cs="Calibri"/>
          <w:b/>
          <w:color w:val="1B4F72"/>
          <w:sz w:val="24"/>
        </w:rPr>
        <w:t xml:space="preserve">Pregunta 1. </w:t>
      </w:r>
      <w:r>
        <w:rPr>
          <w:rFonts w:cs="Calibri"/>
          <w:b/>
        </w:rPr>
        <w:t xml:space="preserve">Juan presenta </w:t>
      </w:r>
      <w:r w:rsidR="00036BA5">
        <w:rPr>
          <w:rFonts w:cs="Calibri"/>
          <w:b/>
        </w:rPr>
        <w:t>un ictus isquémico hemisférico derecho</w:t>
      </w:r>
      <w:r>
        <w:rPr>
          <w:rFonts w:cs="Calibri"/>
          <w:b/>
        </w:rPr>
        <w:t xml:space="preserve">. Dado que su Lp(a) fue </w:t>
      </w:r>
      <w:r w:rsidR="00EB1575">
        <w:rPr>
          <w:rFonts w:cs="Calibri"/>
          <w:b/>
        </w:rPr>
        <w:t xml:space="preserve">de </w:t>
      </w:r>
      <w:r>
        <w:rPr>
          <w:rFonts w:cs="Calibri"/>
          <w:b/>
        </w:rPr>
        <w:t xml:space="preserve">316 </w:t>
      </w:r>
      <w:r w:rsidR="00EB1575">
        <w:rPr>
          <w:rFonts w:cs="Calibri"/>
          <w:b/>
        </w:rPr>
        <w:t xml:space="preserve">nmol/L en situación basal </w:t>
      </w:r>
      <w:r>
        <w:rPr>
          <w:rFonts w:cs="Calibri"/>
          <w:b/>
        </w:rPr>
        <w:t>y</w:t>
      </w:r>
      <w:r w:rsidR="00EB1575">
        <w:rPr>
          <w:rFonts w:cs="Calibri"/>
          <w:b/>
        </w:rPr>
        <w:t>,</w:t>
      </w:r>
      <w:r>
        <w:rPr>
          <w:rFonts w:cs="Calibri"/>
          <w:b/>
        </w:rPr>
        <w:t xml:space="preserve"> tras </w:t>
      </w:r>
      <w:r w:rsidR="00EB1575">
        <w:rPr>
          <w:rFonts w:cs="Calibri"/>
          <w:b/>
        </w:rPr>
        <w:t xml:space="preserve">el </w:t>
      </w:r>
      <w:r>
        <w:rPr>
          <w:rFonts w:cs="Calibri"/>
          <w:b/>
        </w:rPr>
        <w:t>tratamiento</w:t>
      </w:r>
      <w:r w:rsidR="00EB1575">
        <w:rPr>
          <w:rFonts w:cs="Calibri"/>
          <w:b/>
        </w:rPr>
        <w:t>, descendió a</w:t>
      </w:r>
      <w:r>
        <w:rPr>
          <w:rFonts w:cs="Calibri"/>
          <w:b/>
        </w:rPr>
        <w:t xml:space="preserve"> 276 nmol/L (</w:t>
      </w:r>
      <w:r w:rsidR="00EB1575">
        <w:rPr>
          <w:rFonts w:cs="Calibri"/>
          <w:b/>
        </w:rPr>
        <w:t xml:space="preserve">todavía </w:t>
      </w:r>
      <w:r>
        <w:rPr>
          <w:rFonts w:cs="Calibri"/>
          <w:b/>
        </w:rPr>
        <w:t>muy elevada), ¿cuál es la relación más precisa entre la Lp(a) elevada y el riesgo de ictus isquémico?</w:t>
      </w:r>
    </w:p>
    <w:p w14:paraId="5873DAA7" w14:textId="4B5588A5" w:rsidR="00A456F2" w:rsidRDefault="00C76279">
      <w:pPr>
        <w:spacing w:before="100" w:after="60"/>
        <w:ind w:left="400"/>
      </w:pPr>
      <w:r>
        <w:rPr>
          <w:rFonts w:cs="Calibri"/>
          <w:b/>
        </w:rPr>
        <w:t>1)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La Lp(a) elevada aumenta el riesgo de ictus </w:t>
      </w:r>
      <w:r w:rsidR="00036BA5">
        <w:rPr>
          <w:rFonts w:cs="Calibri"/>
          <w:b/>
          <w:i/>
        </w:rPr>
        <w:t>aterotrombótico</w:t>
      </w:r>
      <w:r>
        <w:rPr>
          <w:rFonts w:cs="Calibri"/>
          <w:b/>
          <w:i/>
        </w:rPr>
        <w:t xml:space="preserve"> a través de mecanismos proaterogénicos y protrombóticos independientes del cLDL, con evidencia de causalidad respaldada por estudios de </w:t>
      </w:r>
      <w:r w:rsidR="00541CE9">
        <w:rPr>
          <w:rFonts w:cs="Calibri"/>
          <w:b/>
          <w:i/>
        </w:rPr>
        <w:t xml:space="preserve">aleatorización </w:t>
      </w:r>
      <w:r>
        <w:rPr>
          <w:rFonts w:cs="Calibri"/>
          <w:b/>
          <w:i/>
        </w:rPr>
        <w:t>mendeliana.</w:t>
      </w:r>
      <w:r w:rsidR="005357B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1E8449"/>
          <w:sz w:val="20"/>
        </w:rPr>
        <w:t>(+100 puntos)</w:t>
      </w:r>
    </w:p>
    <w:p w14:paraId="6F982BD5" w14:textId="3D9457FB" w:rsidR="00A456F2" w:rsidRDefault="00C76279">
      <w:pPr>
        <w:spacing w:before="100" w:after="60"/>
        <w:ind w:left="400"/>
      </w:pPr>
      <w:r>
        <w:rPr>
          <w:rFonts w:cs="Calibri"/>
          <w:b/>
        </w:rPr>
        <w:t>2)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>La Lp(a) elevada es un marcador de riesgo</w:t>
      </w:r>
      <w:r w:rsidR="005357BA">
        <w:rPr>
          <w:rFonts w:cs="Calibri"/>
          <w:b/>
          <w:i/>
        </w:rPr>
        <w:t>,</w:t>
      </w:r>
      <w:r>
        <w:rPr>
          <w:rFonts w:cs="Calibri"/>
          <w:b/>
          <w:i/>
        </w:rPr>
        <w:t xml:space="preserve"> pero no ha demostrado ser un factor causal de ictus; el riesgo real viene determinado exclusivamente por los niveles de cLDL y la presencia añadida de HTA.</w:t>
      </w:r>
      <w:r w:rsidR="005357B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42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3BD66B30" w14:textId="3B6CB408" w:rsidR="00A456F2" w:rsidRDefault="00C76279">
      <w:pPr>
        <w:spacing w:before="100" w:after="60"/>
        <w:ind w:left="400"/>
      </w:pPr>
      <w:r>
        <w:rPr>
          <w:rFonts w:cs="Calibri"/>
          <w:b/>
        </w:rPr>
        <w:t>3)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>La relación entre Lp(a) e ictus solo existe en pacientes con hipercolesterolemia familiar</w:t>
      </w:r>
      <w:r w:rsidR="001D6223"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o niveles residuales de cLDL &gt;100 mg/dL.</w:t>
      </w:r>
      <w:r w:rsidR="005357B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33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2BDADDFD" w14:textId="65346DB5" w:rsidR="00A456F2" w:rsidRDefault="00C76279" w:rsidP="00BC4DAE">
      <w:pPr>
        <w:spacing w:before="100" w:after="60"/>
        <w:ind w:left="400"/>
        <w:jc w:val="left"/>
      </w:pPr>
      <w:r>
        <w:rPr>
          <w:rFonts w:cs="Calibri"/>
          <w:b/>
        </w:rPr>
        <w:t>4)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>La Lp(a) se asocia con ictus cardioembólico por su similitud estructural con el plasminógeno, independientemente de su relación con la enfermedad aterosclerótica intracraneal.</w:t>
      </w:r>
      <w:r w:rsidR="005357B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25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06830CAE" w14:textId="77777777" w:rsidR="00A456F2" w:rsidRDefault="00C76279">
      <w:pPr>
        <w:spacing w:before="100" w:after="60"/>
      </w:pPr>
      <w:r>
        <w:rPr>
          <w:rFonts w:cs="Calibri"/>
          <w:b/>
          <w:color w:val="1B4F72"/>
        </w:rPr>
        <w:t>Respuestas:</w:t>
      </w:r>
    </w:p>
    <w:p w14:paraId="6C8A138C" w14:textId="7B7EAFB8" w:rsidR="00A456F2" w:rsidRDefault="00C76279">
      <w:pPr>
        <w:spacing w:before="80" w:after="60"/>
        <w:ind w:left="200"/>
      </w:pPr>
      <w:r>
        <w:rPr>
          <w:rFonts w:cs="Calibri"/>
          <w:b/>
          <w:color w:val="1E8449"/>
        </w:rPr>
        <w:t>1) CORRECTA</w:t>
      </w:r>
      <w:r w:rsidR="00B96FED">
        <w:rPr>
          <w:rFonts w:cs="Calibri"/>
          <w:b/>
          <w:color w:val="1E8449"/>
        </w:rPr>
        <w:t xml:space="preserve"> </w:t>
      </w:r>
      <w:r>
        <w:rPr>
          <w:rFonts w:cs="Calibri"/>
          <w:b/>
          <w:color w:val="1E8449"/>
          <w:sz w:val="20"/>
        </w:rPr>
        <w:t>[+100 puntos]</w:t>
      </w:r>
    </w:p>
    <w:p w14:paraId="081CE5BD" w14:textId="5065EBCE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lastRenderedPageBreak/>
        <w:t>La Lp(a) es un factor de riesgo causal e independiente para el ictus isquémico atero</w:t>
      </w:r>
      <w:r w:rsidR="00036BA5">
        <w:rPr>
          <w:rFonts w:cs="Calibri"/>
          <w:color w:val="auto"/>
          <w:sz w:val="20"/>
        </w:rPr>
        <w:t>trombótico</w:t>
      </w:r>
      <w:r w:rsidRPr="00B96FED">
        <w:rPr>
          <w:rFonts w:cs="Calibri"/>
          <w:color w:val="auto"/>
          <w:sz w:val="20"/>
          <w:vertAlign w:val="superscript"/>
        </w:rPr>
        <w:t>1-3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Los mecanismos implicados incluyen: 1) aterogénesis acelerada por transporte de fosfolípidos oxidados (OxPL) a la pared vascular; 2) inhibición competitiva de la activación del plasminógeno, con efecto protrombótico; 3) inflamación vascular mediada por citoquinas proinflamatorias (IL-1β, TNF-α); y 4) expresión de moléculas de adhesión (ICAM-1, VCAM-1)</w:t>
      </w:r>
      <w:r w:rsidR="00470377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que facilitan la infiltración de monocitos</w:t>
      </w:r>
      <w:r w:rsidR="00EB79E2" w:rsidRPr="00B96FED">
        <w:rPr>
          <w:rFonts w:cs="Calibri"/>
          <w:color w:val="FF0000"/>
          <w:sz w:val="20"/>
          <w:vertAlign w:val="superscript"/>
        </w:rPr>
        <w:t>2,4</w:t>
      </w:r>
      <w:r w:rsidRPr="00B96FED">
        <w:rPr>
          <w:rFonts w:cs="Calibri"/>
          <w:color w:val="auto"/>
          <w:sz w:val="20"/>
        </w:rPr>
        <w:t xml:space="preserve">. Los estudios de </w:t>
      </w:r>
      <w:r w:rsidR="00541CE9">
        <w:rPr>
          <w:rFonts w:cs="Calibri"/>
          <w:color w:val="auto"/>
          <w:sz w:val="20"/>
        </w:rPr>
        <w:t>aleatorización</w:t>
      </w:r>
      <w:r w:rsidRPr="00B96FED">
        <w:rPr>
          <w:rFonts w:cs="Calibri"/>
          <w:color w:val="auto"/>
          <w:sz w:val="20"/>
        </w:rPr>
        <w:t xml:space="preserve"> mendeliana confirman la </w:t>
      </w:r>
      <w:r w:rsidR="0009515D">
        <w:rPr>
          <w:rFonts w:cs="Calibri"/>
          <w:color w:val="auto"/>
          <w:sz w:val="20"/>
        </w:rPr>
        <w:t>relación causal</w:t>
      </w:r>
      <w:r w:rsidR="0009515D" w:rsidRPr="00B96FED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 xml:space="preserve">entre variantes </w:t>
      </w:r>
      <w:r w:rsidR="0009515D">
        <w:rPr>
          <w:rFonts w:cs="Calibri"/>
          <w:color w:val="auto"/>
          <w:sz w:val="20"/>
        </w:rPr>
        <w:t>d</w:t>
      </w:r>
      <w:r w:rsidRPr="00B96FED">
        <w:rPr>
          <w:rFonts w:cs="Calibri"/>
          <w:color w:val="auto"/>
          <w:sz w:val="20"/>
        </w:rPr>
        <w:t xml:space="preserve">el gen </w:t>
      </w:r>
      <w:r w:rsidRPr="00BC4DAE">
        <w:rPr>
          <w:rFonts w:cs="Calibri"/>
          <w:i/>
          <w:iCs/>
          <w:color w:val="auto"/>
          <w:sz w:val="20"/>
        </w:rPr>
        <w:t>LPA</w:t>
      </w:r>
      <w:r w:rsidRPr="00B96FED">
        <w:rPr>
          <w:rFonts w:cs="Calibri"/>
          <w:color w:val="auto"/>
          <w:sz w:val="20"/>
        </w:rPr>
        <w:t xml:space="preserve"> y </w:t>
      </w:r>
      <w:r w:rsidR="0009515D">
        <w:rPr>
          <w:rFonts w:cs="Calibri"/>
          <w:color w:val="auto"/>
          <w:sz w:val="20"/>
        </w:rPr>
        <w:t xml:space="preserve">el </w:t>
      </w:r>
      <w:r w:rsidRPr="00B96FED">
        <w:rPr>
          <w:rFonts w:cs="Calibri"/>
          <w:color w:val="auto"/>
          <w:sz w:val="20"/>
        </w:rPr>
        <w:t>ictus isquémico, independientemente de los niveles de cLDL</w:t>
      </w:r>
      <w:r w:rsidRPr="00B96FED">
        <w:rPr>
          <w:rFonts w:cs="Calibri"/>
          <w:color w:val="auto"/>
          <w:vertAlign w:val="superscript"/>
        </w:rPr>
        <w:t>1,2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Un metaanálisis de 2024 demostró que por cada descenso de 50 nmol/L en Lp(a) genéticamente predicha, el riesgo de ictus isquémico se reduce un 8</w:t>
      </w:r>
      <w:r w:rsidR="00470377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>10%</w:t>
      </w:r>
      <w:r w:rsidR="00EB79E2" w:rsidRPr="00B96FED">
        <w:rPr>
          <w:rFonts w:cs="Calibri"/>
          <w:color w:val="FF0000"/>
          <w:sz w:val="20"/>
          <w:vertAlign w:val="superscript"/>
        </w:rPr>
        <w:t>5,6</w:t>
      </w:r>
      <w:r w:rsidRPr="00B96FED">
        <w:rPr>
          <w:rFonts w:cs="Calibri"/>
          <w:color w:val="auto"/>
          <w:sz w:val="20"/>
        </w:rPr>
        <w:t>.</w:t>
      </w:r>
    </w:p>
    <w:p w14:paraId="57A62B25" w14:textId="6F86734B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2)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42</w:t>
      </w:r>
      <w:r>
        <w:rPr>
          <w:rFonts w:cs="Calibri"/>
          <w:b/>
          <w:color w:val="C0392B"/>
          <w:sz w:val="20"/>
        </w:rPr>
        <w:t xml:space="preserve"> puntos]</w:t>
      </w:r>
    </w:p>
    <w:p w14:paraId="1CD22015" w14:textId="6D06A062" w:rsidR="00A456F2" w:rsidRPr="00B96FED" w:rsidRDefault="00C76279" w:rsidP="0009515D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>Esta afirmación es incorrecta. La Lp(a) es un factor causal independiente, no un mero marcador.</w:t>
      </w:r>
      <w:r w:rsidRPr="00B96FED">
        <w:rPr>
          <w:rFonts w:cs="Calibri"/>
          <w:color w:val="auto"/>
          <w:sz w:val="20"/>
          <w:vertAlign w:val="superscript"/>
        </w:rPr>
        <w:t>1,2</w:t>
      </w:r>
      <w:r w:rsidRPr="00B96FED">
        <w:rPr>
          <w:rFonts w:cs="Calibri"/>
          <w:color w:val="auto"/>
          <w:sz w:val="20"/>
        </w:rPr>
        <w:t xml:space="preserve"> Los estudios de </w:t>
      </w:r>
      <w:r w:rsidR="00541CE9">
        <w:rPr>
          <w:rFonts w:cs="Calibri"/>
          <w:color w:val="auto"/>
          <w:sz w:val="20"/>
        </w:rPr>
        <w:t>aleatorización</w:t>
      </w:r>
      <w:r w:rsidRPr="00B96FED">
        <w:rPr>
          <w:rFonts w:cs="Calibri"/>
          <w:color w:val="auto"/>
          <w:sz w:val="20"/>
        </w:rPr>
        <w:t xml:space="preserve"> mendeliana han demostrado que las variantes genéticas que elevan Lp(a) se asocian de forma causal con mayor riesgo de ictus isquémico, independientemente de otros factores de riesgo.</w:t>
      </w:r>
      <w:r w:rsidRPr="00B96FED">
        <w:rPr>
          <w:rFonts w:cs="Calibri"/>
          <w:color w:val="auto"/>
          <w:sz w:val="20"/>
          <w:vertAlign w:val="superscript"/>
        </w:rPr>
        <w:t>2</w:t>
      </w:r>
      <w:r w:rsidRPr="00B96FED">
        <w:rPr>
          <w:rFonts w:cs="Calibri"/>
          <w:color w:val="auto"/>
          <w:sz w:val="20"/>
        </w:rPr>
        <w:t xml:space="preserve"> El gen </w:t>
      </w:r>
      <w:r w:rsidRPr="00BC4DAE">
        <w:rPr>
          <w:rFonts w:cs="Calibri"/>
          <w:i/>
          <w:iCs/>
          <w:color w:val="auto"/>
          <w:sz w:val="20"/>
        </w:rPr>
        <w:t>LPA</w:t>
      </w:r>
      <w:r w:rsidRPr="00B96FED">
        <w:rPr>
          <w:rFonts w:cs="Calibri"/>
          <w:color w:val="auto"/>
          <w:sz w:val="20"/>
        </w:rPr>
        <w:t xml:space="preserve"> está ubicado en el cromosoma 6q26-27 y las </w:t>
      </w:r>
      <w:r w:rsidR="0009515D">
        <w:rPr>
          <w:rFonts w:cs="Calibri"/>
          <w:color w:val="auto"/>
          <w:sz w:val="20"/>
        </w:rPr>
        <w:t>variaciones en</w:t>
      </w:r>
      <w:r w:rsidRPr="00B96FED">
        <w:rPr>
          <w:rFonts w:cs="Calibri"/>
          <w:color w:val="auto"/>
          <w:sz w:val="20"/>
        </w:rPr>
        <w:t xml:space="preserve"> el número de repeticiones </w:t>
      </w:r>
      <w:r w:rsidR="0009515D">
        <w:rPr>
          <w:rFonts w:cs="Calibri"/>
          <w:color w:val="auto"/>
          <w:sz w:val="20"/>
        </w:rPr>
        <w:t xml:space="preserve">del dominio </w:t>
      </w:r>
      <w:r w:rsidRPr="00B96FED">
        <w:rPr>
          <w:rFonts w:cs="Calibri"/>
          <w:color w:val="auto"/>
          <w:sz w:val="20"/>
        </w:rPr>
        <w:t>kringle IV determinan &gt;90% de la variabilidad interindividual de Lp(a).</w:t>
      </w:r>
      <w:r w:rsidRPr="00B96FED">
        <w:rPr>
          <w:rFonts w:cs="Calibri"/>
          <w:color w:val="auto"/>
          <w:sz w:val="20"/>
          <w:vertAlign w:val="superscript"/>
        </w:rPr>
        <w:t>1</w:t>
      </w:r>
    </w:p>
    <w:p w14:paraId="44257FD9" w14:textId="204018CB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3)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33</w:t>
      </w:r>
      <w:r>
        <w:rPr>
          <w:rFonts w:cs="Calibri"/>
          <w:b/>
          <w:color w:val="C0392B"/>
          <w:sz w:val="20"/>
        </w:rPr>
        <w:t xml:space="preserve"> puntos]</w:t>
      </w:r>
    </w:p>
    <w:p w14:paraId="2C122846" w14:textId="1D272D78" w:rsidR="00EB79E2" w:rsidRPr="00EB79E2" w:rsidRDefault="00C76279" w:rsidP="00EB79E2">
      <w:pPr>
        <w:spacing w:after="80"/>
        <w:ind w:left="400"/>
        <w:rPr>
          <w:rFonts w:cs="Calibri"/>
          <w:color w:val="auto"/>
          <w:sz w:val="20"/>
          <w:vertAlign w:val="superscript"/>
        </w:rPr>
      </w:pPr>
      <w:r w:rsidRPr="00B96FED">
        <w:rPr>
          <w:rFonts w:cs="Calibri"/>
          <w:color w:val="auto"/>
          <w:sz w:val="20"/>
        </w:rPr>
        <w:t>El riesgo atribuible a Lp(a) es independiente de los niveles de cLDL</w:t>
      </w:r>
      <w:r w:rsidRPr="00B96FED">
        <w:rPr>
          <w:rFonts w:cs="Calibri"/>
          <w:color w:val="auto"/>
          <w:sz w:val="20"/>
          <w:vertAlign w:val="superscript"/>
        </w:rPr>
        <w:t>1,3</w:t>
      </w:r>
      <w:r w:rsidR="00EB79E2">
        <w:rPr>
          <w:rFonts w:cs="Calibri"/>
          <w:color w:val="auto"/>
          <w:sz w:val="20"/>
        </w:rPr>
        <w:t xml:space="preserve">. </w:t>
      </w:r>
      <w:r w:rsidRPr="00B96FED">
        <w:rPr>
          <w:rFonts w:cs="Calibri"/>
          <w:color w:val="auto"/>
          <w:sz w:val="20"/>
        </w:rPr>
        <w:t xml:space="preserve">Pacientes como Juan, con </w:t>
      </w:r>
      <w:r w:rsidR="0009515D">
        <w:rPr>
          <w:rFonts w:cs="Calibri"/>
          <w:color w:val="auto"/>
          <w:sz w:val="20"/>
        </w:rPr>
        <w:t xml:space="preserve">el </w:t>
      </w:r>
      <w:r w:rsidRPr="00B96FED">
        <w:rPr>
          <w:rFonts w:cs="Calibri"/>
          <w:color w:val="auto"/>
          <w:sz w:val="20"/>
        </w:rPr>
        <w:t xml:space="preserve">cLDL bien controlado (42 mg/dL), siguen teniendo riesgo residual significativo por su Lp(a) elevada. La Lp(a) es un factor genéticamente determinado sin correlación con los niveles de </w:t>
      </w:r>
      <w:r w:rsidR="0007523F">
        <w:rPr>
          <w:rFonts w:cs="Calibri"/>
          <w:color w:val="auto"/>
          <w:sz w:val="20"/>
        </w:rPr>
        <w:t>c</w:t>
      </w:r>
      <w:r w:rsidRPr="00B96FED">
        <w:rPr>
          <w:rFonts w:cs="Calibri"/>
          <w:color w:val="auto"/>
          <w:sz w:val="20"/>
        </w:rPr>
        <w:t>LDL</w:t>
      </w:r>
      <w:r w:rsidRPr="00B96FED">
        <w:rPr>
          <w:rFonts w:cs="Calibri"/>
          <w:color w:val="auto"/>
          <w:sz w:val="20"/>
          <w:vertAlign w:val="superscript"/>
        </w:rPr>
        <w:t>1</w:t>
      </w:r>
      <w:r w:rsidR="00EB79E2">
        <w:rPr>
          <w:rFonts w:cs="Calibri"/>
          <w:color w:val="auto"/>
          <w:sz w:val="20"/>
        </w:rPr>
        <w:t xml:space="preserve">. </w:t>
      </w:r>
      <w:r w:rsidRPr="00B96FED">
        <w:rPr>
          <w:rFonts w:cs="Calibri"/>
          <w:color w:val="auto"/>
          <w:sz w:val="20"/>
        </w:rPr>
        <w:t xml:space="preserve">De hecho, aproximadamente el 20% de la población mundial </w:t>
      </w:r>
      <w:r w:rsidR="0007523F">
        <w:rPr>
          <w:rFonts w:cs="Calibri"/>
          <w:color w:val="auto"/>
          <w:sz w:val="20"/>
        </w:rPr>
        <w:t>presenta una</w:t>
      </w:r>
      <w:r w:rsidR="0007523F" w:rsidRPr="00B96FED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>Lp(a) elevada (&gt;125 nmol/L)</w:t>
      </w:r>
      <w:r w:rsidR="0007523F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independientemente de su perfil lipídico convencional</w:t>
      </w:r>
      <w:r w:rsidRPr="00B96FED">
        <w:rPr>
          <w:rFonts w:cs="Calibri"/>
          <w:color w:val="auto"/>
          <w:sz w:val="20"/>
          <w:vertAlign w:val="superscript"/>
        </w:rPr>
        <w:t>1,3</w:t>
      </w:r>
      <w:r w:rsidR="00EB79E2">
        <w:rPr>
          <w:rFonts w:cs="Calibri"/>
          <w:color w:val="auto"/>
          <w:sz w:val="20"/>
        </w:rPr>
        <w:t>.</w:t>
      </w:r>
    </w:p>
    <w:p w14:paraId="288FCC3C" w14:textId="2C8B6049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4)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25</w:t>
      </w:r>
      <w:r>
        <w:rPr>
          <w:rFonts w:cs="Calibri"/>
          <w:b/>
          <w:color w:val="C0392B"/>
          <w:sz w:val="20"/>
        </w:rPr>
        <w:t xml:space="preserve"> puntos]</w:t>
      </w:r>
    </w:p>
    <w:p w14:paraId="2F9AE374" w14:textId="666F691B" w:rsidR="00A456F2" w:rsidRPr="00B96FED" w:rsidRDefault="00C76279" w:rsidP="0007523F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Aunque la similitud estructural entre </w:t>
      </w:r>
      <w:r w:rsidR="0007523F">
        <w:rPr>
          <w:rFonts w:cs="Calibri"/>
          <w:color w:val="auto"/>
          <w:sz w:val="20"/>
        </w:rPr>
        <w:t xml:space="preserve">la </w:t>
      </w:r>
      <w:r w:rsidR="0007523F" w:rsidRPr="0007523F">
        <w:rPr>
          <w:rFonts w:cs="Calibri"/>
          <w:color w:val="auto"/>
          <w:sz w:val="20"/>
        </w:rPr>
        <w:t>apolipoproteína(a) [</w:t>
      </w:r>
      <w:r w:rsidR="00FE2A54">
        <w:rPr>
          <w:rFonts w:cs="Calibri"/>
          <w:color w:val="auto"/>
          <w:sz w:val="20"/>
        </w:rPr>
        <w:t>a</w:t>
      </w:r>
      <w:r w:rsidR="0007523F" w:rsidRPr="0007523F">
        <w:rPr>
          <w:rFonts w:cs="Calibri"/>
          <w:color w:val="auto"/>
          <w:sz w:val="20"/>
        </w:rPr>
        <w:t>po(a)]</w:t>
      </w:r>
      <w:r w:rsidR="0007523F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 xml:space="preserve">y </w:t>
      </w:r>
      <w:r w:rsidR="0007523F">
        <w:rPr>
          <w:rFonts w:cs="Calibri"/>
          <w:color w:val="auto"/>
          <w:sz w:val="20"/>
        </w:rPr>
        <w:t xml:space="preserve">el </w:t>
      </w:r>
      <w:r w:rsidRPr="00B96FED">
        <w:rPr>
          <w:rFonts w:cs="Calibri"/>
          <w:color w:val="auto"/>
          <w:sz w:val="20"/>
        </w:rPr>
        <w:t xml:space="preserve">plasminógeno confiere propiedades antifibrinolíticas a la Lp(a), la principal asociación de Lp(a) con ictus es de tipo aterosclerótico, no cardioembólico. Los estudios muestran que </w:t>
      </w:r>
      <w:r w:rsidR="001D06C6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 se asocia específicamente con ict</w:t>
      </w:r>
      <w:r w:rsidR="0009465A">
        <w:rPr>
          <w:rFonts w:cs="Calibri"/>
          <w:color w:val="auto"/>
          <w:sz w:val="20"/>
        </w:rPr>
        <w:t>us isquémico de gran vaso aterotrombótico</w:t>
      </w:r>
      <w:r w:rsidRPr="00B96FED">
        <w:rPr>
          <w:rFonts w:cs="Calibri"/>
          <w:color w:val="auto"/>
          <w:sz w:val="20"/>
        </w:rPr>
        <w:t xml:space="preserve"> y con enfermedad carotídea</w:t>
      </w:r>
      <w:r w:rsidR="0009465A">
        <w:rPr>
          <w:rFonts w:cs="Calibri"/>
          <w:color w:val="auto"/>
          <w:sz w:val="20"/>
        </w:rPr>
        <w:t xml:space="preserve"> </w:t>
      </w:r>
      <w:r w:rsidR="0009465A" w:rsidRPr="00B96FED">
        <w:rPr>
          <w:rFonts w:cs="Calibri"/>
          <w:color w:val="auto"/>
          <w:sz w:val="20"/>
        </w:rPr>
        <w:t xml:space="preserve">(como </w:t>
      </w:r>
      <w:r w:rsidR="0009465A">
        <w:rPr>
          <w:rFonts w:cs="Calibri"/>
          <w:color w:val="auto"/>
          <w:sz w:val="20"/>
        </w:rPr>
        <w:t>en el caso</w:t>
      </w:r>
      <w:r w:rsidR="0009465A" w:rsidRPr="00B96FED">
        <w:rPr>
          <w:rFonts w:cs="Calibri"/>
          <w:color w:val="auto"/>
          <w:sz w:val="20"/>
        </w:rPr>
        <w:t xml:space="preserve"> de Juan) </w:t>
      </w:r>
      <w:r w:rsidR="00EB79E2" w:rsidRPr="00B96FED">
        <w:rPr>
          <w:rFonts w:cs="Calibri"/>
          <w:color w:val="FF0000"/>
          <w:sz w:val="20"/>
          <w:vertAlign w:val="superscript"/>
        </w:rPr>
        <w:t>4,6</w:t>
      </w:r>
      <w:r w:rsidR="00EB79E2">
        <w:rPr>
          <w:rFonts w:cs="Calibri"/>
          <w:color w:val="auto"/>
          <w:sz w:val="20"/>
        </w:rPr>
        <w:t xml:space="preserve">. </w:t>
      </w:r>
      <w:r w:rsidRPr="00B96FED">
        <w:rPr>
          <w:rFonts w:cs="Calibri"/>
          <w:color w:val="auto"/>
          <w:sz w:val="20"/>
        </w:rPr>
        <w:t>La evidencia genética no sugiere un papel causal en la fibrilación auricular ni en el ictus cardioembólico.</w:t>
      </w:r>
    </w:p>
    <w:p w14:paraId="17D2456E" w14:textId="59270F63" w:rsidR="008A01AD" w:rsidRPr="0009465A" w:rsidRDefault="008A01AD" w:rsidP="008A01AD">
      <w:pPr>
        <w:pStyle w:val="Ttulo1"/>
        <w:rPr>
          <w:color w:val="auto"/>
          <w:u w:val="single"/>
        </w:rPr>
      </w:pPr>
      <w:r w:rsidRPr="0009465A">
        <w:rPr>
          <w:color w:val="auto"/>
          <w:u w:val="single"/>
        </w:rPr>
        <w:t>3. Evaluación del riesgo cardiovascular</w:t>
      </w:r>
    </w:p>
    <w:p w14:paraId="0690D67A" w14:textId="77777777" w:rsidR="00A456F2" w:rsidRDefault="00993BB2">
      <w:pPr>
        <w:shd w:val="clear" w:color="auto" w:fill="D4E6F1"/>
        <w:spacing w:before="400" w:after="120"/>
        <w:ind w:left="200" w:right="200"/>
      </w:pPr>
      <w:r>
        <w:rPr>
          <w:rFonts w:cs="Calibri"/>
          <w:b/>
          <w:color w:val="1B4F72"/>
          <w:sz w:val="24"/>
        </w:rPr>
        <w:t xml:space="preserve">Pregunta 2. </w:t>
      </w:r>
      <w:r>
        <w:rPr>
          <w:rFonts w:cs="Calibri"/>
          <w:b/>
        </w:rPr>
        <w:t>Tras el ictus, ¿qué valor de Lp(a) debería considerarse umbral de alto riesgo en la estratificación de este paciente para prevención secundaria, de acuerdo con la evidencia más reciente?</w:t>
      </w:r>
    </w:p>
    <w:p w14:paraId="7D80A9FC" w14:textId="1D2CE148" w:rsidR="00A456F2" w:rsidRDefault="00C76279">
      <w:pPr>
        <w:spacing w:before="100" w:after="60"/>
        <w:ind w:left="400"/>
      </w:pPr>
      <w:r>
        <w:rPr>
          <w:rFonts w:cs="Calibri"/>
          <w:b/>
        </w:rPr>
        <w:t>1)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>El umbral de riesgo es Lp(a) ≥50 mg/dL (≈125 nmol/L), que identifica aproximadamente al 20% de la población con mayor riesgo relativo de eventos cardiovasculares, incluyendo ictus.</w:t>
      </w:r>
      <w:r w:rsidR="001D06C6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1E8449"/>
          <w:sz w:val="20"/>
        </w:rPr>
        <w:t>(+</w:t>
      </w:r>
      <w:r w:rsidR="0009465A">
        <w:rPr>
          <w:rFonts w:cs="Calibri"/>
          <w:b/>
          <w:i/>
          <w:color w:val="1E8449"/>
          <w:sz w:val="20"/>
        </w:rPr>
        <w:t>10</w:t>
      </w:r>
      <w:r>
        <w:rPr>
          <w:rFonts w:cs="Calibri"/>
          <w:b/>
          <w:i/>
          <w:color w:val="1E8449"/>
          <w:sz w:val="20"/>
        </w:rPr>
        <w:t>0 puntos)</w:t>
      </w:r>
    </w:p>
    <w:p w14:paraId="4C061412" w14:textId="5B201A62" w:rsidR="00A456F2" w:rsidRDefault="00C76279">
      <w:pPr>
        <w:spacing w:before="100" w:after="60"/>
        <w:ind w:left="400"/>
      </w:pPr>
      <w:r>
        <w:rPr>
          <w:rFonts w:cs="Calibri"/>
          <w:b/>
        </w:rPr>
        <w:t>2)</w:t>
      </w:r>
      <w:r w:rsidR="00EB1575">
        <w:rPr>
          <w:rFonts w:cs="Calibri"/>
          <w:b/>
        </w:rPr>
        <w:t xml:space="preserve"> </w:t>
      </w:r>
      <w:r w:rsidR="001D06C6" w:rsidRPr="00BC4DAE">
        <w:rPr>
          <w:rFonts w:cs="Calibri"/>
          <w:b/>
          <w:i/>
          <w:iCs/>
        </w:rPr>
        <w:t>Una</w:t>
      </w:r>
      <w:r w:rsidR="001D06C6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Lp(a) ≥30 mg/dL ya constituye </w:t>
      </w:r>
      <w:r w:rsidR="001D06C6">
        <w:rPr>
          <w:rFonts w:cs="Calibri"/>
          <w:b/>
          <w:i/>
        </w:rPr>
        <w:t xml:space="preserve">un factor de </w:t>
      </w:r>
      <w:r>
        <w:rPr>
          <w:rFonts w:cs="Calibri"/>
          <w:b/>
          <w:i/>
        </w:rPr>
        <w:t xml:space="preserve">riesgo elevado, por lo que cualquier valor </w:t>
      </w:r>
      <w:r w:rsidR="001D06C6">
        <w:rPr>
          <w:rFonts w:cs="Calibri"/>
          <w:b/>
          <w:i/>
        </w:rPr>
        <w:t xml:space="preserve">a partir de este umbral </w:t>
      </w:r>
      <w:r>
        <w:rPr>
          <w:rFonts w:cs="Calibri"/>
          <w:b/>
          <w:i/>
        </w:rPr>
        <w:t>requiere intensificación terapéutica.</w:t>
      </w:r>
      <w:r w:rsidR="001D06C6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18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203CC331" w14:textId="27FBE802" w:rsidR="00A456F2" w:rsidRDefault="00C76279">
      <w:pPr>
        <w:spacing w:before="100" w:after="60"/>
        <w:ind w:left="400"/>
      </w:pPr>
      <w:r>
        <w:rPr>
          <w:rFonts w:cs="Calibri"/>
          <w:b/>
        </w:rPr>
        <w:t>3)</w:t>
      </w:r>
      <w:r w:rsidR="00EB1575">
        <w:rPr>
          <w:rFonts w:cs="Calibri"/>
          <w:b/>
        </w:rPr>
        <w:t xml:space="preserve"> </w:t>
      </w:r>
      <w:r>
        <w:rPr>
          <w:rFonts w:cs="Calibri"/>
          <w:b/>
          <w:i/>
        </w:rPr>
        <w:t>S</w:t>
      </w:r>
      <w:r w:rsidR="001D06C6">
        <w:rPr>
          <w:rFonts w:cs="Calibri"/>
          <w:b/>
          <w:i/>
        </w:rPr>
        <w:t>o</w:t>
      </w:r>
      <w:r>
        <w:rPr>
          <w:rFonts w:cs="Calibri"/>
          <w:b/>
          <w:i/>
        </w:rPr>
        <w:t>lo los valores &gt;200 nmol/L (&gt;≈80 mg/dL) se consideran de alto riesgo</w:t>
      </w:r>
      <w:r w:rsidR="001D06C6">
        <w:rPr>
          <w:rFonts w:cs="Calibri"/>
          <w:b/>
          <w:i/>
        </w:rPr>
        <w:t>;</w:t>
      </w:r>
      <w:r>
        <w:rPr>
          <w:rFonts w:cs="Calibri"/>
          <w:b/>
          <w:i/>
        </w:rPr>
        <w:t xml:space="preserve"> por debajo de este nivel la Lp(a) no tiene relevancia clínica.</w:t>
      </w:r>
      <w:r w:rsidR="001D06C6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23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61901AC" w14:textId="57FDB519" w:rsidR="00A456F2" w:rsidRDefault="00C76279">
      <w:pPr>
        <w:spacing w:before="100" w:after="60"/>
        <w:ind w:left="400"/>
      </w:pPr>
      <w:r>
        <w:rPr>
          <w:rFonts w:cs="Calibri"/>
          <w:b/>
        </w:rPr>
        <w:lastRenderedPageBreak/>
        <w:t>4)</w:t>
      </w:r>
      <w:r w:rsidR="00EB1575">
        <w:rPr>
          <w:rFonts w:cs="Calibri"/>
          <w:b/>
        </w:rPr>
        <w:t xml:space="preserve"> </w:t>
      </w:r>
      <w:r w:rsidR="00993BB2" w:rsidRPr="00BC4DAE">
        <w:rPr>
          <w:rFonts w:cs="Calibri"/>
          <w:b/>
          <w:i/>
        </w:rPr>
        <w:t xml:space="preserve">El valor de Lp(a) </w:t>
      </w:r>
      <w:r w:rsidR="0009465A" w:rsidRPr="00BC4DAE">
        <w:rPr>
          <w:rFonts w:cs="Calibri"/>
          <w:b/>
          <w:i/>
        </w:rPr>
        <w:t xml:space="preserve">deja </w:t>
      </w:r>
      <w:r w:rsidR="00AC79D9">
        <w:rPr>
          <w:rFonts w:cs="Calibri"/>
          <w:b/>
          <w:i/>
        </w:rPr>
        <w:t>de ser</w:t>
      </w:r>
      <w:r w:rsidR="00993BB2" w:rsidRPr="00BC4DAE">
        <w:rPr>
          <w:rFonts w:cs="Calibri"/>
          <w:b/>
          <w:i/>
        </w:rPr>
        <w:t xml:space="preserve"> relevante par</w:t>
      </w:r>
      <w:r w:rsidR="0009465A" w:rsidRPr="00BC4DAE">
        <w:rPr>
          <w:rFonts w:cs="Calibri"/>
          <w:b/>
          <w:i/>
        </w:rPr>
        <w:t>a el riesgo de ictus tras la revascularización exitosa y s</w:t>
      </w:r>
      <w:r w:rsidR="00AC79D9">
        <w:rPr>
          <w:rFonts w:cs="Calibri"/>
          <w:b/>
          <w:i/>
        </w:rPr>
        <w:t>o</w:t>
      </w:r>
      <w:r w:rsidR="00993BB2" w:rsidRPr="00BC4DAE">
        <w:rPr>
          <w:rFonts w:cs="Calibri"/>
          <w:b/>
          <w:i/>
        </w:rPr>
        <w:t>lo importa la prevención del ictus hemorrágico</w:t>
      </w:r>
      <w:r w:rsidR="001D06C6">
        <w:rPr>
          <w:rFonts w:cs="Calibri"/>
          <w:b/>
          <w:i/>
        </w:rPr>
        <w:t>.</w:t>
      </w:r>
      <w:r w:rsidR="00993BB2">
        <w:rPr>
          <w:rFonts w:cs="Calibri"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59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1861F948" w14:textId="77777777" w:rsidR="00A456F2" w:rsidRPr="00A444FB" w:rsidRDefault="00C76279">
      <w:pPr>
        <w:spacing w:before="100" w:after="60"/>
      </w:pPr>
      <w:r w:rsidRPr="00A444FB">
        <w:rPr>
          <w:rFonts w:cs="Calibri"/>
          <w:b/>
          <w:color w:val="1B4F72"/>
        </w:rPr>
        <w:t>Respuestas:</w:t>
      </w:r>
    </w:p>
    <w:p w14:paraId="01A4F1D0" w14:textId="36D81E94" w:rsidR="00A456F2" w:rsidRDefault="00993BB2">
      <w:pPr>
        <w:spacing w:before="80" w:after="60"/>
        <w:ind w:left="200"/>
      </w:pPr>
      <w:r w:rsidRPr="00A444FB">
        <w:rPr>
          <w:rFonts w:cs="Calibri"/>
          <w:b/>
          <w:color w:val="1E8449"/>
        </w:rPr>
        <w:t xml:space="preserve">1) CORRECTA </w:t>
      </w:r>
      <w:r w:rsidRPr="00A444FB">
        <w:rPr>
          <w:rFonts w:cs="Calibri"/>
          <w:b/>
          <w:color w:val="1E8449"/>
          <w:sz w:val="20"/>
        </w:rPr>
        <w:t>[+</w:t>
      </w:r>
      <w:r w:rsidR="0009465A" w:rsidRPr="00A444FB">
        <w:rPr>
          <w:rFonts w:cs="Calibri"/>
          <w:b/>
          <w:color w:val="1E8449"/>
          <w:sz w:val="20"/>
        </w:rPr>
        <w:t>10</w:t>
      </w:r>
      <w:r w:rsidRPr="00A444FB">
        <w:rPr>
          <w:rFonts w:cs="Calibri"/>
          <w:b/>
          <w:color w:val="1E8449"/>
          <w:sz w:val="20"/>
        </w:rPr>
        <w:t>0 puntos]</w:t>
      </w:r>
    </w:p>
    <w:p w14:paraId="2FDD63F3" w14:textId="46C32751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>El umbral de Lp(a) ≥50 mg/dL (≈125 nmol/L) es el criterio ampliamente aceptado para definir riesgo elevado</w:t>
      </w:r>
      <w:r w:rsidRPr="00B96FED">
        <w:rPr>
          <w:rFonts w:cs="Calibri"/>
          <w:color w:val="auto"/>
          <w:sz w:val="20"/>
          <w:vertAlign w:val="superscript"/>
        </w:rPr>
        <w:t>2,3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La declaración científica de la American Heart Association de 2022 y el consenso de la European Atherosclerosis Society definen Lp(a) ≥50 mg/dL como el umbral por encima del cual el riesgo cardiovascular aumenta significativamente</w:t>
      </w:r>
      <w:r w:rsidRPr="00B96FED">
        <w:rPr>
          <w:rFonts w:cs="Calibri"/>
          <w:color w:val="auto"/>
          <w:sz w:val="20"/>
          <w:vertAlign w:val="superscript"/>
        </w:rPr>
        <w:t>1-3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Aproximadamente el 20% de la población mundial supera este valor. Pacientes con Lp(a) ≥70-90 mg/dL (como Juan</w:t>
      </w:r>
      <w:r w:rsidR="00A444FB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con 316 nmol/L ≈130 mg/dL) tienen un riesgo particularmente alto y son precisamente los incluidos en los ensayos clínicos de terapias específicas anti-Lp(a)</w:t>
      </w:r>
      <w:r w:rsidR="00EB79E2" w:rsidRPr="00EB79E2">
        <w:rPr>
          <w:rFonts w:cs="Calibri"/>
          <w:color w:val="FF0000"/>
          <w:sz w:val="20"/>
          <w:vertAlign w:val="superscript"/>
        </w:rPr>
        <w:t xml:space="preserve"> </w:t>
      </w:r>
      <w:r w:rsidR="00EB79E2" w:rsidRPr="00B96FED">
        <w:rPr>
          <w:rFonts w:cs="Calibri"/>
          <w:color w:val="FF0000"/>
          <w:sz w:val="20"/>
          <w:vertAlign w:val="superscript"/>
        </w:rPr>
        <w:t>7</w:t>
      </w:r>
      <w:r w:rsidRPr="00B96FED">
        <w:rPr>
          <w:rFonts w:cs="Calibri"/>
          <w:color w:val="auto"/>
          <w:sz w:val="20"/>
        </w:rPr>
        <w:t>.</w:t>
      </w:r>
    </w:p>
    <w:p w14:paraId="5B501B46" w14:textId="0DB30F59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2)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18</w:t>
      </w:r>
      <w:r>
        <w:rPr>
          <w:rFonts w:cs="Calibri"/>
          <w:b/>
          <w:color w:val="C0392B"/>
          <w:sz w:val="20"/>
        </w:rPr>
        <w:t xml:space="preserve"> puntos]</w:t>
      </w:r>
    </w:p>
    <w:p w14:paraId="2B332209" w14:textId="3B196F93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El umbral de 30 mg/dL es demasiado bajo y no está respaldado por la evidencia. Los grandes metaanálisis (como los de </w:t>
      </w:r>
      <w:r w:rsidRPr="00BC4DAE">
        <w:rPr>
          <w:rFonts w:cs="Calibri"/>
          <w:i/>
          <w:iCs/>
          <w:color w:val="auto"/>
          <w:sz w:val="20"/>
        </w:rPr>
        <w:t>Emerging Risk Factors Collaboration</w:t>
      </w:r>
      <w:r w:rsidRPr="00B96FED">
        <w:rPr>
          <w:rFonts w:cs="Calibri"/>
          <w:color w:val="auto"/>
          <w:sz w:val="20"/>
        </w:rPr>
        <w:t xml:space="preserve">) demuestran que el riesgo cardiovascular comienza a aumentar significativamente a partir de </w:t>
      </w:r>
      <w:r w:rsidR="00673A07">
        <w:rPr>
          <w:rFonts w:cs="Calibri"/>
          <w:color w:val="auto"/>
          <w:sz w:val="20"/>
        </w:rPr>
        <w:t xml:space="preserve">una </w:t>
      </w:r>
      <w:r w:rsidRPr="00B96FED">
        <w:rPr>
          <w:rFonts w:cs="Calibri"/>
          <w:color w:val="auto"/>
          <w:sz w:val="20"/>
        </w:rPr>
        <w:t xml:space="preserve">Lp(a) ≈50 mg/dL (percentil 80 de la población). El uso de umbrales más bajos podría llevar a una medicalización innecesaria de población de bajo riesgo, dado que aún no existen terapias aprobadas específicamente para reducir </w:t>
      </w:r>
      <w:r w:rsidR="00673A0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Lp(a).</w:t>
      </w:r>
    </w:p>
    <w:p w14:paraId="63AD8E15" w14:textId="767E38E9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3)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23</w:t>
      </w:r>
      <w:r>
        <w:rPr>
          <w:rFonts w:cs="Calibri"/>
          <w:b/>
          <w:color w:val="C0392B"/>
          <w:sz w:val="20"/>
        </w:rPr>
        <w:t xml:space="preserve"> puntos]</w:t>
      </w:r>
    </w:p>
    <w:p w14:paraId="14309B2A" w14:textId="047698B2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El riesgo asociado a </w:t>
      </w:r>
      <w:r w:rsidR="00673A0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 xml:space="preserve">Lp(a) es continuo y log-lineal; no existe un umbral único de riesgo a partir del cual la Lp(a) </w:t>
      </w:r>
      <w:r w:rsidR="00A462D0">
        <w:rPr>
          <w:rFonts w:cs="Calibri"/>
          <w:color w:val="auto"/>
          <w:sz w:val="20"/>
        </w:rPr>
        <w:t>«</w:t>
      </w:r>
      <w:r w:rsidRPr="00B96FED">
        <w:rPr>
          <w:rFonts w:cs="Calibri"/>
          <w:color w:val="auto"/>
          <w:sz w:val="20"/>
        </w:rPr>
        <w:t>comience a importar</w:t>
      </w:r>
      <w:r w:rsidR="00A462D0">
        <w:rPr>
          <w:rFonts w:cs="Calibri"/>
          <w:color w:val="auto"/>
          <w:sz w:val="20"/>
        </w:rPr>
        <w:t>»</w:t>
      </w:r>
      <w:r w:rsidRPr="00B96FED">
        <w:rPr>
          <w:rFonts w:cs="Calibri"/>
          <w:color w:val="auto"/>
          <w:sz w:val="20"/>
        </w:rPr>
        <w:t>. Los valores &gt;125 nmol/L ya se asocian con mayor riesgo, y cada incremento adicional se traduce en mayor riesgo absoluto</w:t>
      </w:r>
      <w:r w:rsidRPr="00B96FED">
        <w:rPr>
          <w:rFonts w:cs="Calibri"/>
          <w:color w:val="auto"/>
          <w:sz w:val="20"/>
          <w:vertAlign w:val="superscript"/>
        </w:rPr>
        <w:t>1,3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El criterio de inclusión del ensayo HORIZON con pelacarsen (Lp(a) ≥70 mg/dL) precisamente refleja que incluso valores intermedios-elevados se consideran relevantes en población de alto riesgo con </w:t>
      </w:r>
      <w:r w:rsidR="0055077A">
        <w:rPr>
          <w:rFonts w:cs="Calibri"/>
          <w:color w:val="auto"/>
          <w:sz w:val="20"/>
        </w:rPr>
        <w:t>ECV</w:t>
      </w:r>
      <w:r w:rsidRPr="00B96FED">
        <w:rPr>
          <w:rFonts w:cs="Calibri"/>
          <w:color w:val="auto"/>
          <w:sz w:val="20"/>
        </w:rPr>
        <w:t xml:space="preserve"> establecida</w:t>
      </w:r>
      <w:r w:rsidR="00EB79E2" w:rsidRPr="00B96FED">
        <w:rPr>
          <w:rFonts w:cs="Calibri"/>
          <w:color w:val="FF0000"/>
          <w:sz w:val="20"/>
          <w:vertAlign w:val="superscript"/>
        </w:rPr>
        <w:t>7</w:t>
      </w:r>
      <w:r w:rsidR="00EB79E2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El riesgo relativo para ictus isquémico es </w:t>
      </w:r>
      <w:r w:rsidR="00A462D0">
        <w:rPr>
          <w:rFonts w:cs="Calibri"/>
          <w:color w:val="auto"/>
          <w:sz w:val="20"/>
        </w:rPr>
        <w:t xml:space="preserve">de </w:t>
      </w:r>
      <w:r w:rsidRPr="00B96FED">
        <w:rPr>
          <w:rFonts w:cs="Calibri"/>
          <w:color w:val="auto"/>
          <w:sz w:val="20"/>
        </w:rPr>
        <w:t>aproximadamente 1,15</w:t>
      </w:r>
      <w:r w:rsidR="00A462D0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>1,25 por cada cuartil de incremento de Lp(a)</w:t>
      </w:r>
      <w:r w:rsidR="00EB79E2" w:rsidRPr="00B96FED">
        <w:rPr>
          <w:rFonts w:cs="Calibri"/>
          <w:color w:val="FF0000"/>
          <w:sz w:val="20"/>
          <w:vertAlign w:val="superscript"/>
        </w:rPr>
        <w:t>4</w:t>
      </w:r>
      <w:r w:rsidR="00EB79E2" w:rsidRPr="00B96FED">
        <w:rPr>
          <w:rFonts w:cs="Calibri"/>
          <w:color w:val="auto"/>
          <w:sz w:val="20"/>
        </w:rPr>
        <w:t>.</w:t>
      </w:r>
    </w:p>
    <w:p w14:paraId="27BD6470" w14:textId="221803DA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4)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59</w:t>
      </w:r>
      <w:r>
        <w:rPr>
          <w:rFonts w:cs="Calibri"/>
          <w:b/>
          <w:color w:val="C0392B"/>
          <w:sz w:val="20"/>
        </w:rPr>
        <w:t xml:space="preserve"> puntos]</w:t>
      </w:r>
    </w:p>
    <w:p w14:paraId="7C75B65A" w14:textId="1DBAC111" w:rsidR="00A456F2" w:rsidRDefault="00C76279" w:rsidP="00BC4DAE">
      <w:pPr>
        <w:spacing w:after="80"/>
        <w:ind w:left="400"/>
      </w:pPr>
      <w:r w:rsidRPr="00B96FED">
        <w:rPr>
          <w:rFonts w:cs="Calibri"/>
          <w:color w:val="auto"/>
          <w:sz w:val="20"/>
        </w:rPr>
        <w:t>El riesgo de recurrencia de ictus isquémico tras un primer evento es sustancial: hasta 10</w:t>
      </w:r>
      <w:r w:rsidR="00A462D0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15% en el primer año. La Lp(a) elevada es un determinante independiente de recurrencia, especialmente en pacientes con enfermedad </w:t>
      </w:r>
      <w:r w:rsidR="0009465A">
        <w:rPr>
          <w:rFonts w:cs="Calibri"/>
          <w:color w:val="auto"/>
          <w:sz w:val="20"/>
        </w:rPr>
        <w:t>arteriosclerótica de</w:t>
      </w:r>
      <w:r w:rsidRPr="00B96FED">
        <w:rPr>
          <w:rFonts w:cs="Calibri"/>
          <w:color w:val="auto"/>
          <w:sz w:val="20"/>
        </w:rPr>
        <w:t xml:space="preserve"> gran</w:t>
      </w:r>
      <w:r w:rsidR="0009465A">
        <w:rPr>
          <w:rFonts w:cs="Calibri"/>
          <w:color w:val="auto"/>
          <w:sz w:val="20"/>
        </w:rPr>
        <w:t>des</w:t>
      </w:r>
      <w:r w:rsidRPr="00B96FED">
        <w:rPr>
          <w:rFonts w:cs="Calibri"/>
          <w:color w:val="auto"/>
          <w:sz w:val="20"/>
        </w:rPr>
        <w:t xml:space="preserve"> vaso</w:t>
      </w:r>
      <w:r w:rsidR="0009465A">
        <w:rPr>
          <w:rFonts w:cs="Calibri"/>
          <w:color w:val="auto"/>
          <w:sz w:val="20"/>
        </w:rPr>
        <w:t>s</w:t>
      </w:r>
      <w:r w:rsidRPr="00B96FED">
        <w:rPr>
          <w:rFonts w:cs="Calibri"/>
          <w:color w:val="auto"/>
          <w:sz w:val="20"/>
        </w:rPr>
        <w:t>. Los estudios han demostrado que pacientes con Lp(a) en el percentil 90 (&gt;90</w:t>
      </w:r>
      <w:r w:rsidR="00A462D0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100 mg/dL) tienen un </w:t>
      </w:r>
      <w:r w:rsidRPr="00BC4DAE">
        <w:rPr>
          <w:rFonts w:cs="Calibri"/>
          <w:i/>
          <w:iCs/>
          <w:color w:val="auto"/>
          <w:sz w:val="20"/>
        </w:rPr>
        <w:t>odds ratio</w:t>
      </w:r>
      <w:r w:rsidRPr="00B96FED">
        <w:rPr>
          <w:rFonts w:cs="Calibri"/>
          <w:color w:val="auto"/>
          <w:sz w:val="20"/>
        </w:rPr>
        <w:t xml:space="preserve"> de 1,7</w:t>
      </w:r>
      <w:r w:rsidR="00A462D0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>2,1 para recurrencia de ictus isquémico en comparación con aquellos con Lp(a) &lt;50 mg/dL. La prevención secundaria debe ser integral: control de todos los factores de riesgo modificables más evaluación de elegibilidad para terapias emergentes anti-Lp(a).</w:t>
      </w:r>
    </w:p>
    <w:p w14:paraId="6F9CBF47" w14:textId="027228CC" w:rsidR="008A01AD" w:rsidRPr="00BC4DAE" w:rsidRDefault="008A01AD" w:rsidP="00BC4DAE">
      <w:pPr>
        <w:pStyle w:val="Ttulo1"/>
        <w:rPr>
          <w:color w:val="auto"/>
        </w:rPr>
      </w:pPr>
      <w:r>
        <w:rPr>
          <w:color w:val="auto"/>
        </w:rPr>
        <w:t>4</w:t>
      </w:r>
      <w:r w:rsidRPr="007E61E2">
        <w:rPr>
          <w:color w:val="auto"/>
        </w:rPr>
        <w:t xml:space="preserve">. </w:t>
      </w:r>
      <w:r>
        <w:rPr>
          <w:color w:val="auto"/>
        </w:rPr>
        <w:t>Planteamiento terapéutico</w:t>
      </w:r>
    </w:p>
    <w:p w14:paraId="4AE18DB6" w14:textId="77777777" w:rsidR="00A456F2" w:rsidRDefault="00993BB2">
      <w:pPr>
        <w:shd w:val="clear" w:color="auto" w:fill="D4E6F1"/>
        <w:spacing w:before="400" w:after="120"/>
        <w:ind w:left="200" w:right="200"/>
      </w:pPr>
      <w:r>
        <w:rPr>
          <w:rFonts w:cs="Calibri"/>
          <w:b/>
          <w:color w:val="1B4F72"/>
          <w:sz w:val="24"/>
        </w:rPr>
        <w:t xml:space="preserve">Pregunta 3. </w:t>
      </w:r>
      <w:r>
        <w:rPr>
          <w:rFonts w:cs="Calibri"/>
          <w:b/>
        </w:rPr>
        <w:t>En cuanto al manejo terapéutico de la Lp(a) elevada en el post-ictus de Juan, ¿qué opción describe mejor la situación actual de las terapias disponibles y en desarrollo?</w:t>
      </w:r>
    </w:p>
    <w:p w14:paraId="4A065210" w14:textId="2CCDE8C2" w:rsidR="00A456F2" w:rsidRDefault="00C76279">
      <w:pPr>
        <w:spacing w:before="100" w:after="60"/>
        <w:ind w:left="400"/>
      </w:pPr>
      <w:r>
        <w:rPr>
          <w:rFonts w:cs="Calibri"/>
          <w:b/>
        </w:rPr>
        <w:t>1)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Actualmente no existe ninguna terapia aprobada específicamente para reducir </w:t>
      </w:r>
      <w:r w:rsidR="00A462D0">
        <w:rPr>
          <w:rFonts w:cs="Calibri"/>
          <w:b/>
          <w:i/>
        </w:rPr>
        <w:t xml:space="preserve">la </w:t>
      </w:r>
      <w:r>
        <w:rPr>
          <w:rFonts w:cs="Calibri"/>
          <w:b/>
          <w:i/>
        </w:rPr>
        <w:t>Lp(a), pero la inhibición con muvalaplin o la interferencia sobre su expresión genética con pelacarsen (oligonucleót</w:t>
      </w:r>
      <w:r w:rsidR="0009465A">
        <w:rPr>
          <w:rFonts w:cs="Calibri"/>
          <w:b/>
          <w:i/>
        </w:rPr>
        <w:t xml:space="preserve">ido antisentido </w:t>
      </w:r>
      <w:r w:rsidR="00E05117">
        <w:rPr>
          <w:rFonts w:cs="Calibri"/>
          <w:b/>
          <w:i/>
        </w:rPr>
        <w:t xml:space="preserve">[ASO] </w:t>
      </w:r>
      <w:r w:rsidR="0009465A">
        <w:rPr>
          <w:rFonts w:cs="Calibri"/>
          <w:b/>
          <w:i/>
        </w:rPr>
        <w:t>anti-LPA) o</w:t>
      </w:r>
      <w:r>
        <w:rPr>
          <w:rFonts w:cs="Calibri"/>
          <w:b/>
          <w:i/>
        </w:rPr>
        <w:t xml:space="preserve"> </w:t>
      </w:r>
      <w:r w:rsidR="00A462D0">
        <w:rPr>
          <w:rFonts w:cs="Calibri"/>
          <w:b/>
          <w:i/>
        </w:rPr>
        <w:t xml:space="preserve">los </w:t>
      </w:r>
      <w:r>
        <w:rPr>
          <w:rFonts w:cs="Calibri"/>
          <w:b/>
          <w:i/>
        </w:rPr>
        <w:t xml:space="preserve">siRNA olpasiran y lepodisiran han </w:t>
      </w:r>
      <w:r>
        <w:rPr>
          <w:rFonts w:cs="Calibri"/>
          <w:b/>
          <w:i/>
        </w:rPr>
        <w:lastRenderedPageBreak/>
        <w:t>demostrado</w:t>
      </w:r>
      <w:r w:rsidR="00A462D0">
        <w:rPr>
          <w:rFonts w:cs="Calibri"/>
          <w:b/>
          <w:i/>
        </w:rPr>
        <w:t>,</w:t>
      </w:r>
      <w:r>
        <w:rPr>
          <w:rFonts w:cs="Calibri"/>
          <w:b/>
          <w:i/>
        </w:rPr>
        <w:t xml:space="preserve"> en estudios en fase </w:t>
      </w:r>
      <w:r w:rsidR="0043670F">
        <w:rPr>
          <w:rFonts w:cs="Calibri"/>
          <w:b/>
          <w:i/>
        </w:rPr>
        <w:t>II</w:t>
      </w:r>
      <w:r w:rsidR="00A462D0">
        <w:rPr>
          <w:rFonts w:cs="Calibri"/>
          <w:b/>
          <w:i/>
        </w:rPr>
        <w:t>,</w:t>
      </w:r>
      <w:r>
        <w:rPr>
          <w:rFonts w:cs="Calibri"/>
          <w:b/>
          <w:i/>
        </w:rPr>
        <w:t xml:space="preserve"> reducciones &gt;80</w:t>
      </w:r>
      <w:r w:rsidR="00A462D0">
        <w:rPr>
          <w:rFonts w:cs="Calibri"/>
          <w:b/>
          <w:i/>
        </w:rPr>
        <w:t>–</w:t>
      </w:r>
      <w:r>
        <w:rPr>
          <w:rFonts w:cs="Calibri"/>
          <w:b/>
          <w:i/>
        </w:rPr>
        <w:t xml:space="preserve">95% de Lp(a) y se encuentran en ensayos de resultados cardiovasculares de fase </w:t>
      </w:r>
      <w:r w:rsidR="0043670F">
        <w:rPr>
          <w:rFonts w:cs="Calibri"/>
          <w:b/>
          <w:i/>
        </w:rPr>
        <w:t>III</w:t>
      </w:r>
      <w:r>
        <w:rPr>
          <w:rFonts w:cs="Calibri"/>
          <w:b/>
          <w:i/>
        </w:rPr>
        <w:t>.</w:t>
      </w:r>
      <w:r w:rsidR="00E05117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1E8449"/>
          <w:sz w:val="20"/>
        </w:rPr>
        <w:t>(+100 puntos)</w:t>
      </w:r>
    </w:p>
    <w:p w14:paraId="6F870C92" w14:textId="55C7C74A" w:rsidR="00A456F2" w:rsidRDefault="00C76279">
      <w:pPr>
        <w:spacing w:before="100" w:after="60"/>
        <w:ind w:left="400"/>
      </w:pPr>
      <w:r>
        <w:rPr>
          <w:rFonts w:cs="Calibri"/>
          <w:b/>
        </w:rPr>
        <w:t>2)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Las estatinas de alta potencia combinadas con ezetimiba son el tratamiento de elección para reducir </w:t>
      </w:r>
      <w:r w:rsidR="00E32FF3">
        <w:rPr>
          <w:rFonts w:cs="Calibri"/>
          <w:b/>
          <w:i/>
        </w:rPr>
        <w:t xml:space="preserve">la </w:t>
      </w:r>
      <w:r>
        <w:rPr>
          <w:rFonts w:cs="Calibri"/>
          <w:b/>
          <w:i/>
        </w:rPr>
        <w:t>Lp(a) elevada tras un ictus.</w:t>
      </w:r>
      <w:r w:rsidR="00A462D0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42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2AFA384C" w14:textId="162661EE" w:rsidR="00A456F2" w:rsidRDefault="00C76279">
      <w:pPr>
        <w:spacing w:before="100" w:after="60"/>
        <w:ind w:left="400"/>
      </w:pPr>
      <w:r>
        <w:rPr>
          <w:rFonts w:cs="Calibri"/>
          <w:b/>
        </w:rPr>
        <w:t>3)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Los inhibidores de PCSK9 </w:t>
      </w:r>
      <w:r w:rsidR="005541B6">
        <w:rPr>
          <w:rFonts w:cs="Calibri"/>
          <w:b/>
          <w:i/>
        </w:rPr>
        <w:t xml:space="preserve">(iPCSK9), como </w:t>
      </w:r>
      <w:r>
        <w:rPr>
          <w:rFonts w:cs="Calibri"/>
          <w:b/>
          <w:i/>
        </w:rPr>
        <w:t>evolocumab o alirocumab</w:t>
      </w:r>
      <w:r w:rsidR="005541B6">
        <w:rPr>
          <w:rFonts w:cs="Calibri"/>
          <w:b/>
          <w:i/>
        </w:rPr>
        <w:t>,</w:t>
      </w:r>
      <w:r>
        <w:rPr>
          <w:rFonts w:cs="Calibri"/>
          <w:b/>
          <w:i/>
        </w:rPr>
        <w:t xml:space="preserve"> reducen </w:t>
      </w:r>
      <w:r w:rsidR="00E05117">
        <w:rPr>
          <w:rFonts w:cs="Calibri"/>
          <w:b/>
          <w:i/>
        </w:rPr>
        <w:t xml:space="preserve">la </w:t>
      </w:r>
      <w:r>
        <w:rPr>
          <w:rFonts w:cs="Calibri"/>
          <w:b/>
          <w:i/>
        </w:rPr>
        <w:t xml:space="preserve">Lp(a) hasta </w:t>
      </w:r>
      <w:r w:rsidR="00E05117">
        <w:rPr>
          <w:rFonts w:cs="Calibri"/>
          <w:b/>
          <w:i/>
        </w:rPr>
        <w:t xml:space="preserve">en </w:t>
      </w:r>
      <w:r>
        <w:rPr>
          <w:rFonts w:cs="Calibri"/>
          <w:b/>
          <w:i/>
        </w:rPr>
        <w:t>un 60</w:t>
      </w:r>
      <w:r w:rsidR="00E32FF3">
        <w:rPr>
          <w:rFonts w:cs="Calibri"/>
          <w:b/>
          <w:i/>
        </w:rPr>
        <w:t>–</w:t>
      </w:r>
      <w:r>
        <w:rPr>
          <w:rFonts w:cs="Calibri"/>
          <w:b/>
          <w:i/>
        </w:rPr>
        <w:t>70% y están indicados como primera línea para Lp(a) elevada post-ictus.</w:t>
      </w:r>
      <w:r w:rsidR="00A462D0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33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C4E8DCE" w14:textId="43A78174" w:rsidR="00A456F2" w:rsidRDefault="00C76279">
      <w:pPr>
        <w:spacing w:before="100" w:after="60"/>
        <w:ind w:left="400"/>
      </w:pPr>
      <w:r>
        <w:rPr>
          <w:rFonts w:cs="Calibri"/>
          <w:b/>
        </w:rPr>
        <w:t>4)</w:t>
      </w:r>
      <w:r w:rsidR="00E05117">
        <w:rPr>
          <w:rFonts w:cs="Calibri"/>
          <w:b/>
        </w:rPr>
        <w:t xml:space="preserve"> </w:t>
      </w:r>
      <w:r>
        <w:rPr>
          <w:rFonts w:cs="Calibri"/>
          <w:b/>
          <w:i/>
        </w:rPr>
        <w:t>La aféresis de lipoproteínas es el tratamiento estándar para Lp(a) elevada post-ictus en Europa, incluyendo España.</w:t>
      </w:r>
      <w:r w:rsidR="00A462D0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25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4CA2FBA4" w14:textId="77777777" w:rsidR="00A456F2" w:rsidRDefault="00C76279">
      <w:pPr>
        <w:spacing w:before="100" w:after="60"/>
      </w:pPr>
      <w:r>
        <w:rPr>
          <w:rFonts w:cs="Calibri"/>
          <w:b/>
          <w:color w:val="1B4F72"/>
        </w:rPr>
        <w:t>Respuestas:</w:t>
      </w:r>
    </w:p>
    <w:p w14:paraId="239C9A52" w14:textId="4D00954F" w:rsidR="00A456F2" w:rsidRDefault="00C76279">
      <w:pPr>
        <w:spacing w:before="80" w:after="60"/>
        <w:ind w:left="200"/>
      </w:pPr>
      <w:r>
        <w:rPr>
          <w:rFonts w:cs="Calibri"/>
          <w:b/>
          <w:color w:val="1E8449"/>
        </w:rPr>
        <w:t>1) CORRECTA</w:t>
      </w:r>
      <w:r w:rsidR="00B96FED">
        <w:rPr>
          <w:rFonts w:cs="Calibri"/>
          <w:b/>
          <w:color w:val="1E8449"/>
        </w:rPr>
        <w:t xml:space="preserve"> </w:t>
      </w:r>
      <w:r>
        <w:rPr>
          <w:rFonts w:cs="Calibri"/>
          <w:b/>
          <w:color w:val="1E8449"/>
          <w:sz w:val="20"/>
        </w:rPr>
        <w:t>[+100 puntos]</w:t>
      </w:r>
    </w:p>
    <w:p w14:paraId="3C1DECE7" w14:textId="06622514" w:rsidR="0009465A" w:rsidRDefault="00C76279">
      <w:pPr>
        <w:spacing w:after="80"/>
        <w:ind w:left="400"/>
        <w:rPr>
          <w:rFonts w:cs="Calibri"/>
          <w:color w:val="auto"/>
          <w:sz w:val="20"/>
        </w:rPr>
      </w:pPr>
      <w:r w:rsidRPr="00B96FED">
        <w:rPr>
          <w:rFonts w:cs="Calibri"/>
          <w:color w:val="auto"/>
          <w:sz w:val="20"/>
        </w:rPr>
        <w:t xml:space="preserve">A fecha de 2026, no hay ninguna terapia aprobada específicamente para reducir </w:t>
      </w:r>
      <w:r w:rsidR="00E0511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</w:t>
      </w:r>
      <w:r w:rsidRPr="00B96FED">
        <w:rPr>
          <w:rFonts w:cs="Calibri"/>
          <w:color w:val="auto"/>
          <w:sz w:val="20"/>
          <w:vertAlign w:val="superscript"/>
        </w:rPr>
        <w:t>1,3</w:t>
      </w:r>
      <w:r w:rsidR="002C0DEC">
        <w:rPr>
          <w:rFonts w:cs="Calibri"/>
          <w:color w:val="auto"/>
          <w:sz w:val="20"/>
        </w:rPr>
        <w:t xml:space="preserve">. </w:t>
      </w:r>
      <w:r w:rsidRPr="00B96FED">
        <w:rPr>
          <w:rFonts w:cs="Calibri"/>
          <w:color w:val="auto"/>
          <w:sz w:val="20"/>
        </w:rPr>
        <w:t xml:space="preserve">Los </w:t>
      </w:r>
      <w:r w:rsidR="005541B6">
        <w:rPr>
          <w:rFonts w:cs="Calibri"/>
          <w:color w:val="auto"/>
          <w:sz w:val="20"/>
        </w:rPr>
        <w:t>i</w:t>
      </w:r>
      <w:r w:rsidRPr="00B96FED">
        <w:rPr>
          <w:rFonts w:cs="Calibri"/>
          <w:color w:val="auto"/>
          <w:sz w:val="20"/>
        </w:rPr>
        <w:t xml:space="preserve">PCSK9 reducen </w:t>
      </w:r>
      <w:r w:rsidR="00E0511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 solo un 20</w:t>
      </w:r>
      <w:r w:rsidR="00E05117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25% de forma indirecta. Muvalaplin es un inhibidor oral de la síntesis de </w:t>
      </w:r>
      <w:r w:rsidR="00E0511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 que impide la unión entre apo</w:t>
      </w:r>
      <w:r w:rsidR="00FE2A54">
        <w:rPr>
          <w:rFonts w:cs="Calibri"/>
          <w:color w:val="auto"/>
          <w:sz w:val="20"/>
        </w:rPr>
        <w:t>(a)</w:t>
      </w:r>
      <w:r w:rsidRPr="00B96FED">
        <w:rPr>
          <w:rFonts w:cs="Calibri"/>
          <w:color w:val="auto"/>
          <w:sz w:val="20"/>
        </w:rPr>
        <w:t xml:space="preserve"> y apoB</w:t>
      </w:r>
      <w:r w:rsidR="00FE2A54">
        <w:rPr>
          <w:rFonts w:cs="Calibri"/>
          <w:color w:val="auto"/>
          <w:sz w:val="20"/>
        </w:rPr>
        <w:t>-</w:t>
      </w:r>
      <w:r w:rsidRPr="00B96FED">
        <w:rPr>
          <w:rFonts w:cs="Calibri"/>
          <w:color w:val="auto"/>
          <w:sz w:val="20"/>
        </w:rPr>
        <w:t>100 y</w:t>
      </w:r>
      <w:r w:rsidR="009D720E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en el ensayo fase II KRAKEN</w:t>
      </w:r>
      <w:r w:rsidR="009D720E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</w:t>
      </w:r>
      <w:r w:rsidR="00E05117" w:rsidRPr="00B96FED">
        <w:rPr>
          <w:rFonts w:cs="Calibri"/>
          <w:color w:val="auto"/>
          <w:sz w:val="20"/>
        </w:rPr>
        <w:t xml:space="preserve">demostró </w:t>
      </w:r>
      <w:r w:rsidR="00E05117">
        <w:rPr>
          <w:rFonts w:cs="Calibri"/>
          <w:color w:val="auto"/>
          <w:sz w:val="20"/>
        </w:rPr>
        <w:t xml:space="preserve">una </w:t>
      </w:r>
      <w:r w:rsidRPr="00B96FED">
        <w:rPr>
          <w:rFonts w:cs="Calibri"/>
          <w:color w:val="auto"/>
          <w:sz w:val="20"/>
        </w:rPr>
        <w:t>reducción del 70% con dosis de 240 mg/día. En la modulación de la expresividad genética existen tres grandes candidatos en desarrollo con ensayos en fase III de reducci</w:t>
      </w:r>
      <w:r w:rsidR="0009465A">
        <w:rPr>
          <w:rFonts w:cs="Calibri"/>
          <w:color w:val="auto"/>
          <w:sz w:val="20"/>
        </w:rPr>
        <w:t>ón de eventos cardiovasculares:</w:t>
      </w:r>
    </w:p>
    <w:p w14:paraId="66DF5526" w14:textId="3FBC92EB" w:rsidR="0009465A" w:rsidRPr="0097124C" w:rsidRDefault="0009465A">
      <w:pPr>
        <w:spacing w:after="80"/>
        <w:ind w:left="400"/>
        <w:rPr>
          <w:rFonts w:cs="Calibri"/>
          <w:color w:val="auto"/>
          <w:sz w:val="20"/>
        </w:rPr>
      </w:pPr>
      <w:r w:rsidRPr="0097124C">
        <w:rPr>
          <w:rFonts w:cs="Calibri"/>
          <w:color w:val="auto"/>
          <w:sz w:val="20"/>
        </w:rPr>
        <w:t>1.</w:t>
      </w:r>
      <w:r w:rsidR="00C76279" w:rsidRPr="0097124C">
        <w:rPr>
          <w:rFonts w:cs="Calibri"/>
          <w:color w:val="auto"/>
          <w:sz w:val="20"/>
        </w:rPr>
        <w:t xml:space="preserve"> Pelacarsen: ASO ligado a N</w:t>
      </w:r>
      <w:r w:rsidR="00E05117">
        <w:rPr>
          <w:rFonts w:cs="Calibri"/>
          <w:color w:val="auto"/>
          <w:sz w:val="20"/>
        </w:rPr>
        <w:t>-</w:t>
      </w:r>
      <w:r w:rsidR="00C76279" w:rsidRPr="0097124C">
        <w:rPr>
          <w:rFonts w:cs="Calibri"/>
          <w:color w:val="auto"/>
          <w:sz w:val="20"/>
        </w:rPr>
        <w:t xml:space="preserve">acetilgalactosamina (GalNAc) que se une de forma altamente selectiva al mRNA de </w:t>
      </w:r>
      <w:r w:rsidR="00C76279" w:rsidRPr="00BC4DAE">
        <w:rPr>
          <w:rFonts w:cs="Calibri"/>
          <w:i/>
          <w:iCs/>
          <w:color w:val="auto"/>
          <w:sz w:val="20"/>
        </w:rPr>
        <w:t>LPA</w:t>
      </w:r>
      <w:r w:rsidR="00C76279" w:rsidRPr="0097124C">
        <w:rPr>
          <w:rFonts w:cs="Calibri"/>
          <w:color w:val="auto"/>
          <w:sz w:val="20"/>
        </w:rPr>
        <w:t xml:space="preserve"> en el hepatocito y lo degrada </w:t>
      </w:r>
      <w:r w:rsidR="008E2D24">
        <w:rPr>
          <w:rFonts w:cs="Calibri"/>
          <w:color w:val="auto"/>
          <w:sz w:val="20"/>
        </w:rPr>
        <w:t>mediante la ribonucleasa H1 (</w:t>
      </w:r>
      <w:r w:rsidR="00C76279" w:rsidRPr="0097124C">
        <w:rPr>
          <w:rFonts w:cs="Calibri"/>
          <w:color w:val="auto"/>
          <w:sz w:val="20"/>
        </w:rPr>
        <w:t>RNasa H1</w:t>
      </w:r>
      <w:r w:rsidR="008E2D24">
        <w:rPr>
          <w:rFonts w:cs="Calibri"/>
          <w:color w:val="auto"/>
          <w:sz w:val="20"/>
        </w:rPr>
        <w:t>)</w:t>
      </w:r>
      <w:r w:rsidR="00C76279" w:rsidRPr="0097124C">
        <w:rPr>
          <w:rFonts w:cs="Calibri"/>
          <w:color w:val="auto"/>
          <w:sz w:val="20"/>
        </w:rPr>
        <w:t xml:space="preserve">. En fase </w:t>
      </w:r>
      <w:r w:rsidR="0043670F">
        <w:rPr>
          <w:rFonts w:cs="Calibri"/>
          <w:color w:val="auto"/>
          <w:sz w:val="20"/>
        </w:rPr>
        <w:t>II</w:t>
      </w:r>
      <w:r w:rsidR="00C76279" w:rsidRPr="0097124C">
        <w:rPr>
          <w:rFonts w:cs="Calibri"/>
          <w:color w:val="auto"/>
          <w:sz w:val="20"/>
        </w:rPr>
        <w:t xml:space="preserve"> redujo </w:t>
      </w:r>
      <w:r w:rsidR="001A27A4">
        <w:rPr>
          <w:rFonts w:cs="Calibri"/>
          <w:color w:val="auto"/>
          <w:sz w:val="20"/>
        </w:rPr>
        <w:t xml:space="preserve">la </w:t>
      </w:r>
      <w:r w:rsidR="00C76279" w:rsidRPr="0097124C">
        <w:rPr>
          <w:rFonts w:cs="Calibri"/>
          <w:color w:val="auto"/>
          <w:sz w:val="20"/>
        </w:rPr>
        <w:t xml:space="preserve">Lp(a) un 80% con dosis de 20 mg </w:t>
      </w:r>
      <w:r w:rsidR="001A27A4">
        <w:rPr>
          <w:rFonts w:cs="Calibri"/>
          <w:color w:val="auto"/>
          <w:sz w:val="20"/>
        </w:rPr>
        <w:t xml:space="preserve">de administración </w:t>
      </w:r>
      <w:r w:rsidR="00C76279" w:rsidRPr="0097124C">
        <w:rPr>
          <w:rFonts w:cs="Calibri"/>
          <w:color w:val="auto"/>
          <w:sz w:val="20"/>
        </w:rPr>
        <w:t>subcutánea semanal</w:t>
      </w:r>
      <w:r w:rsidR="002C0DEC" w:rsidRPr="0097124C">
        <w:rPr>
          <w:rFonts w:cs="Calibri"/>
          <w:color w:val="auto"/>
          <w:sz w:val="20"/>
          <w:vertAlign w:val="superscript"/>
        </w:rPr>
        <w:t>8</w:t>
      </w:r>
      <w:r w:rsidR="002C0DEC" w:rsidRPr="0097124C">
        <w:rPr>
          <w:rFonts w:cs="Calibri"/>
          <w:color w:val="auto"/>
          <w:sz w:val="20"/>
        </w:rPr>
        <w:t xml:space="preserve"> </w:t>
      </w:r>
      <w:r w:rsidR="00C76279" w:rsidRPr="0097124C">
        <w:rPr>
          <w:rFonts w:cs="Calibri"/>
          <w:color w:val="auto"/>
          <w:sz w:val="20"/>
        </w:rPr>
        <w:t>(equivalente a 80 mg</w:t>
      </w:r>
      <w:r w:rsidR="001A27A4">
        <w:rPr>
          <w:rFonts w:cs="Calibri"/>
          <w:color w:val="auto"/>
          <w:sz w:val="20"/>
        </w:rPr>
        <w:t>/mes,</w:t>
      </w:r>
      <w:r w:rsidR="00C76279" w:rsidRPr="0097124C">
        <w:rPr>
          <w:rFonts w:cs="Calibri"/>
          <w:color w:val="auto"/>
          <w:sz w:val="20"/>
        </w:rPr>
        <w:t xml:space="preserve"> que </w:t>
      </w:r>
      <w:r w:rsidR="001A27A4">
        <w:rPr>
          <w:rFonts w:cs="Calibri"/>
          <w:color w:val="auto"/>
          <w:sz w:val="20"/>
        </w:rPr>
        <w:t xml:space="preserve">corresponde a </w:t>
      </w:r>
      <w:r w:rsidR="00C76279" w:rsidRPr="0097124C">
        <w:rPr>
          <w:rFonts w:cs="Calibri"/>
          <w:color w:val="auto"/>
          <w:sz w:val="20"/>
        </w:rPr>
        <w:t xml:space="preserve">la dosis </w:t>
      </w:r>
      <w:r w:rsidR="001A27A4">
        <w:rPr>
          <w:rFonts w:cs="Calibri"/>
          <w:color w:val="auto"/>
          <w:sz w:val="20"/>
        </w:rPr>
        <w:t xml:space="preserve">evaluada </w:t>
      </w:r>
      <w:r w:rsidR="00C76279" w:rsidRPr="0097124C">
        <w:rPr>
          <w:rFonts w:cs="Calibri"/>
          <w:color w:val="auto"/>
          <w:sz w:val="20"/>
        </w:rPr>
        <w:t xml:space="preserve">en </w:t>
      </w:r>
      <w:r w:rsidR="001A27A4">
        <w:rPr>
          <w:rFonts w:cs="Calibri"/>
          <w:color w:val="auto"/>
          <w:sz w:val="20"/>
        </w:rPr>
        <w:t>el</w:t>
      </w:r>
      <w:r w:rsidR="00C76279" w:rsidRPr="0097124C">
        <w:rPr>
          <w:rFonts w:cs="Calibri"/>
          <w:color w:val="auto"/>
          <w:sz w:val="20"/>
        </w:rPr>
        <w:t xml:space="preserve"> ensayo fase III HORIZON (NCT04023552)</w:t>
      </w:r>
      <w:r w:rsidR="001A27A4">
        <w:rPr>
          <w:rFonts w:cs="Calibri"/>
          <w:color w:val="auto"/>
          <w:sz w:val="20"/>
        </w:rPr>
        <w:t xml:space="preserve">, actualmente </w:t>
      </w:r>
      <w:r w:rsidR="001A27A4" w:rsidRPr="0097124C">
        <w:rPr>
          <w:rFonts w:cs="Calibri"/>
          <w:color w:val="auto"/>
          <w:sz w:val="20"/>
        </w:rPr>
        <w:t>en marcha</w:t>
      </w:r>
      <w:r w:rsidR="002C0DEC" w:rsidRPr="0097124C">
        <w:rPr>
          <w:rFonts w:cs="Calibri"/>
          <w:color w:val="auto"/>
          <w:sz w:val="20"/>
          <w:vertAlign w:val="superscript"/>
        </w:rPr>
        <w:t>7</w:t>
      </w:r>
      <w:r w:rsidR="002C0DEC" w:rsidRPr="0097124C">
        <w:rPr>
          <w:rFonts w:cs="Calibri"/>
          <w:color w:val="auto"/>
          <w:sz w:val="20"/>
        </w:rPr>
        <w:t xml:space="preserve">. </w:t>
      </w:r>
      <w:r w:rsidRPr="0097124C">
        <w:rPr>
          <w:rFonts w:cs="Calibri"/>
          <w:color w:val="auto"/>
          <w:sz w:val="20"/>
        </w:rPr>
        <w:t xml:space="preserve"> </w:t>
      </w:r>
    </w:p>
    <w:p w14:paraId="5A901811" w14:textId="50E96145" w:rsidR="0009465A" w:rsidRPr="0097124C" w:rsidRDefault="0009465A">
      <w:pPr>
        <w:spacing w:after="80"/>
        <w:ind w:left="400"/>
        <w:rPr>
          <w:rFonts w:cs="Calibri"/>
          <w:color w:val="auto"/>
          <w:sz w:val="20"/>
        </w:rPr>
      </w:pPr>
      <w:r w:rsidRPr="0097124C">
        <w:rPr>
          <w:rFonts w:cs="Calibri"/>
          <w:color w:val="auto"/>
          <w:sz w:val="20"/>
        </w:rPr>
        <w:t xml:space="preserve">2. </w:t>
      </w:r>
      <w:r w:rsidR="00C76279" w:rsidRPr="0097124C">
        <w:rPr>
          <w:rFonts w:cs="Calibri"/>
          <w:color w:val="auto"/>
          <w:sz w:val="20"/>
        </w:rPr>
        <w:t>Olpasiran: siRNA-GalNAc que silencia la expresión de</w:t>
      </w:r>
      <w:r w:rsidR="00C76279" w:rsidRPr="00BC4DAE">
        <w:rPr>
          <w:rFonts w:cs="Calibri"/>
          <w:i/>
          <w:iCs/>
          <w:color w:val="auto"/>
          <w:sz w:val="20"/>
        </w:rPr>
        <w:t xml:space="preserve"> LPA</w:t>
      </w:r>
      <w:r w:rsidR="00C76279" w:rsidRPr="0097124C">
        <w:rPr>
          <w:rFonts w:cs="Calibri"/>
          <w:color w:val="auto"/>
          <w:sz w:val="20"/>
        </w:rPr>
        <w:t xml:space="preserve"> degradando el mRNA mediante el complejo</w:t>
      </w:r>
      <w:r w:rsidR="0043670F">
        <w:rPr>
          <w:rFonts w:cs="Calibri"/>
          <w:color w:val="auto"/>
          <w:sz w:val="20"/>
        </w:rPr>
        <w:t xml:space="preserve"> </w:t>
      </w:r>
      <w:r w:rsidR="0043670F" w:rsidRPr="0043670F">
        <w:rPr>
          <w:rFonts w:cs="Calibri"/>
          <w:color w:val="auto"/>
          <w:sz w:val="20"/>
        </w:rPr>
        <w:t>de silenciamiento inducido por ARN</w:t>
      </w:r>
      <w:r w:rsidR="00C76279" w:rsidRPr="0097124C">
        <w:rPr>
          <w:rFonts w:cs="Calibri"/>
          <w:color w:val="auto"/>
          <w:sz w:val="20"/>
        </w:rPr>
        <w:t xml:space="preserve"> </w:t>
      </w:r>
      <w:r w:rsidR="0043670F">
        <w:rPr>
          <w:rFonts w:cs="Calibri"/>
          <w:color w:val="auto"/>
          <w:sz w:val="20"/>
        </w:rPr>
        <w:t>(</w:t>
      </w:r>
      <w:r w:rsidR="00C76279" w:rsidRPr="0097124C">
        <w:rPr>
          <w:rFonts w:cs="Calibri"/>
          <w:color w:val="auto"/>
          <w:sz w:val="20"/>
        </w:rPr>
        <w:t>RISC</w:t>
      </w:r>
      <w:r w:rsidR="0043670F">
        <w:rPr>
          <w:rFonts w:cs="Calibri"/>
          <w:color w:val="auto"/>
          <w:sz w:val="20"/>
        </w:rPr>
        <w:t>)</w:t>
      </w:r>
      <w:r w:rsidR="00C76279" w:rsidRPr="0097124C">
        <w:rPr>
          <w:rFonts w:cs="Calibri"/>
          <w:color w:val="auto"/>
          <w:sz w:val="20"/>
        </w:rPr>
        <w:t xml:space="preserve">. En fase II (OCEAN(a)-DOSE) </w:t>
      </w:r>
      <w:r w:rsidR="0043670F">
        <w:rPr>
          <w:rFonts w:cs="Calibri"/>
          <w:color w:val="auto"/>
          <w:sz w:val="20"/>
        </w:rPr>
        <w:t>logró una reducción de la</w:t>
      </w:r>
      <w:r w:rsidR="00C76279" w:rsidRPr="0097124C">
        <w:rPr>
          <w:rFonts w:cs="Calibri"/>
          <w:color w:val="auto"/>
          <w:sz w:val="20"/>
        </w:rPr>
        <w:t xml:space="preserve"> Lp(a) &gt;95% </w:t>
      </w:r>
      <w:r w:rsidR="0043670F">
        <w:rPr>
          <w:rFonts w:cs="Calibri"/>
          <w:color w:val="auto"/>
          <w:sz w:val="20"/>
        </w:rPr>
        <w:t>con una</w:t>
      </w:r>
      <w:r w:rsidR="00C76279" w:rsidRPr="0097124C">
        <w:rPr>
          <w:rFonts w:cs="Calibri"/>
          <w:color w:val="auto"/>
          <w:sz w:val="20"/>
        </w:rPr>
        <w:t xml:space="preserve"> dosis de 225 mg cada 12 semanas</w:t>
      </w:r>
      <w:r w:rsidR="002C0DEC" w:rsidRPr="0097124C">
        <w:rPr>
          <w:rFonts w:cs="Calibri"/>
          <w:color w:val="auto"/>
          <w:sz w:val="20"/>
          <w:vertAlign w:val="superscript"/>
        </w:rPr>
        <w:t>9,10</w:t>
      </w:r>
      <w:r w:rsidR="002C0DEC" w:rsidRPr="0097124C">
        <w:rPr>
          <w:rFonts w:cs="Calibri"/>
          <w:color w:val="auto"/>
          <w:sz w:val="20"/>
        </w:rPr>
        <w:t xml:space="preserve">. </w:t>
      </w:r>
    </w:p>
    <w:p w14:paraId="56AF87E1" w14:textId="7694CAD1" w:rsidR="0009465A" w:rsidRPr="0097124C" w:rsidRDefault="0009465A" w:rsidP="00895144">
      <w:pPr>
        <w:spacing w:after="80"/>
        <w:ind w:left="400"/>
        <w:rPr>
          <w:rFonts w:cs="Calibri"/>
          <w:color w:val="auto"/>
          <w:sz w:val="20"/>
        </w:rPr>
      </w:pPr>
      <w:r w:rsidRPr="0097124C">
        <w:rPr>
          <w:rFonts w:cs="Calibri"/>
          <w:color w:val="auto"/>
          <w:sz w:val="20"/>
        </w:rPr>
        <w:t xml:space="preserve">3. </w:t>
      </w:r>
      <w:r w:rsidR="00C76279" w:rsidRPr="0097124C">
        <w:rPr>
          <w:rFonts w:cs="Calibri"/>
          <w:color w:val="auto"/>
          <w:sz w:val="20"/>
        </w:rPr>
        <w:t>Lepodisiran: siRNA no canónico que</w:t>
      </w:r>
      <w:r w:rsidR="0043670F">
        <w:rPr>
          <w:rFonts w:cs="Calibri"/>
          <w:color w:val="auto"/>
          <w:sz w:val="20"/>
        </w:rPr>
        <w:t>,</w:t>
      </w:r>
      <w:r w:rsidR="00C76279" w:rsidRPr="0097124C">
        <w:rPr>
          <w:rFonts w:cs="Calibri"/>
          <w:color w:val="auto"/>
          <w:sz w:val="20"/>
        </w:rPr>
        <w:t xml:space="preserve"> en su ensayo fase II (ALPACA)</w:t>
      </w:r>
      <w:r w:rsidR="0043670F">
        <w:rPr>
          <w:rFonts w:cs="Calibri"/>
          <w:color w:val="auto"/>
          <w:sz w:val="20"/>
        </w:rPr>
        <w:t>,</w:t>
      </w:r>
      <w:r w:rsidR="00C76279" w:rsidRPr="0097124C">
        <w:rPr>
          <w:rFonts w:cs="Calibri"/>
          <w:color w:val="auto"/>
          <w:sz w:val="20"/>
        </w:rPr>
        <w:t xml:space="preserve"> redujo </w:t>
      </w:r>
      <w:r w:rsidR="0043670F">
        <w:rPr>
          <w:rFonts w:cs="Calibri"/>
          <w:color w:val="auto"/>
          <w:sz w:val="20"/>
        </w:rPr>
        <w:t xml:space="preserve">la </w:t>
      </w:r>
      <w:r w:rsidR="00C76279" w:rsidRPr="0097124C">
        <w:rPr>
          <w:rFonts w:cs="Calibri"/>
          <w:color w:val="auto"/>
          <w:sz w:val="20"/>
        </w:rPr>
        <w:t xml:space="preserve">Lp(a) un 93,9% con dos dosis semestrales de 400 mg y </w:t>
      </w:r>
      <w:r w:rsidR="0043670F">
        <w:rPr>
          <w:rFonts w:cs="Calibri"/>
          <w:color w:val="auto"/>
          <w:sz w:val="20"/>
        </w:rPr>
        <w:t xml:space="preserve">un </w:t>
      </w:r>
      <w:r w:rsidR="00C76279" w:rsidRPr="0097124C">
        <w:rPr>
          <w:rFonts w:cs="Calibri"/>
          <w:color w:val="auto"/>
          <w:sz w:val="20"/>
        </w:rPr>
        <w:t>efecto duradero hasta 12 meses después</w:t>
      </w:r>
      <w:r w:rsidR="002C0DEC" w:rsidRPr="0097124C">
        <w:rPr>
          <w:rFonts w:cs="Calibri"/>
          <w:color w:val="auto"/>
          <w:sz w:val="20"/>
          <w:vertAlign w:val="superscript"/>
        </w:rPr>
        <w:t>11,12</w:t>
      </w:r>
      <w:r w:rsidR="00C76279" w:rsidRPr="0097124C">
        <w:rPr>
          <w:rFonts w:cs="Calibri"/>
          <w:color w:val="auto"/>
          <w:sz w:val="20"/>
        </w:rPr>
        <w:t>.</w:t>
      </w:r>
    </w:p>
    <w:p w14:paraId="7ECB930A" w14:textId="77777777" w:rsidR="00895144" w:rsidRPr="00895144" w:rsidRDefault="00895144" w:rsidP="00895144">
      <w:pPr>
        <w:spacing w:after="80"/>
        <w:ind w:left="400"/>
        <w:rPr>
          <w:rFonts w:cs="Calibri"/>
          <w:color w:val="FF0000"/>
          <w:sz w:val="20"/>
        </w:rPr>
      </w:pPr>
    </w:p>
    <w:p w14:paraId="2667C6F3" w14:textId="0BAFDBC4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2)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42</w:t>
      </w:r>
      <w:r>
        <w:rPr>
          <w:rFonts w:cs="Calibri"/>
          <w:b/>
          <w:color w:val="C0392B"/>
          <w:sz w:val="20"/>
        </w:rPr>
        <w:t xml:space="preserve"> puntos]</w:t>
      </w:r>
    </w:p>
    <w:p w14:paraId="76481C02" w14:textId="5A822C03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>Las estatinas NO reducen la Lp(a); de hecho, pueden aumentarla ligeramente (</w:t>
      </w:r>
      <w:r w:rsidR="005541B6">
        <w:rPr>
          <w:rFonts w:cs="Calibri"/>
          <w:color w:val="auto"/>
          <w:sz w:val="20"/>
        </w:rPr>
        <w:t xml:space="preserve">en </w:t>
      </w:r>
      <w:r w:rsidRPr="00B96FED">
        <w:rPr>
          <w:rFonts w:cs="Calibri"/>
          <w:color w:val="auto"/>
          <w:sz w:val="20"/>
        </w:rPr>
        <w:t>un 10</w:t>
      </w:r>
      <w:r w:rsidR="0043670F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20% en algunos estudios). </w:t>
      </w:r>
      <w:r w:rsidR="005541B6">
        <w:rPr>
          <w:rFonts w:cs="Calibri"/>
          <w:color w:val="auto"/>
          <w:sz w:val="20"/>
        </w:rPr>
        <w:t>La e</w:t>
      </w:r>
      <w:r w:rsidRPr="00B96FED">
        <w:rPr>
          <w:rFonts w:cs="Calibri"/>
          <w:color w:val="auto"/>
          <w:sz w:val="20"/>
        </w:rPr>
        <w:t xml:space="preserve">zetimiba tampoco tiene </w:t>
      </w:r>
      <w:r w:rsidR="005541B6">
        <w:rPr>
          <w:rFonts w:cs="Calibri"/>
          <w:color w:val="auto"/>
          <w:sz w:val="20"/>
        </w:rPr>
        <w:t xml:space="preserve">un </w:t>
      </w:r>
      <w:r w:rsidRPr="00B96FED">
        <w:rPr>
          <w:rFonts w:cs="Calibri"/>
          <w:color w:val="auto"/>
          <w:sz w:val="20"/>
        </w:rPr>
        <w:t xml:space="preserve">efecto significativo sobre </w:t>
      </w:r>
      <w:r w:rsidR="005541B6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 xml:space="preserve">Lp(a). La indicación de estatinas + ezetimiba en este paciente es para alcanzar objetivos de cLDL y </w:t>
      </w:r>
      <w:r w:rsidR="00FE2A54">
        <w:rPr>
          <w:rFonts w:cs="Calibri"/>
          <w:color w:val="auto"/>
          <w:sz w:val="20"/>
        </w:rPr>
        <w:t>a</w:t>
      </w:r>
      <w:r w:rsidRPr="00B96FED">
        <w:rPr>
          <w:rFonts w:cs="Calibri"/>
          <w:color w:val="auto"/>
          <w:sz w:val="20"/>
        </w:rPr>
        <w:t>poB, no para tratar la Lp(a) elevada. El manejo actual de la Lp(a) elevada se basa en la reducción intensiva de los factores de riesgo modificables convencionales (cLDL, TA, glucemia)</w:t>
      </w:r>
      <w:r w:rsidR="005541B6">
        <w:rPr>
          <w:rFonts w:cs="Calibri"/>
          <w:color w:val="auto"/>
          <w:sz w:val="20"/>
        </w:rPr>
        <w:t>,</w:t>
      </w:r>
      <w:r w:rsidRPr="00B96FED">
        <w:rPr>
          <w:rFonts w:cs="Calibri"/>
          <w:color w:val="auto"/>
          <w:sz w:val="20"/>
        </w:rPr>
        <w:t xml:space="preserve"> pendiente de terapias específicas.</w:t>
      </w:r>
    </w:p>
    <w:p w14:paraId="476780B9" w14:textId="207B4F43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3)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33</w:t>
      </w:r>
      <w:r>
        <w:rPr>
          <w:rFonts w:cs="Calibri"/>
          <w:b/>
          <w:color w:val="C0392B"/>
          <w:sz w:val="20"/>
        </w:rPr>
        <w:t xml:space="preserve"> puntos]</w:t>
      </w:r>
    </w:p>
    <w:p w14:paraId="68C206C1" w14:textId="2C893E33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Los </w:t>
      </w:r>
      <w:r w:rsidR="005541B6">
        <w:rPr>
          <w:rFonts w:cs="Calibri"/>
          <w:color w:val="auto"/>
          <w:sz w:val="20"/>
        </w:rPr>
        <w:t>i</w:t>
      </w:r>
      <w:r w:rsidRPr="00B96FED">
        <w:rPr>
          <w:rFonts w:cs="Calibri"/>
          <w:color w:val="auto"/>
          <w:sz w:val="20"/>
        </w:rPr>
        <w:t xml:space="preserve">PCSK9 reducen </w:t>
      </w:r>
      <w:r w:rsidR="00862E3C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 solo un 20</w:t>
      </w:r>
      <w:r w:rsidR="00E05117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25% (no </w:t>
      </w:r>
      <w:r w:rsidR="004C30F6">
        <w:rPr>
          <w:rFonts w:cs="Calibri"/>
          <w:color w:val="auto"/>
          <w:sz w:val="20"/>
        </w:rPr>
        <w:t xml:space="preserve">un </w:t>
      </w:r>
      <w:r w:rsidRPr="00B96FED">
        <w:rPr>
          <w:rFonts w:cs="Calibri"/>
          <w:color w:val="auto"/>
          <w:sz w:val="20"/>
        </w:rPr>
        <w:t>60</w:t>
      </w:r>
      <w:r w:rsidR="00E05117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70%), y esta reducción es un efecto colateral de su mecanismo de acción (aumento de </w:t>
      </w:r>
      <w:r w:rsidR="00862E3C">
        <w:rPr>
          <w:rFonts w:cs="Calibri"/>
          <w:color w:val="auto"/>
          <w:sz w:val="20"/>
        </w:rPr>
        <w:t xml:space="preserve">los </w:t>
      </w:r>
      <w:r w:rsidRPr="00B96FED">
        <w:rPr>
          <w:rFonts w:cs="Calibri"/>
          <w:color w:val="auto"/>
          <w:sz w:val="20"/>
        </w:rPr>
        <w:t>receptores LDL hepáticos), no el objetivo primar</w:t>
      </w:r>
      <w:r w:rsidR="00895144">
        <w:rPr>
          <w:rFonts w:cs="Calibri"/>
          <w:color w:val="auto"/>
          <w:sz w:val="20"/>
        </w:rPr>
        <w:t>io. Su indicación actual es la</w:t>
      </w:r>
      <w:r w:rsidRPr="00B96FED">
        <w:rPr>
          <w:rFonts w:cs="Calibri"/>
          <w:color w:val="auto"/>
          <w:sz w:val="20"/>
        </w:rPr>
        <w:t xml:space="preserve"> </w:t>
      </w:r>
      <w:proofErr w:type="gramStart"/>
      <w:r w:rsidRPr="00B96FED">
        <w:rPr>
          <w:rFonts w:cs="Calibri"/>
          <w:color w:val="auto"/>
          <w:sz w:val="20"/>
        </w:rPr>
        <w:t>hipercolesterolemia</w:t>
      </w:r>
      <w:r w:rsidR="00895144">
        <w:rPr>
          <w:rFonts w:cs="Calibri"/>
          <w:color w:val="auto"/>
          <w:sz w:val="20"/>
        </w:rPr>
        <w:t xml:space="preserve"> refractaria</w:t>
      </w:r>
      <w:proofErr w:type="gramEnd"/>
      <w:r w:rsidR="00895144">
        <w:rPr>
          <w:rFonts w:cs="Calibri"/>
          <w:color w:val="auto"/>
          <w:sz w:val="20"/>
        </w:rPr>
        <w:t xml:space="preserve"> y </w:t>
      </w:r>
      <w:r w:rsidR="004C30F6">
        <w:rPr>
          <w:rFonts w:cs="Calibri"/>
          <w:color w:val="auto"/>
          <w:sz w:val="20"/>
        </w:rPr>
        <w:t xml:space="preserve">la </w:t>
      </w:r>
      <w:r w:rsidR="00895144">
        <w:rPr>
          <w:rFonts w:cs="Calibri"/>
          <w:color w:val="auto"/>
          <w:sz w:val="20"/>
        </w:rPr>
        <w:t xml:space="preserve">prevención </w:t>
      </w:r>
      <w:r w:rsidRPr="00B96FED">
        <w:rPr>
          <w:rFonts w:cs="Calibri"/>
          <w:color w:val="auto"/>
          <w:sz w:val="20"/>
        </w:rPr>
        <w:t xml:space="preserve">vascular, no específicamente </w:t>
      </w:r>
      <w:r w:rsidR="004C30F6">
        <w:rPr>
          <w:rFonts w:cs="Calibri"/>
          <w:color w:val="auto"/>
          <w:sz w:val="20"/>
        </w:rPr>
        <w:t>la</w:t>
      </w:r>
      <w:r w:rsidR="004C30F6" w:rsidRPr="00B96FED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>Lp(a) elevada. Como en el caso de Juan, la reducción del 20</w:t>
      </w:r>
      <w:r w:rsidR="00E05117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25% puede no ser suficiente para mitigar el riesgo residual atribuible a </w:t>
      </w:r>
      <w:r w:rsidR="004C30F6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 xml:space="preserve">Lp(a), que requiere reducciones &gt;50% según </w:t>
      </w:r>
      <w:r w:rsidR="004C30F6">
        <w:rPr>
          <w:rFonts w:cs="Calibri"/>
          <w:color w:val="auto"/>
          <w:sz w:val="20"/>
        </w:rPr>
        <w:t xml:space="preserve">los </w:t>
      </w:r>
      <w:r w:rsidRPr="00B96FED">
        <w:rPr>
          <w:rFonts w:cs="Calibri"/>
          <w:color w:val="auto"/>
          <w:sz w:val="20"/>
        </w:rPr>
        <w:t>modelos epidemiológicos.</w:t>
      </w:r>
    </w:p>
    <w:p w14:paraId="768A1A3D" w14:textId="03CE7280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4)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25</w:t>
      </w:r>
      <w:r>
        <w:rPr>
          <w:rFonts w:cs="Calibri"/>
          <w:b/>
          <w:color w:val="C0392B"/>
          <w:sz w:val="20"/>
        </w:rPr>
        <w:t xml:space="preserve"> puntos]</w:t>
      </w:r>
    </w:p>
    <w:p w14:paraId="2B1D873B" w14:textId="077DCAB2" w:rsidR="00A456F2" w:rsidRPr="00B96FED" w:rsidRDefault="00BE4FA1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>La aféresis de lipoproteínas solo está aprobada en Alemania para pacientes con</w:t>
      </w:r>
      <w:r w:rsidR="00862E3C">
        <w:rPr>
          <w:rFonts w:cs="Calibri"/>
          <w:color w:val="auto"/>
          <w:sz w:val="20"/>
        </w:rPr>
        <w:t xml:space="preserve"> una</w:t>
      </w:r>
      <w:r w:rsidRPr="00B96FED">
        <w:rPr>
          <w:rFonts w:cs="Calibri"/>
          <w:color w:val="auto"/>
          <w:sz w:val="20"/>
        </w:rPr>
        <w:t xml:space="preserve"> Lp(a) elevada y </w:t>
      </w:r>
      <w:r w:rsidR="00857C17">
        <w:rPr>
          <w:rFonts w:cs="Calibri"/>
          <w:color w:val="auto"/>
          <w:sz w:val="20"/>
        </w:rPr>
        <w:t xml:space="preserve">una </w:t>
      </w:r>
      <w:r w:rsidR="0055077A">
        <w:rPr>
          <w:rFonts w:cs="Calibri"/>
          <w:color w:val="auto"/>
          <w:sz w:val="20"/>
        </w:rPr>
        <w:t>ECV</w:t>
      </w:r>
      <w:r w:rsidRPr="00B96FED">
        <w:rPr>
          <w:rFonts w:cs="Calibri"/>
          <w:color w:val="auto"/>
          <w:sz w:val="20"/>
        </w:rPr>
        <w:t xml:space="preserve"> progresiva pese a tratamiento máximo. En España, su disponibilidad está limitada a casos </w:t>
      </w:r>
      <w:r w:rsidRPr="00B96FED">
        <w:rPr>
          <w:rFonts w:cs="Calibri"/>
          <w:color w:val="auto"/>
          <w:sz w:val="20"/>
        </w:rPr>
        <w:lastRenderedPageBreak/>
        <w:t>excepcionales de hipercolesterolemia familiar homocigota y se realiz</w:t>
      </w:r>
      <w:r w:rsidR="00895144">
        <w:rPr>
          <w:rFonts w:cs="Calibri"/>
          <w:color w:val="auto"/>
          <w:sz w:val="20"/>
        </w:rPr>
        <w:t>a en muy pocos centros. No es un</w:t>
      </w:r>
      <w:r w:rsidRPr="00B96FED">
        <w:rPr>
          <w:rFonts w:cs="Calibri"/>
          <w:color w:val="auto"/>
          <w:sz w:val="20"/>
        </w:rPr>
        <w:t xml:space="preserve"> tratamiento estándar para </w:t>
      </w:r>
      <w:r w:rsidR="001D6223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 elevada post-ictus. El acceso a la aféresis requiere autorización excepcional y su impacto en la calidad de vida es considerable por la necesidad de sesiones quincenales o semanales. Recientemente se ha documentado la eficacia de pelacarsen para reducir la necesidad de sesiones de aféresis de forma segura</w:t>
      </w:r>
      <w:r w:rsidR="002C0DEC" w:rsidRPr="00B96FED">
        <w:rPr>
          <w:rFonts w:cs="Calibri"/>
          <w:color w:val="FF0000"/>
          <w:sz w:val="20"/>
          <w:vertAlign w:val="superscript"/>
        </w:rPr>
        <w:t>13</w:t>
      </w:r>
      <w:r w:rsidR="004A2A2F" w:rsidRPr="00B96FED">
        <w:rPr>
          <w:rFonts w:cs="Calibri"/>
          <w:color w:val="auto"/>
          <w:sz w:val="20"/>
        </w:rPr>
        <w:t>.</w:t>
      </w:r>
      <w:r w:rsidRPr="00B96FED">
        <w:rPr>
          <w:rFonts w:cs="Calibri"/>
          <w:color w:val="auto"/>
          <w:sz w:val="20"/>
        </w:rPr>
        <w:t xml:space="preserve">    </w:t>
      </w:r>
    </w:p>
    <w:p w14:paraId="4E138B92" w14:textId="2E6F215C" w:rsidR="00F86145" w:rsidRPr="00BC4DAE" w:rsidRDefault="00F86145" w:rsidP="00BC4DAE">
      <w:pPr>
        <w:pStyle w:val="Ttulo1"/>
        <w:rPr>
          <w:color w:val="auto"/>
        </w:rPr>
      </w:pPr>
      <w:r w:rsidRPr="00020024">
        <w:rPr>
          <w:color w:val="auto"/>
        </w:rPr>
        <w:t>5. Terapias emergentes anti-Lp(a): pelarcasen y ensayo HORIZON</w:t>
      </w:r>
    </w:p>
    <w:p w14:paraId="04E896DB" w14:textId="7FD5CF40" w:rsidR="00A456F2" w:rsidRDefault="00F9550E" w:rsidP="00BC4DAE">
      <w:pPr>
        <w:shd w:val="clear" w:color="auto" w:fill="D4E6F1"/>
        <w:spacing w:before="400" w:after="120"/>
        <w:ind w:left="200" w:right="200"/>
        <w:jc w:val="left"/>
      </w:pPr>
      <w:r>
        <w:rPr>
          <w:rFonts w:cs="Calibri"/>
          <w:b/>
          <w:color w:val="1B4F72"/>
          <w:sz w:val="24"/>
        </w:rPr>
        <w:t xml:space="preserve">Pregunta 4. </w:t>
      </w:r>
      <w:r>
        <w:rPr>
          <w:rFonts w:cs="Calibri"/>
          <w:b/>
        </w:rPr>
        <w:t>Respecto al ensayo clínico HORIZON con pelacarsen, señal</w:t>
      </w:r>
      <w:r w:rsidR="00480211">
        <w:rPr>
          <w:rFonts w:cs="Calibri"/>
          <w:b/>
        </w:rPr>
        <w:t>a</w:t>
      </w:r>
      <w:r>
        <w:rPr>
          <w:rFonts w:cs="Calibri"/>
          <w:b/>
        </w:rPr>
        <w:t xml:space="preserve"> la afirmación correcta:</w:t>
      </w:r>
    </w:p>
    <w:p w14:paraId="69EFF459" w14:textId="4A7F2D2A" w:rsidR="00A456F2" w:rsidRDefault="00C76279">
      <w:pPr>
        <w:spacing w:before="100" w:after="60"/>
        <w:ind w:left="400"/>
      </w:pPr>
      <w:r>
        <w:rPr>
          <w:rFonts w:cs="Calibri"/>
          <w:b/>
        </w:rPr>
        <w:t>1)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El ensayo HORIZON (NCT04023552) es un estudio de fase </w:t>
      </w:r>
      <w:r w:rsidR="0043670F">
        <w:rPr>
          <w:rFonts w:cs="Calibri"/>
          <w:b/>
          <w:i/>
        </w:rPr>
        <w:t>III</w:t>
      </w:r>
      <w:r>
        <w:rPr>
          <w:rFonts w:cs="Calibri"/>
          <w:b/>
          <w:i/>
        </w:rPr>
        <w:t xml:space="preserve">, doble ciego, aleatorizado, controlado con placebo, que evalúa pelacarsen 80 mg </w:t>
      </w:r>
      <w:r w:rsidR="001173EE">
        <w:rPr>
          <w:rFonts w:cs="Calibri"/>
          <w:b/>
          <w:i/>
        </w:rPr>
        <w:t>con administración subcutánea</w:t>
      </w:r>
      <w:r>
        <w:rPr>
          <w:rFonts w:cs="Calibri"/>
          <w:b/>
          <w:i/>
        </w:rPr>
        <w:t xml:space="preserve"> mensual frente a placebo en 8323 pacientes con </w:t>
      </w:r>
      <w:r w:rsidR="0055077A">
        <w:rPr>
          <w:rFonts w:cs="Calibri"/>
          <w:b/>
          <w:i/>
        </w:rPr>
        <w:t>ECV</w:t>
      </w:r>
      <w:r>
        <w:rPr>
          <w:rFonts w:cs="Calibri"/>
          <w:b/>
          <w:i/>
        </w:rPr>
        <w:t xml:space="preserve"> establecida e Lp(a) ≥70 mg/dL, con un </w:t>
      </w:r>
      <w:r w:rsidR="0055077A">
        <w:rPr>
          <w:rFonts w:cs="Calibri"/>
          <w:b/>
          <w:i/>
        </w:rPr>
        <w:t xml:space="preserve">criterio de valoración principal </w:t>
      </w:r>
      <w:r>
        <w:rPr>
          <w:rFonts w:cs="Calibri"/>
          <w:b/>
          <w:i/>
        </w:rPr>
        <w:t xml:space="preserve">compuesto de muerte cardiovascular, </w:t>
      </w:r>
      <w:r w:rsidR="008A73DA">
        <w:rPr>
          <w:rFonts w:cs="Calibri"/>
          <w:b/>
          <w:i/>
        </w:rPr>
        <w:t>infarto agudo de miocardio (</w:t>
      </w:r>
      <w:r>
        <w:rPr>
          <w:rFonts w:cs="Calibri"/>
          <w:b/>
          <w:i/>
        </w:rPr>
        <w:t>IAM</w:t>
      </w:r>
      <w:r w:rsidR="008A73DA">
        <w:rPr>
          <w:rFonts w:cs="Calibri"/>
          <w:b/>
          <w:i/>
        </w:rPr>
        <w:t>)</w:t>
      </w:r>
      <w:r>
        <w:rPr>
          <w:rFonts w:cs="Calibri"/>
          <w:b/>
          <w:i/>
        </w:rPr>
        <w:t xml:space="preserve"> no fatal, ictus no fatal o revascularización coronaria urgente.</w:t>
      </w:r>
      <w:r w:rsidR="008A73D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1E8449"/>
          <w:sz w:val="20"/>
        </w:rPr>
        <w:t>(+100 puntos)</w:t>
      </w:r>
    </w:p>
    <w:p w14:paraId="357DDB4A" w14:textId="0BF4702A" w:rsidR="00A456F2" w:rsidRDefault="00C76279">
      <w:pPr>
        <w:spacing w:before="100" w:after="60"/>
        <w:ind w:left="400"/>
      </w:pPr>
      <w:r>
        <w:rPr>
          <w:rFonts w:cs="Calibri"/>
          <w:b/>
        </w:rPr>
        <w:t>2)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El ensayo HORIZON evalúa pelacarsen a dosis </w:t>
      </w:r>
      <w:r w:rsidR="006B33BD">
        <w:rPr>
          <w:rFonts w:cs="Calibri"/>
          <w:b/>
          <w:i/>
        </w:rPr>
        <w:t xml:space="preserve">semanales </w:t>
      </w:r>
      <w:r>
        <w:rPr>
          <w:rFonts w:cs="Calibri"/>
          <w:b/>
          <w:i/>
        </w:rPr>
        <w:t>de 20 mg en pacientes con hipercolesterolemia familiar sin antecedentes cardiovasculares.</w:t>
      </w:r>
      <w:r w:rsidR="008A73D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18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3852815F" w14:textId="3B7FAECF" w:rsidR="00A456F2" w:rsidRDefault="00C76279" w:rsidP="0055077A">
      <w:pPr>
        <w:spacing w:before="100" w:after="60"/>
        <w:ind w:left="400"/>
      </w:pPr>
      <w:r>
        <w:rPr>
          <w:rFonts w:cs="Calibri"/>
          <w:b/>
        </w:rPr>
        <w:t>3)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 xml:space="preserve">El </w:t>
      </w:r>
      <w:r w:rsidR="0055077A" w:rsidRPr="0055077A">
        <w:rPr>
          <w:rFonts w:cs="Calibri"/>
          <w:b/>
          <w:i/>
        </w:rPr>
        <w:t>criterio de valoración principal</w:t>
      </w:r>
      <w:r>
        <w:rPr>
          <w:rFonts w:cs="Calibri"/>
          <w:b/>
          <w:i/>
        </w:rPr>
        <w:t xml:space="preserve"> de HORIZON es el cambio en los niveles de Lp(a) a las 52 semanas.</w:t>
      </w:r>
      <w:r w:rsidR="008A73D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895144">
        <w:rPr>
          <w:rFonts w:cs="Calibri"/>
          <w:b/>
          <w:i/>
          <w:color w:val="C0392B"/>
          <w:sz w:val="20"/>
        </w:rPr>
        <w:t xml:space="preserve"> </w:t>
      </w:r>
      <w:r w:rsidR="00C320F5">
        <w:rPr>
          <w:rFonts w:cs="Calibri"/>
          <w:b/>
          <w:i/>
          <w:color w:val="C0392B"/>
          <w:sz w:val="20"/>
        </w:rPr>
        <w:t>23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039EB08" w14:textId="75942C02" w:rsidR="00A456F2" w:rsidRDefault="00C76279">
      <w:pPr>
        <w:spacing w:before="100" w:after="60"/>
        <w:ind w:left="400"/>
      </w:pPr>
      <w:r>
        <w:rPr>
          <w:rFonts w:cs="Calibri"/>
          <w:b/>
        </w:rPr>
        <w:t>4)</w:t>
      </w:r>
      <w:r w:rsidR="00895144">
        <w:rPr>
          <w:rFonts w:cs="Calibri"/>
          <w:b/>
        </w:rPr>
        <w:t xml:space="preserve"> </w:t>
      </w:r>
      <w:r>
        <w:rPr>
          <w:rFonts w:cs="Calibri"/>
          <w:b/>
          <w:i/>
        </w:rPr>
        <w:t>El ensayo HORIZON excluye a pacientes con antecedentes de ictus isquémico, por lo que Juan no sería elegible</w:t>
      </w:r>
      <w:r w:rsidR="008A73DA">
        <w:rPr>
          <w:rFonts w:cs="Calibri"/>
          <w:b/>
          <w:i/>
        </w:rPr>
        <w:t xml:space="preserve"> para este tratamiento</w:t>
      </w:r>
      <w:r>
        <w:rPr>
          <w:rFonts w:cs="Calibri"/>
          <w:b/>
          <w:i/>
        </w:rPr>
        <w:t>.</w:t>
      </w:r>
      <w:r w:rsidR="008A73DA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59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8FA83B9" w14:textId="77777777" w:rsidR="00A456F2" w:rsidRDefault="00C76279">
      <w:pPr>
        <w:spacing w:before="100" w:after="60"/>
      </w:pPr>
      <w:r>
        <w:rPr>
          <w:rFonts w:cs="Calibri"/>
          <w:b/>
          <w:color w:val="1B4F72"/>
        </w:rPr>
        <w:t>Respuestas:</w:t>
      </w:r>
    </w:p>
    <w:p w14:paraId="1D9C26AD" w14:textId="600D2305" w:rsidR="00A456F2" w:rsidRDefault="00C76279">
      <w:pPr>
        <w:spacing w:before="80" w:after="60"/>
        <w:ind w:left="200"/>
      </w:pPr>
      <w:r>
        <w:rPr>
          <w:rFonts w:cs="Calibri"/>
          <w:b/>
          <w:color w:val="1E8449"/>
        </w:rPr>
        <w:t>1) CORRECTA</w:t>
      </w:r>
      <w:r w:rsidR="00B96FED">
        <w:rPr>
          <w:rFonts w:cs="Calibri"/>
          <w:b/>
          <w:color w:val="1E8449"/>
        </w:rPr>
        <w:t xml:space="preserve"> </w:t>
      </w:r>
      <w:r>
        <w:rPr>
          <w:rFonts w:cs="Calibri"/>
          <w:b/>
          <w:color w:val="1E8449"/>
          <w:sz w:val="20"/>
        </w:rPr>
        <w:t>[+100 puntos]</w:t>
      </w:r>
    </w:p>
    <w:p w14:paraId="38CAC0A6" w14:textId="499FF460" w:rsidR="00895144" w:rsidRDefault="00C76279">
      <w:pPr>
        <w:spacing w:after="80"/>
        <w:ind w:left="400"/>
        <w:rPr>
          <w:rFonts w:cs="Calibri"/>
          <w:color w:val="auto"/>
          <w:sz w:val="20"/>
        </w:rPr>
      </w:pPr>
      <w:r w:rsidRPr="00B96FED">
        <w:rPr>
          <w:rFonts w:cs="Calibri"/>
          <w:color w:val="auto"/>
          <w:sz w:val="20"/>
        </w:rPr>
        <w:t xml:space="preserve">El ensayo Lp(a) HORIZON es el primer estudio de fase </w:t>
      </w:r>
      <w:r w:rsidR="0043670F">
        <w:rPr>
          <w:rFonts w:cs="Calibri"/>
          <w:color w:val="auto"/>
          <w:sz w:val="20"/>
        </w:rPr>
        <w:t>III</w:t>
      </w:r>
      <w:r w:rsidRPr="00B96FED">
        <w:rPr>
          <w:rFonts w:cs="Calibri"/>
          <w:color w:val="auto"/>
          <w:sz w:val="20"/>
        </w:rPr>
        <w:t xml:space="preserve"> diseñado para demostrar si la reducción farmacológica de Lp(a) disminuye eventos cardiovasculares</w:t>
      </w:r>
      <w:r w:rsidR="002C0DEC" w:rsidRPr="00B96FED">
        <w:rPr>
          <w:rFonts w:cs="Calibri"/>
          <w:color w:val="FF0000"/>
          <w:sz w:val="20"/>
          <w:vertAlign w:val="superscript"/>
        </w:rPr>
        <w:t>7</w:t>
      </w:r>
      <w:r w:rsidR="00895144">
        <w:rPr>
          <w:rFonts w:cs="Calibri"/>
          <w:color w:val="auto"/>
          <w:sz w:val="20"/>
        </w:rPr>
        <w:t xml:space="preserve">. Características clave: </w:t>
      </w:r>
    </w:p>
    <w:p w14:paraId="4B9BE7F8" w14:textId="6F00718C" w:rsidR="00895144" w:rsidRDefault="00895144" w:rsidP="006B33BD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 xml:space="preserve">Diseño: multicéntrico, doble ciego, </w:t>
      </w:r>
      <w:r>
        <w:rPr>
          <w:rFonts w:cs="Calibri"/>
          <w:color w:val="auto"/>
          <w:sz w:val="20"/>
        </w:rPr>
        <w:t xml:space="preserve">asignación </w:t>
      </w:r>
      <w:r w:rsidR="00C76279" w:rsidRPr="00B96FED">
        <w:rPr>
          <w:rFonts w:cs="Calibri"/>
          <w:color w:val="auto"/>
          <w:sz w:val="20"/>
        </w:rPr>
        <w:t>1:1 (pelacarsen 80</w:t>
      </w:r>
      <w:r>
        <w:rPr>
          <w:rFonts w:cs="Calibri"/>
          <w:color w:val="auto"/>
          <w:sz w:val="20"/>
        </w:rPr>
        <w:t xml:space="preserve"> mg </w:t>
      </w:r>
      <w:r w:rsidR="006B33BD">
        <w:rPr>
          <w:rFonts w:cs="Calibri"/>
          <w:color w:val="auto"/>
          <w:sz w:val="20"/>
        </w:rPr>
        <w:t>c</w:t>
      </w:r>
      <w:r w:rsidR="006B33BD" w:rsidRPr="00BC4DAE">
        <w:rPr>
          <w:rFonts w:cs="Calibri"/>
          <w:bCs/>
          <w:iCs/>
          <w:color w:val="auto"/>
          <w:sz w:val="20"/>
        </w:rPr>
        <w:t>on administración subcutánea mensual</w:t>
      </w:r>
      <w:r w:rsidRPr="00BC4DAE">
        <w:rPr>
          <w:rFonts w:cs="Calibri"/>
          <w:bCs/>
          <w:iCs/>
          <w:color w:val="auto"/>
          <w:sz w:val="20"/>
        </w:rPr>
        <w:t xml:space="preserve"> </w:t>
      </w:r>
      <w:r>
        <w:rPr>
          <w:rFonts w:cs="Calibri"/>
          <w:color w:val="auto"/>
          <w:sz w:val="20"/>
        </w:rPr>
        <w:t>vs</w:t>
      </w:r>
      <w:r w:rsidR="006B33BD">
        <w:rPr>
          <w:rFonts w:cs="Calibri"/>
          <w:color w:val="auto"/>
          <w:sz w:val="20"/>
        </w:rPr>
        <w:t>.</w:t>
      </w:r>
      <w:r>
        <w:rPr>
          <w:rFonts w:cs="Calibri"/>
          <w:color w:val="auto"/>
          <w:sz w:val="20"/>
        </w:rPr>
        <w:t xml:space="preserve"> placebo). Seguimiento mínimo 2</w:t>
      </w:r>
      <w:r w:rsidR="006B33BD">
        <w:rPr>
          <w:rFonts w:cs="Calibri"/>
          <w:color w:val="auto"/>
          <w:sz w:val="20"/>
        </w:rPr>
        <w:t>,</w:t>
      </w:r>
      <w:r>
        <w:rPr>
          <w:rFonts w:cs="Calibri"/>
          <w:color w:val="auto"/>
          <w:sz w:val="20"/>
        </w:rPr>
        <w:t>5 años.</w:t>
      </w:r>
    </w:p>
    <w:p w14:paraId="0D485610" w14:textId="1EC87838" w:rsidR="00895144" w:rsidRDefault="00895144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 xml:space="preserve">Población: 8323 pacientes con ECV establecida (IAM, ictus isquémico o </w:t>
      </w:r>
      <w:r w:rsidR="0055077A">
        <w:rPr>
          <w:rFonts w:cs="Calibri"/>
          <w:color w:val="auto"/>
          <w:sz w:val="20"/>
        </w:rPr>
        <w:t>EAP</w:t>
      </w:r>
      <w:r w:rsidR="00C76279" w:rsidRPr="00B96FED">
        <w:rPr>
          <w:rFonts w:cs="Calibri"/>
          <w:color w:val="auto"/>
          <w:sz w:val="20"/>
        </w:rPr>
        <w:t xml:space="preserve"> sintomática) </w:t>
      </w:r>
      <w:r w:rsidR="0055077A">
        <w:rPr>
          <w:rFonts w:cs="Calibri"/>
          <w:color w:val="auto"/>
          <w:sz w:val="20"/>
        </w:rPr>
        <w:t>y</w:t>
      </w:r>
      <w:r w:rsidR="00C76279" w:rsidRPr="00B96FED">
        <w:rPr>
          <w:rFonts w:cs="Calibri"/>
          <w:color w:val="auto"/>
          <w:sz w:val="20"/>
        </w:rPr>
        <w:t xml:space="preserve"> Lp(a) ≥70 mg/dL (≈149 nm</w:t>
      </w:r>
      <w:r>
        <w:rPr>
          <w:rFonts w:cs="Calibri"/>
          <w:color w:val="auto"/>
          <w:sz w:val="20"/>
        </w:rPr>
        <w:t xml:space="preserve">ol/L) en el </w:t>
      </w:r>
      <w:r w:rsidR="0055077A">
        <w:rPr>
          <w:rFonts w:cs="Calibri"/>
          <w:color w:val="auto"/>
          <w:sz w:val="20"/>
        </w:rPr>
        <w:t>cribado</w:t>
      </w:r>
      <w:r>
        <w:rPr>
          <w:rFonts w:cs="Calibri"/>
          <w:color w:val="auto"/>
          <w:sz w:val="20"/>
        </w:rPr>
        <w:t xml:space="preserve">. </w:t>
      </w:r>
    </w:p>
    <w:p w14:paraId="5DD10DC8" w14:textId="0BB8CD0C" w:rsidR="00895144" w:rsidRDefault="00895144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>C</w:t>
      </w:r>
      <w:r>
        <w:rPr>
          <w:rFonts w:cs="Calibri"/>
          <w:color w:val="auto"/>
          <w:sz w:val="20"/>
        </w:rPr>
        <w:t>riterios de inclusión: clínica cardiovascular</w:t>
      </w:r>
      <w:r w:rsidR="00C76279" w:rsidRPr="00B96FED">
        <w:rPr>
          <w:rFonts w:cs="Calibri"/>
          <w:color w:val="auto"/>
          <w:sz w:val="20"/>
        </w:rPr>
        <w:t xml:space="preserve"> índice entre 3 meses</w:t>
      </w:r>
      <w:r>
        <w:rPr>
          <w:rFonts w:cs="Calibri"/>
          <w:color w:val="auto"/>
          <w:sz w:val="20"/>
        </w:rPr>
        <w:t xml:space="preserve"> y 10 años previos al </w:t>
      </w:r>
      <w:r w:rsidR="0055077A">
        <w:rPr>
          <w:rFonts w:cs="Calibri"/>
          <w:color w:val="auto"/>
          <w:sz w:val="20"/>
        </w:rPr>
        <w:t>cribado</w:t>
      </w:r>
      <w:r>
        <w:rPr>
          <w:rFonts w:cs="Calibri"/>
          <w:color w:val="auto"/>
          <w:sz w:val="20"/>
        </w:rPr>
        <w:t xml:space="preserve">. </w:t>
      </w:r>
    </w:p>
    <w:p w14:paraId="20CDE819" w14:textId="227CE9C8" w:rsidR="00895144" w:rsidRDefault="00895144" w:rsidP="0055077A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>-</w:t>
      </w:r>
      <w:r w:rsidR="00C76279" w:rsidRPr="00B96FED">
        <w:rPr>
          <w:rFonts w:cs="Calibri"/>
          <w:color w:val="auto"/>
          <w:sz w:val="20"/>
        </w:rPr>
        <w:t xml:space="preserve"> </w:t>
      </w:r>
      <w:r w:rsidR="0055077A" w:rsidRPr="0055077A">
        <w:rPr>
          <w:rFonts w:cs="Calibri"/>
          <w:color w:val="auto"/>
          <w:sz w:val="20"/>
        </w:rPr>
        <w:t>C</w:t>
      </w:r>
      <w:r w:rsidR="0055077A" w:rsidRPr="00BC4DAE">
        <w:rPr>
          <w:rFonts w:cs="Calibri"/>
          <w:color w:val="auto"/>
          <w:sz w:val="20"/>
        </w:rPr>
        <w:t>riterio de valoración principal</w:t>
      </w:r>
      <w:r w:rsidR="00C76279" w:rsidRPr="00B96FED">
        <w:rPr>
          <w:rFonts w:cs="Calibri"/>
          <w:color w:val="auto"/>
          <w:sz w:val="20"/>
        </w:rPr>
        <w:t>: MACE</w:t>
      </w:r>
      <w:r w:rsidR="00070D38">
        <w:rPr>
          <w:rFonts w:cs="Calibri"/>
          <w:color w:val="auto"/>
          <w:sz w:val="20"/>
        </w:rPr>
        <w:t xml:space="preserve"> (eventos cardiovasculares mayores)</w:t>
      </w:r>
      <w:r w:rsidR="00C76279" w:rsidRPr="00B96FED">
        <w:rPr>
          <w:rFonts w:cs="Calibri"/>
          <w:color w:val="auto"/>
          <w:sz w:val="20"/>
        </w:rPr>
        <w:t xml:space="preserve"> expandido (muerte </w:t>
      </w:r>
      <w:r w:rsidR="00070D38">
        <w:rPr>
          <w:rFonts w:cs="Calibri"/>
          <w:color w:val="auto"/>
          <w:sz w:val="20"/>
        </w:rPr>
        <w:t>cardiovascular</w:t>
      </w:r>
      <w:r w:rsidR="00C76279" w:rsidRPr="00B96FED">
        <w:rPr>
          <w:rFonts w:cs="Calibri"/>
          <w:color w:val="auto"/>
          <w:sz w:val="20"/>
        </w:rPr>
        <w:t>, IAM no fatal, ictus no fatal, revascularización coronari</w:t>
      </w:r>
      <w:r>
        <w:rPr>
          <w:rFonts w:cs="Calibri"/>
          <w:color w:val="auto"/>
          <w:sz w:val="20"/>
        </w:rPr>
        <w:t xml:space="preserve">a urgente con hospitalización). </w:t>
      </w:r>
    </w:p>
    <w:p w14:paraId="44890301" w14:textId="2D21710E" w:rsidR="00895144" w:rsidRDefault="00895144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55077A" w:rsidRPr="0055077A">
        <w:rPr>
          <w:rFonts w:cs="Calibri"/>
          <w:color w:val="auto"/>
          <w:sz w:val="20"/>
        </w:rPr>
        <w:t>C</w:t>
      </w:r>
      <w:r w:rsidR="0055077A" w:rsidRPr="00BC4DAE">
        <w:rPr>
          <w:rFonts w:cs="Calibri"/>
          <w:color w:val="auto"/>
          <w:sz w:val="20"/>
        </w:rPr>
        <w:t>riterio de valoración</w:t>
      </w:r>
      <w:r w:rsidR="00C76279" w:rsidRPr="00B96FED">
        <w:rPr>
          <w:rFonts w:cs="Calibri"/>
          <w:color w:val="auto"/>
          <w:sz w:val="20"/>
        </w:rPr>
        <w:t xml:space="preserve"> </w:t>
      </w:r>
      <w:r>
        <w:rPr>
          <w:rFonts w:cs="Calibri"/>
          <w:color w:val="auto"/>
          <w:sz w:val="20"/>
        </w:rPr>
        <w:t xml:space="preserve">preespecificado en subgrupo Lp(a) ≥90 mg/dL (≈192 nmol/L). </w:t>
      </w:r>
    </w:p>
    <w:p w14:paraId="32D4B589" w14:textId="77777777" w:rsidR="00895144" w:rsidRDefault="00895144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>- Reclutamiento completado</w:t>
      </w:r>
      <w:r w:rsidR="00C76279" w:rsidRPr="00B96FED">
        <w:rPr>
          <w:rFonts w:cs="Calibri"/>
          <w:color w:val="auto"/>
          <w:sz w:val="20"/>
        </w:rPr>
        <w:t xml:space="preserve"> en 2022 con resultados pendientes de eventos acumulados.</w:t>
      </w:r>
      <w:r>
        <w:rPr>
          <w:rFonts w:cs="Calibri"/>
          <w:color w:val="auto"/>
          <w:sz w:val="20"/>
        </w:rPr>
        <w:t xml:space="preserve"> </w:t>
      </w:r>
      <w:r w:rsidR="00C76279" w:rsidRPr="00B96FED">
        <w:rPr>
          <w:rFonts w:cs="Calibri"/>
          <w:color w:val="auto"/>
          <w:sz w:val="20"/>
        </w:rPr>
        <w:t xml:space="preserve"> </w:t>
      </w:r>
    </w:p>
    <w:p w14:paraId="0A8485DB" w14:textId="116D8FFF" w:rsidR="00A456F2" w:rsidRPr="00B96FED" w:rsidRDefault="00895144">
      <w:pPr>
        <w:spacing w:after="80"/>
        <w:ind w:left="400"/>
        <w:rPr>
          <w:color w:val="auto"/>
        </w:rPr>
      </w:pPr>
      <w:r>
        <w:rPr>
          <w:rFonts w:cs="Calibri"/>
          <w:color w:val="auto"/>
          <w:sz w:val="20"/>
        </w:rPr>
        <w:t>Juan cumple</w:t>
      </w:r>
      <w:r w:rsidR="00C76279" w:rsidRPr="00B96FED">
        <w:rPr>
          <w:rFonts w:cs="Calibri"/>
          <w:color w:val="auto"/>
          <w:sz w:val="20"/>
        </w:rPr>
        <w:t xml:space="preserve"> los criterios de inclusión de</w:t>
      </w:r>
      <w:r>
        <w:rPr>
          <w:rFonts w:cs="Calibri"/>
          <w:color w:val="auto"/>
          <w:sz w:val="20"/>
        </w:rPr>
        <w:t xml:space="preserve">l ensayo (ictus isquémico/IAM </w:t>
      </w:r>
      <w:r w:rsidR="00C76279" w:rsidRPr="00B96FED">
        <w:rPr>
          <w:rFonts w:cs="Calibri"/>
          <w:color w:val="auto"/>
          <w:sz w:val="20"/>
        </w:rPr>
        <w:t>+ Lp(a) elevada)</w:t>
      </w:r>
      <w:r w:rsidR="002C0DEC" w:rsidRPr="00B96FED">
        <w:rPr>
          <w:rFonts w:cs="Calibri"/>
          <w:color w:val="FF0000"/>
          <w:vertAlign w:val="superscript"/>
        </w:rPr>
        <w:t>7,14</w:t>
      </w:r>
      <w:r w:rsidR="00C76279" w:rsidRPr="00B96FED">
        <w:rPr>
          <w:rFonts w:cs="Calibri"/>
          <w:color w:val="auto"/>
          <w:sz w:val="20"/>
        </w:rPr>
        <w:t>.</w:t>
      </w:r>
    </w:p>
    <w:p w14:paraId="190FCF38" w14:textId="024DFC74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2)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18</w:t>
      </w:r>
      <w:r>
        <w:rPr>
          <w:rFonts w:cs="Calibri"/>
          <w:b/>
          <w:color w:val="C0392B"/>
          <w:sz w:val="20"/>
        </w:rPr>
        <w:t xml:space="preserve"> puntos]</w:t>
      </w:r>
    </w:p>
    <w:p w14:paraId="0E8D54B7" w14:textId="0E5C24F6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La dosis de pelacarsen en HORIZON es </w:t>
      </w:r>
      <w:r w:rsidR="00070D38">
        <w:rPr>
          <w:rFonts w:cs="Calibri"/>
          <w:color w:val="auto"/>
          <w:sz w:val="20"/>
        </w:rPr>
        <w:t xml:space="preserve">de </w:t>
      </w:r>
      <w:r w:rsidRPr="00B96FED">
        <w:rPr>
          <w:rFonts w:cs="Calibri"/>
          <w:color w:val="auto"/>
          <w:sz w:val="20"/>
        </w:rPr>
        <w:t>80 mg una vez al mes (no 20 mg semanal</w:t>
      </w:r>
      <w:r w:rsidR="00070D38">
        <w:rPr>
          <w:rFonts w:cs="Calibri"/>
          <w:color w:val="auto"/>
          <w:sz w:val="20"/>
        </w:rPr>
        <w:t>es</w:t>
      </w:r>
      <w:r w:rsidRPr="00B96FED">
        <w:rPr>
          <w:rFonts w:cs="Calibri"/>
          <w:color w:val="auto"/>
          <w:sz w:val="20"/>
        </w:rPr>
        <w:t>). Aunque 20 mg semanal</w:t>
      </w:r>
      <w:r w:rsidR="00070D38">
        <w:rPr>
          <w:rFonts w:cs="Calibri"/>
          <w:color w:val="auto"/>
          <w:sz w:val="20"/>
        </w:rPr>
        <w:t>es</w:t>
      </w:r>
      <w:r w:rsidRPr="00B96FED">
        <w:rPr>
          <w:rFonts w:cs="Calibri"/>
          <w:color w:val="auto"/>
          <w:sz w:val="20"/>
        </w:rPr>
        <w:t xml:space="preserve"> fue la dosis evaluada en fase </w:t>
      </w:r>
      <w:r w:rsidR="0043670F">
        <w:rPr>
          <w:rFonts w:cs="Calibri"/>
          <w:color w:val="auto"/>
          <w:sz w:val="20"/>
        </w:rPr>
        <w:t>II</w:t>
      </w:r>
      <w:r w:rsidRPr="00B96FED">
        <w:rPr>
          <w:rFonts w:cs="Calibri"/>
          <w:color w:val="auto"/>
          <w:sz w:val="20"/>
        </w:rPr>
        <w:t>, los modelos farmacodinámicos demostraron que 80 mg</w:t>
      </w:r>
      <w:r w:rsidR="00070D38">
        <w:rPr>
          <w:rFonts w:cs="Calibri"/>
          <w:color w:val="auto"/>
          <w:sz w:val="20"/>
        </w:rPr>
        <w:t xml:space="preserve"> </w:t>
      </w:r>
      <w:r w:rsidR="009947EC">
        <w:rPr>
          <w:rFonts w:cs="Calibri"/>
          <w:color w:val="auto"/>
          <w:sz w:val="20"/>
        </w:rPr>
        <w:t>e</w:t>
      </w:r>
      <w:r w:rsidR="00070D38">
        <w:rPr>
          <w:rFonts w:cs="Calibri"/>
          <w:color w:val="auto"/>
          <w:sz w:val="20"/>
        </w:rPr>
        <w:t xml:space="preserve">n </w:t>
      </w:r>
      <w:r w:rsidR="00070D38">
        <w:rPr>
          <w:rFonts w:cs="Calibri"/>
          <w:color w:val="auto"/>
          <w:sz w:val="20"/>
        </w:rPr>
        <w:lastRenderedPageBreak/>
        <w:t>administración</w:t>
      </w:r>
      <w:r w:rsidRPr="00B96FED">
        <w:rPr>
          <w:rFonts w:cs="Calibri"/>
          <w:color w:val="auto"/>
          <w:sz w:val="20"/>
        </w:rPr>
        <w:t xml:space="preserve"> mensual proporciona una reducción media acumulada equivalente (~80%)</w:t>
      </w:r>
      <w:r w:rsidR="002C0DEC" w:rsidRPr="00B96FED">
        <w:rPr>
          <w:rFonts w:cs="Calibri"/>
          <w:color w:val="FF0000"/>
          <w:sz w:val="20"/>
          <w:vertAlign w:val="superscript"/>
        </w:rPr>
        <w:t>7,8</w:t>
      </w:r>
      <w:r w:rsidRPr="00B96FED">
        <w:rPr>
          <w:rFonts w:cs="Calibri"/>
          <w:color w:val="auto"/>
          <w:sz w:val="20"/>
        </w:rPr>
        <w:t xml:space="preserve">. Además, HORIZON incluye </w:t>
      </w:r>
      <w:r w:rsidR="00070D38">
        <w:rPr>
          <w:rFonts w:cs="Calibri"/>
          <w:color w:val="auto"/>
          <w:sz w:val="20"/>
        </w:rPr>
        <w:t xml:space="preserve">a </w:t>
      </w:r>
      <w:r w:rsidRPr="00B96FED">
        <w:rPr>
          <w:rFonts w:cs="Calibri"/>
          <w:color w:val="auto"/>
          <w:sz w:val="20"/>
        </w:rPr>
        <w:t xml:space="preserve">pacientes </w:t>
      </w:r>
      <w:r w:rsidR="00070D38">
        <w:rPr>
          <w:rFonts w:cs="Calibri"/>
          <w:color w:val="auto"/>
          <w:sz w:val="20"/>
        </w:rPr>
        <w:t>con</w:t>
      </w:r>
      <w:r w:rsidRPr="00B96FED">
        <w:rPr>
          <w:rFonts w:cs="Calibri"/>
          <w:color w:val="auto"/>
          <w:sz w:val="20"/>
        </w:rPr>
        <w:t xml:space="preserve"> </w:t>
      </w:r>
      <w:r w:rsidR="0055077A">
        <w:rPr>
          <w:rFonts w:cs="Calibri"/>
          <w:color w:val="auto"/>
          <w:sz w:val="20"/>
        </w:rPr>
        <w:t>ECV</w:t>
      </w:r>
      <w:r w:rsidRPr="00B96FED">
        <w:rPr>
          <w:rFonts w:cs="Calibri"/>
          <w:color w:val="auto"/>
          <w:sz w:val="20"/>
        </w:rPr>
        <w:t xml:space="preserve"> establecida (IAM, ictus o EAP), no </w:t>
      </w:r>
      <w:r w:rsidR="00070D38">
        <w:rPr>
          <w:rFonts w:cs="Calibri"/>
          <w:color w:val="auto"/>
          <w:sz w:val="20"/>
        </w:rPr>
        <w:t xml:space="preserve">a </w:t>
      </w:r>
      <w:r w:rsidRPr="00B96FED">
        <w:rPr>
          <w:rFonts w:cs="Calibri"/>
          <w:color w:val="auto"/>
          <w:sz w:val="20"/>
        </w:rPr>
        <w:t xml:space="preserve">pacientes sin antecedentes. Los pacientes deben tener </w:t>
      </w:r>
      <w:r w:rsidR="009947EC">
        <w:rPr>
          <w:rFonts w:cs="Calibri"/>
          <w:color w:val="auto"/>
          <w:sz w:val="20"/>
        </w:rPr>
        <w:t xml:space="preserve">una </w:t>
      </w:r>
      <w:r w:rsidRPr="00B96FED">
        <w:rPr>
          <w:rFonts w:cs="Calibri"/>
          <w:color w:val="auto"/>
          <w:sz w:val="20"/>
        </w:rPr>
        <w:t xml:space="preserve">Lp(a) ≥70 mg/dL </w:t>
      </w:r>
      <w:r w:rsidR="00070D38">
        <w:rPr>
          <w:rFonts w:cs="Calibri"/>
          <w:color w:val="auto"/>
          <w:sz w:val="20"/>
        </w:rPr>
        <w:t>en el</w:t>
      </w:r>
      <w:r w:rsidRPr="00B96FED">
        <w:rPr>
          <w:rFonts w:cs="Calibri"/>
          <w:color w:val="auto"/>
          <w:sz w:val="20"/>
        </w:rPr>
        <w:t xml:space="preserve"> </w:t>
      </w:r>
      <w:r w:rsidR="00070D38">
        <w:rPr>
          <w:rFonts w:cs="Calibri"/>
          <w:color w:val="auto"/>
          <w:sz w:val="20"/>
        </w:rPr>
        <w:t>cribado,</w:t>
      </w:r>
      <w:r w:rsidR="00070D38" w:rsidRPr="00B96FED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>medid</w:t>
      </w:r>
      <w:r w:rsidR="00070D38">
        <w:rPr>
          <w:rFonts w:cs="Calibri"/>
          <w:color w:val="auto"/>
          <w:sz w:val="20"/>
        </w:rPr>
        <w:t xml:space="preserve">a </w:t>
      </w:r>
      <w:r w:rsidRPr="00B96FED">
        <w:rPr>
          <w:rFonts w:cs="Calibri"/>
          <w:color w:val="auto"/>
          <w:sz w:val="20"/>
        </w:rPr>
        <w:t xml:space="preserve">en </w:t>
      </w:r>
      <w:r w:rsidR="00070D38">
        <w:rPr>
          <w:rFonts w:cs="Calibri"/>
          <w:color w:val="auto"/>
          <w:sz w:val="20"/>
        </w:rPr>
        <w:t xml:space="preserve">un </w:t>
      </w:r>
      <w:r w:rsidRPr="00B96FED">
        <w:rPr>
          <w:rFonts w:cs="Calibri"/>
          <w:color w:val="auto"/>
          <w:sz w:val="20"/>
        </w:rPr>
        <w:t>laboratorio central</w:t>
      </w:r>
      <w:r w:rsidR="002C0DEC" w:rsidRPr="00B96FED">
        <w:rPr>
          <w:rFonts w:cs="Calibri"/>
          <w:color w:val="FF0000"/>
          <w:sz w:val="20"/>
          <w:vertAlign w:val="superscript"/>
        </w:rPr>
        <w:t>7</w:t>
      </w:r>
      <w:r w:rsidRPr="00B96FED">
        <w:rPr>
          <w:rFonts w:cs="Calibri"/>
          <w:color w:val="auto"/>
          <w:sz w:val="20"/>
        </w:rPr>
        <w:t>.</w:t>
      </w:r>
    </w:p>
    <w:p w14:paraId="5EF79AE3" w14:textId="5234DF0C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3)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23</w:t>
      </w:r>
      <w:r>
        <w:rPr>
          <w:rFonts w:cs="Calibri"/>
          <w:b/>
          <w:color w:val="C0392B"/>
          <w:sz w:val="20"/>
        </w:rPr>
        <w:t xml:space="preserve"> puntos]</w:t>
      </w:r>
    </w:p>
    <w:p w14:paraId="5BFDEF53" w14:textId="445EE8A5" w:rsidR="00A456F2" w:rsidRPr="00B96FED" w:rsidRDefault="00C76279" w:rsidP="0055077A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El </w:t>
      </w:r>
      <w:r w:rsidR="0055077A" w:rsidRPr="00BC4DAE">
        <w:rPr>
          <w:rFonts w:cs="Calibri"/>
          <w:bCs/>
          <w:iCs/>
          <w:color w:val="auto"/>
          <w:sz w:val="20"/>
        </w:rPr>
        <w:t>criterio de valoración principal</w:t>
      </w:r>
      <w:r w:rsidRPr="00BC4DAE">
        <w:rPr>
          <w:rFonts w:cs="Calibri"/>
          <w:bCs/>
          <w:iCs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>de HORIZON es clínico: MACE expandido (muerte cardiovascular, IAM no fatal, ictus no fatal y revascularización coronaria urgente).</w:t>
      </w:r>
      <w:r w:rsidR="004A2A2F" w:rsidRPr="00B96FED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 xml:space="preserve">El cambio en Lp(a) es un </w:t>
      </w:r>
      <w:r w:rsidR="0055077A" w:rsidRPr="00E0234D">
        <w:rPr>
          <w:rFonts w:cs="Calibri"/>
          <w:bCs/>
          <w:iCs/>
          <w:color w:val="auto"/>
          <w:sz w:val="20"/>
        </w:rPr>
        <w:t xml:space="preserve">criterio de valoración principal </w:t>
      </w:r>
      <w:r w:rsidRPr="00B96FED">
        <w:rPr>
          <w:rFonts w:cs="Calibri"/>
          <w:color w:val="auto"/>
          <w:sz w:val="20"/>
        </w:rPr>
        <w:t>secundario/exploratorio. HORIZON es un ensayo de resultados cardiovasculares, no un ensayo de eficacia analítica. Est</w:t>
      </w:r>
      <w:r w:rsidR="001038B2">
        <w:rPr>
          <w:rFonts w:cs="Calibri"/>
          <w:color w:val="auto"/>
          <w:sz w:val="20"/>
        </w:rPr>
        <w:t>e aspecto</w:t>
      </w:r>
      <w:r w:rsidRPr="00B96FED">
        <w:rPr>
          <w:rFonts w:cs="Calibri"/>
          <w:color w:val="auto"/>
          <w:sz w:val="20"/>
        </w:rPr>
        <w:t xml:space="preserve"> es fundamental porque la pregunta que busca responder es si reducir </w:t>
      </w:r>
      <w:r w:rsidR="001038B2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 xml:space="preserve">Lp(a) </w:t>
      </w:r>
      <w:r w:rsidR="00895144">
        <w:rPr>
          <w:rFonts w:cs="Calibri"/>
          <w:color w:val="auto"/>
          <w:sz w:val="20"/>
        </w:rPr>
        <w:t xml:space="preserve">se traduce en </w:t>
      </w:r>
      <w:r w:rsidR="001038B2">
        <w:rPr>
          <w:rFonts w:cs="Calibri"/>
          <w:color w:val="auto"/>
          <w:sz w:val="20"/>
        </w:rPr>
        <w:t xml:space="preserve">un </w:t>
      </w:r>
      <w:r w:rsidR="00895144">
        <w:rPr>
          <w:rFonts w:cs="Calibri"/>
          <w:color w:val="auto"/>
          <w:sz w:val="20"/>
        </w:rPr>
        <w:t>beneficio clínico</w:t>
      </w:r>
      <w:r w:rsidR="001038B2">
        <w:rPr>
          <w:rFonts w:cs="Calibri"/>
          <w:color w:val="auto"/>
          <w:sz w:val="20"/>
        </w:rPr>
        <w:t>,</w:t>
      </w:r>
      <w:r w:rsidR="00895144">
        <w:rPr>
          <w:rFonts w:cs="Calibri"/>
          <w:color w:val="auto"/>
          <w:sz w:val="20"/>
        </w:rPr>
        <w:t xml:space="preserve"> y</w:t>
      </w:r>
      <w:r w:rsidRPr="00B96FED">
        <w:rPr>
          <w:rFonts w:cs="Calibri"/>
          <w:color w:val="auto"/>
          <w:sz w:val="20"/>
        </w:rPr>
        <w:t xml:space="preserve"> no solo si el fármaco </w:t>
      </w:r>
      <w:r w:rsidR="001038B2">
        <w:rPr>
          <w:rFonts w:cs="Calibri"/>
          <w:color w:val="auto"/>
          <w:sz w:val="20"/>
        </w:rPr>
        <w:t>reduce</w:t>
      </w:r>
      <w:r w:rsidRPr="00B96FED">
        <w:rPr>
          <w:rFonts w:cs="Calibri"/>
          <w:color w:val="auto"/>
          <w:sz w:val="20"/>
        </w:rPr>
        <w:t xml:space="preserve"> los niveles de Lp(a)</w:t>
      </w:r>
      <w:r w:rsidR="002C0DEC" w:rsidRPr="00B96FED">
        <w:rPr>
          <w:rFonts w:cs="Calibri"/>
          <w:color w:val="FF0000"/>
          <w:sz w:val="20"/>
          <w:vertAlign w:val="superscript"/>
        </w:rPr>
        <w:t>7</w:t>
      </w:r>
      <w:r w:rsidRPr="00B96FED">
        <w:rPr>
          <w:rFonts w:cs="Calibri"/>
          <w:color w:val="auto"/>
          <w:sz w:val="20"/>
        </w:rPr>
        <w:t>.</w:t>
      </w:r>
    </w:p>
    <w:p w14:paraId="37D31C78" w14:textId="1D758B08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4)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59</w:t>
      </w:r>
      <w:r>
        <w:rPr>
          <w:rFonts w:cs="Calibri"/>
          <w:b/>
          <w:color w:val="C0392B"/>
          <w:sz w:val="20"/>
        </w:rPr>
        <w:t xml:space="preserve"> puntos]</w:t>
      </w:r>
    </w:p>
    <w:p w14:paraId="38F7EEDA" w14:textId="43211C5E" w:rsidR="00A456F2" w:rsidRPr="00B96FED" w:rsidRDefault="00C76279">
      <w:pPr>
        <w:spacing w:after="80"/>
        <w:ind w:left="400"/>
        <w:rPr>
          <w:color w:val="auto"/>
          <w:sz w:val="20"/>
        </w:rPr>
      </w:pPr>
      <w:r w:rsidRPr="00B96FED">
        <w:rPr>
          <w:rFonts w:cs="Calibri"/>
          <w:color w:val="auto"/>
          <w:sz w:val="20"/>
          <w:szCs w:val="20"/>
        </w:rPr>
        <w:t xml:space="preserve">El ictus isquémico es uno de los tres criterios de inclusión de ECV establecida en HORIZON (junto con IAM y </w:t>
      </w:r>
      <w:r w:rsidR="0055077A">
        <w:rPr>
          <w:rFonts w:cs="Calibri"/>
          <w:color w:val="auto"/>
          <w:sz w:val="20"/>
          <w:szCs w:val="20"/>
        </w:rPr>
        <w:t>EAP</w:t>
      </w:r>
      <w:r w:rsidRPr="00B96FED">
        <w:rPr>
          <w:rFonts w:cs="Calibri"/>
          <w:color w:val="auto"/>
          <w:sz w:val="20"/>
          <w:szCs w:val="20"/>
        </w:rPr>
        <w:t xml:space="preserve"> sintomática). Los pacientes deben haber tenido un evento </w:t>
      </w:r>
      <w:r w:rsidR="00F47967">
        <w:rPr>
          <w:rFonts w:cs="Calibri"/>
          <w:color w:val="auto"/>
          <w:sz w:val="20"/>
          <w:szCs w:val="20"/>
        </w:rPr>
        <w:t xml:space="preserve">cardiovascular </w:t>
      </w:r>
      <w:r w:rsidRPr="00B96FED">
        <w:rPr>
          <w:rFonts w:cs="Calibri"/>
          <w:color w:val="auto"/>
          <w:sz w:val="20"/>
          <w:szCs w:val="20"/>
        </w:rPr>
        <w:t xml:space="preserve">entre 3 meses y 10 años antes del </w:t>
      </w:r>
      <w:r w:rsidR="00F47967">
        <w:rPr>
          <w:rFonts w:cs="Calibri"/>
          <w:color w:val="auto"/>
          <w:sz w:val="20"/>
          <w:szCs w:val="20"/>
        </w:rPr>
        <w:t>cribado</w:t>
      </w:r>
      <w:r w:rsidRPr="00B96FED">
        <w:rPr>
          <w:rFonts w:cs="Calibri"/>
          <w:color w:val="auto"/>
          <w:sz w:val="20"/>
          <w:szCs w:val="20"/>
        </w:rPr>
        <w:t xml:space="preserve">. Juan, con su ictus isquémico </w:t>
      </w:r>
      <w:r w:rsidR="00895144">
        <w:rPr>
          <w:rFonts w:cs="Calibri"/>
          <w:color w:val="auto"/>
          <w:sz w:val="20"/>
          <w:szCs w:val="20"/>
        </w:rPr>
        <w:t>reciente,</w:t>
      </w:r>
      <w:r w:rsidRPr="00B96FED">
        <w:rPr>
          <w:rFonts w:cs="Calibri"/>
          <w:color w:val="auto"/>
          <w:sz w:val="20"/>
          <w:szCs w:val="20"/>
        </w:rPr>
        <w:t xml:space="preserve"> sería potencialmente elegible </w:t>
      </w:r>
      <w:r w:rsidR="00F47967">
        <w:rPr>
          <w:rFonts w:cs="Calibri"/>
          <w:color w:val="auto"/>
          <w:sz w:val="20"/>
          <w:szCs w:val="20"/>
        </w:rPr>
        <w:t xml:space="preserve">para el tratamiento </w:t>
      </w:r>
      <w:r w:rsidRPr="00B96FED">
        <w:rPr>
          <w:rFonts w:cs="Calibri"/>
          <w:color w:val="auto"/>
          <w:sz w:val="20"/>
          <w:szCs w:val="20"/>
        </w:rPr>
        <w:t xml:space="preserve">tras cumplir el período de estabilización de 3 meses post-evento. La inclusión de pacientes con ictus es fundamental porque representan una población de alto riesgo residual en la que </w:t>
      </w:r>
      <w:r w:rsidR="00F47967">
        <w:rPr>
          <w:rFonts w:cs="Calibri"/>
          <w:color w:val="auto"/>
          <w:sz w:val="20"/>
          <w:szCs w:val="20"/>
        </w:rPr>
        <w:t xml:space="preserve">la </w:t>
      </w:r>
      <w:r w:rsidRPr="00B96FED">
        <w:rPr>
          <w:rFonts w:cs="Calibri"/>
          <w:color w:val="auto"/>
          <w:sz w:val="20"/>
          <w:szCs w:val="20"/>
        </w:rPr>
        <w:t>Lp(a) juega un papel patogénico importante.</w:t>
      </w:r>
    </w:p>
    <w:p w14:paraId="1A92F112" w14:textId="77777777" w:rsidR="00A456F2" w:rsidRPr="00B96FED" w:rsidRDefault="00A456F2">
      <w:pPr>
        <w:spacing w:after="80"/>
        <w:ind w:left="400"/>
        <w:rPr>
          <w:color w:val="auto"/>
          <w:sz w:val="20"/>
        </w:rPr>
      </w:pPr>
    </w:p>
    <w:p w14:paraId="4547B51B" w14:textId="79635499" w:rsidR="007E61E2" w:rsidRDefault="00F86145" w:rsidP="007E61E2">
      <w:pPr>
        <w:spacing w:after="80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6</w:t>
      </w:r>
      <w:r w:rsidR="007E61E2">
        <w:rPr>
          <w:b/>
          <w:color w:val="auto"/>
          <w:sz w:val="32"/>
          <w:szCs w:val="32"/>
        </w:rPr>
        <w:t xml:space="preserve">. </w:t>
      </w:r>
      <w:r w:rsidR="007E61E2" w:rsidRPr="00B96FED">
        <w:rPr>
          <w:b/>
          <w:color w:val="auto"/>
          <w:sz w:val="32"/>
          <w:szCs w:val="32"/>
        </w:rPr>
        <w:t>Evolución</w:t>
      </w:r>
    </w:p>
    <w:p w14:paraId="12370B25" w14:textId="684A2487" w:rsidR="00A456F2" w:rsidRPr="00B96FED" w:rsidRDefault="00AF5D9D" w:rsidP="007E61E2">
      <w:pPr>
        <w:spacing w:after="80"/>
        <w:rPr>
          <w:color w:val="auto"/>
          <w:szCs w:val="22"/>
        </w:rPr>
      </w:pPr>
      <w:r w:rsidRPr="00B96FED">
        <w:rPr>
          <w:rFonts w:cs="Calibri"/>
          <w:color w:val="auto"/>
          <w:szCs w:val="22"/>
        </w:rPr>
        <w:t>Juan evoluciona favorablemente durante su estancia en el hospital, iniciando neurorrehabilitación precoz en</w:t>
      </w:r>
      <w:r w:rsidR="00E043B1">
        <w:rPr>
          <w:rFonts w:cs="Calibri"/>
          <w:color w:val="auto"/>
          <w:szCs w:val="22"/>
        </w:rPr>
        <w:t xml:space="preserve"> la</w:t>
      </w:r>
      <w:r w:rsidRPr="00B96FED">
        <w:rPr>
          <w:rFonts w:cs="Calibri"/>
          <w:color w:val="auto"/>
          <w:szCs w:val="22"/>
        </w:rPr>
        <w:t xml:space="preserve"> Unidad de </w:t>
      </w:r>
      <w:r w:rsidR="00E043B1">
        <w:rPr>
          <w:rFonts w:cs="Calibri"/>
          <w:color w:val="auto"/>
          <w:szCs w:val="22"/>
        </w:rPr>
        <w:t>I</w:t>
      </w:r>
      <w:r w:rsidRPr="00B96FED">
        <w:rPr>
          <w:rFonts w:cs="Calibri"/>
          <w:color w:val="auto"/>
          <w:szCs w:val="22"/>
        </w:rPr>
        <w:t xml:space="preserve">ctus con recuperación progresiva de </w:t>
      </w:r>
      <w:r w:rsidR="00E043B1">
        <w:rPr>
          <w:rFonts w:cs="Calibri"/>
          <w:color w:val="auto"/>
          <w:szCs w:val="22"/>
        </w:rPr>
        <w:t xml:space="preserve">la </w:t>
      </w:r>
      <w:r w:rsidRPr="00B96FED">
        <w:rPr>
          <w:rFonts w:cs="Calibri"/>
          <w:color w:val="auto"/>
          <w:szCs w:val="22"/>
        </w:rPr>
        <w:t>paresia.</w:t>
      </w:r>
    </w:p>
    <w:p w14:paraId="64B3487B" w14:textId="7F683BD6" w:rsidR="00A456F2" w:rsidRPr="00B96FED" w:rsidRDefault="00E043B1" w:rsidP="007E61E2">
      <w:pPr>
        <w:spacing w:after="80"/>
        <w:rPr>
          <w:color w:val="auto"/>
          <w:szCs w:val="22"/>
        </w:rPr>
      </w:pPr>
      <w:r>
        <w:rPr>
          <w:rFonts w:cs="Calibri"/>
          <w:color w:val="auto"/>
          <w:szCs w:val="22"/>
        </w:rPr>
        <w:t>Atribuye</w:t>
      </w:r>
      <w:r w:rsidRPr="00B96FED">
        <w:rPr>
          <w:rFonts w:cs="Calibri"/>
          <w:color w:val="auto"/>
          <w:szCs w:val="22"/>
        </w:rPr>
        <w:t xml:space="preserve"> </w:t>
      </w:r>
      <w:r w:rsidR="00C76279" w:rsidRPr="00B96FED">
        <w:rPr>
          <w:rFonts w:cs="Calibri"/>
          <w:color w:val="auto"/>
          <w:szCs w:val="22"/>
        </w:rPr>
        <w:t xml:space="preserve">su último evento a transgresiones dietéticas muy ocasionales y </w:t>
      </w:r>
      <w:r>
        <w:rPr>
          <w:rFonts w:cs="Calibri"/>
          <w:color w:val="auto"/>
          <w:szCs w:val="22"/>
        </w:rPr>
        <w:t xml:space="preserve">a </w:t>
      </w:r>
      <w:r w:rsidR="00C76279" w:rsidRPr="00B96FED">
        <w:rPr>
          <w:rFonts w:cs="Calibri"/>
          <w:color w:val="auto"/>
          <w:szCs w:val="22"/>
        </w:rPr>
        <w:t xml:space="preserve">una reducción reciente de su nivel de ejercicio aeróbico. Es extremadamente consciente de que la dieta, el ejercicio y el cumplimiento estricto de su tratamiento son claves a partir de ahora para minimizar su riesgo cardiovascular y añadir cantidad y calidad de vida. </w:t>
      </w:r>
    </w:p>
    <w:p w14:paraId="4163FBF8" w14:textId="454BDF74" w:rsidR="00A456F2" w:rsidRDefault="007D6D46" w:rsidP="007E61E2">
      <w:pPr>
        <w:spacing w:after="80"/>
        <w:rPr>
          <w:color w:val="auto"/>
          <w:szCs w:val="22"/>
        </w:rPr>
      </w:pPr>
      <w:r w:rsidRPr="00B96FED">
        <w:rPr>
          <w:rFonts w:cs="Calibri"/>
          <w:color w:val="auto"/>
          <w:szCs w:val="22"/>
        </w:rPr>
        <w:t xml:space="preserve">El mayor de sus </w:t>
      </w:r>
      <w:r w:rsidR="00E043B1">
        <w:rPr>
          <w:rFonts w:cs="Calibri"/>
          <w:color w:val="auto"/>
          <w:szCs w:val="22"/>
        </w:rPr>
        <w:t xml:space="preserve">tres </w:t>
      </w:r>
      <w:r w:rsidRPr="00B96FED">
        <w:rPr>
          <w:rFonts w:cs="Calibri"/>
          <w:color w:val="auto"/>
          <w:szCs w:val="22"/>
        </w:rPr>
        <w:t xml:space="preserve">hijos se ha realizado una revisión cardiovascular completa con hallazgo de </w:t>
      </w:r>
      <w:r w:rsidR="00E043B1">
        <w:rPr>
          <w:rFonts w:cs="Calibri"/>
          <w:color w:val="auto"/>
          <w:szCs w:val="22"/>
        </w:rPr>
        <w:t>un c</w:t>
      </w:r>
      <w:r w:rsidRPr="00B96FED">
        <w:rPr>
          <w:rFonts w:cs="Calibri"/>
          <w:color w:val="auto"/>
          <w:szCs w:val="22"/>
        </w:rPr>
        <w:t xml:space="preserve">LDL </w:t>
      </w:r>
      <w:r w:rsidR="00E043B1">
        <w:rPr>
          <w:rFonts w:cs="Calibri"/>
          <w:color w:val="auto"/>
          <w:szCs w:val="22"/>
        </w:rPr>
        <w:t xml:space="preserve">de </w:t>
      </w:r>
      <w:r w:rsidRPr="00B96FED">
        <w:rPr>
          <w:rFonts w:cs="Calibri"/>
          <w:color w:val="auto"/>
          <w:szCs w:val="22"/>
        </w:rPr>
        <w:t>135 mg/d</w:t>
      </w:r>
      <w:r w:rsidR="00E043B1">
        <w:rPr>
          <w:rFonts w:cs="Calibri"/>
          <w:color w:val="auto"/>
          <w:szCs w:val="22"/>
        </w:rPr>
        <w:t>L</w:t>
      </w:r>
      <w:r w:rsidRPr="00B96FED">
        <w:rPr>
          <w:rFonts w:cs="Calibri"/>
          <w:color w:val="auto"/>
          <w:szCs w:val="22"/>
        </w:rPr>
        <w:t xml:space="preserve"> y </w:t>
      </w:r>
      <w:r w:rsidR="00E043B1">
        <w:rPr>
          <w:rFonts w:cs="Calibri"/>
          <w:color w:val="auto"/>
          <w:szCs w:val="22"/>
        </w:rPr>
        <w:t xml:space="preserve">una </w:t>
      </w:r>
      <w:r w:rsidRPr="00B96FED">
        <w:rPr>
          <w:rFonts w:cs="Calibri"/>
          <w:color w:val="auto"/>
          <w:szCs w:val="22"/>
        </w:rPr>
        <w:t xml:space="preserve">Lp(a) </w:t>
      </w:r>
      <w:r w:rsidR="00E043B1">
        <w:rPr>
          <w:rFonts w:cs="Calibri"/>
          <w:color w:val="auto"/>
          <w:szCs w:val="22"/>
        </w:rPr>
        <w:t xml:space="preserve">de </w:t>
      </w:r>
      <w:r w:rsidRPr="00B96FED">
        <w:rPr>
          <w:rFonts w:cs="Calibri"/>
          <w:color w:val="auto"/>
          <w:szCs w:val="22"/>
        </w:rPr>
        <w:t>269 nmol/</w:t>
      </w:r>
      <w:r w:rsidR="00E043B1">
        <w:rPr>
          <w:rFonts w:cs="Calibri"/>
          <w:color w:val="auto"/>
          <w:szCs w:val="22"/>
        </w:rPr>
        <w:t>L</w:t>
      </w:r>
      <w:r w:rsidRPr="00B96FED">
        <w:rPr>
          <w:rFonts w:cs="Calibri"/>
          <w:color w:val="auto"/>
          <w:szCs w:val="22"/>
        </w:rPr>
        <w:t>. Ha dejado de fumar y comenzado a modificar sus hábitos con dieta cardiosaludable y ejercicio físico aeróbico</w:t>
      </w:r>
      <w:r w:rsidR="00E043B1">
        <w:rPr>
          <w:rFonts w:cs="Calibri"/>
          <w:color w:val="auto"/>
          <w:szCs w:val="22"/>
        </w:rPr>
        <w:t>,</w:t>
      </w:r>
      <w:r w:rsidRPr="00B96FED">
        <w:rPr>
          <w:rFonts w:cs="Calibri"/>
          <w:color w:val="auto"/>
          <w:szCs w:val="22"/>
        </w:rPr>
        <w:t xml:space="preserve"> combinado con un programa específico de fuerza (</w:t>
      </w:r>
      <w:r w:rsidR="004A2A2F" w:rsidRPr="00B96FED">
        <w:rPr>
          <w:rFonts w:cs="Calibri"/>
          <w:color w:val="auto"/>
          <w:szCs w:val="22"/>
        </w:rPr>
        <w:t xml:space="preserve">en total </w:t>
      </w:r>
      <w:r w:rsidRPr="00B96FED">
        <w:rPr>
          <w:rFonts w:cs="Calibri"/>
          <w:color w:val="auto"/>
          <w:szCs w:val="22"/>
        </w:rPr>
        <w:t xml:space="preserve">&gt;300 minutos por semana), pendiente de evolución y analítica para valorar </w:t>
      </w:r>
      <w:r w:rsidR="00895144">
        <w:rPr>
          <w:rFonts w:cs="Calibri"/>
          <w:color w:val="auto"/>
          <w:szCs w:val="22"/>
        </w:rPr>
        <w:t xml:space="preserve">la </w:t>
      </w:r>
      <w:r w:rsidRPr="00B96FED">
        <w:rPr>
          <w:rFonts w:cs="Calibri"/>
          <w:color w:val="auto"/>
          <w:szCs w:val="22"/>
        </w:rPr>
        <w:t xml:space="preserve">necesidad de tratamiento farmacológico. Ni él ni Juan quieren que se repita su historia. </w:t>
      </w:r>
    </w:p>
    <w:p w14:paraId="1F83E860" w14:textId="77777777" w:rsidR="007E61E2" w:rsidRPr="007E61E2" w:rsidRDefault="007E61E2" w:rsidP="007E61E2">
      <w:pPr>
        <w:spacing w:after="80"/>
        <w:rPr>
          <w:color w:val="auto"/>
          <w:szCs w:val="22"/>
        </w:rPr>
      </w:pPr>
    </w:p>
    <w:p w14:paraId="33C635C8" w14:textId="3DC364C3" w:rsidR="00A456F2" w:rsidRDefault="00F9550E">
      <w:pPr>
        <w:shd w:val="clear" w:color="auto" w:fill="D4E6F1"/>
        <w:spacing w:before="400" w:after="120"/>
        <w:ind w:left="200" w:right="200"/>
      </w:pPr>
      <w:r>
        <w:rPr>
          <w:rFonts w:cs="Calibri"/>
          <w:b/>
          <w:color w:val="1B4F72"/>
          <w:sz w:val="24"/>
        </w:rPr>
        <w:t xml:space="preserve">Pregunta 5. </w:t>
      </w:r>
      <w:r>
        <w:rPr>
          <w:rFonts w:cs="Calibri"/>
          <w:b/>
        </w:rPr>
        <w:t xml:space="preserve">Considerando el caso de Juan (ictus isquémico tras eventos coronarios previos, Lp(a) </w:t>
      </w:r>
      <w:r w:rsidR="00E043B1">
        <w:rPr>
          <w:rFonts w:cs="Calibri"/>
          <w:b/>
        </w:rPr>
        <w:t xml:space="preserve">de </w:t>
      </w:r>
      <w:r>
        <w:rPr>
          <w:rFonts w:cs="Calibri"/>
          <w:b/>
        </w:rPr>
        <w:t xml:space="preserve">276 nmol/L, cLDL </w:t>
      </w:r>
      <w:r w:rsidR="00E043B1">
        <w:rPr>
          <w:rFonts w:cs="Calibri"/>
          <w:b/>
        </w:rPr>
        <w:t xml:space="preserve">de </w:t>
      </w:r>
      <w:r>
        <w:rPr>
          <w:rFonts w:cs="Calibri"/>
          <w:b/>
        </w:rPr>
        <w:t>41 mg/dL</w:t>
      </w:r>
      <w:r w:rsidR="00E043B1">
        <w:rPr>
          <w:rFonts w:cs="Calibri"/>
          <w:b/>
        </w:rPr>
        <w:t>,</w:t>
      </w:r>
      <w:r>
        <w:rPr>
          <w:rFonts w:cs="Calibri"/>
          <w:b/>
        </w:rPr>
        <w:t xml:space="preserve"> colesterol no</w:t>
      </w:r>
      <w:r w:rsidR="00E043B1">
        <w:rPr>
          <w:rFonts w:cs="Calibri"/>
          <w:b/>
        </w:rPr>
        <w:t>-</w:t>
      </w:r>
      <w:r>
        <w:rPr>
          <w:rFonts w:cs="Calibri"/>
          <w:b/>
        </w:rPr>
        <w:t xml:space="preserve">HDL </w:t>
      </w:r>
      <w:r w:rsidR="00E043B1">
        <w:rPr>
          <w:rFonts w:cs="Calibri"/>
          <w:b/>
        </w:rPr>
        <w:t xml:space="preserve">de </w:t>
      </w:r>
      <w:r>
        <w:rPr>
          <w:rFonts w:cs="Calibri"/>
          <w:b/>
        </w:rPr>
        <w:t>70 mg/d</w:t>
      </w:r>
      <w:r w:rsidR="00E043B1">
        <w:rPr>
          <w:rFonts w:cs="Calibri"/>
          <w:b/>
        </w:rPr>
        <w:t>L</w:t>
      </w:r>
      <w:r w:rsidR="007E4662">
        <w:rPr>
          <w:rFonts w:cs="Calibri"/>
          <w:b/>
        </w:rPr>
        <w:t>,</w:t>
      </w:r>
      <w:r>
        <w:rPr>
          <w:rFonts w:cs="Calibri"/>
          <w:b/>
        </w:rPr>
        <w:t xml:space="preserve"> con tratamiento máximo incluyendo inclisirán), ¿cuál sería la estrategia de manejo más adecuada tras el alta hospitalaria?</w:t>
      </w:r>
    </w:p>
    <w:p w14:paraId="560A0795" w14:textId="14810591" w:rsidR="00A456F2" w:rsidRDefault="00C76279">
      <w:pPr>
        <w:spacing w:before="100" w:after="60"/>
        <w:ind w:left="400"/>
      </w:pPr>
      <w:r>
        <w:rPr>
          <w:rFonts w:cs="Calibri"/>
          <w:b/>
        </w:rPr>
        <w:t>1)</w:t>
      </w:r>
      <w:r w:rsidR="001A6333">
        <w:rPr>
          <w:rFonts w:cs="Calibri"/>
          <w:b/>
        </w:rPr>
        <w:t xml:space="preserve"> </w:t>
      </w:r>
      <w:r w:rsidRPr="00BC4DAE">
        <w:rPr>
          <w:rFonts w:cs="Calibri"/>
          <w:b/>
          <w:bCs/>
          <w:i/>
          <w:iCs/>
        </w:rPr>
        <w:t xml:space="preserve">Mantener la terapia hipolipemiante actual (incluyendo inclisirán), asegurar adherencia, evaluar elegibilidad para </w:t>
      </w:r>
      <w:r w:rsidR="00D82BD8" w:rsidRPr="00BC4DAE">
        <w:rPr>
          <w:rFonts w:cs="Calibri"/>
          <w:b/>
          <w:bCs/>
          <w:i/>
          <w:iCs/>
        </w:rPr>
        <w:t xml:space="preserve">el </w:t>
      </w:r>
      <w:r w:rsidRPr="00BC4DAE">
        <w:rPr>
          <w:rFonts w:cs="Calibri"/>
          <w:b/>
          <w:bCs/>
          <w:i/>
          <w:iCs/>
        </w:rPr>
        <w:t xml:space="preserve">uso precoz de pelacarsen en función de </w:t>
      </w:r>
      <w:r w:rsidR="007E4662" w:rsidRPr="00BC4DAE">
        <w:rPr>
          <w:rFonts w:cs="Calibri"/>
          <w:b/>
          <w:bCs/>
          <w:i/>
          <w:iCs/>
        </w:rPr>
        <w:t xml:space="preserve">los </w:t>
      </w:r>
      <w:r w:rsidRPr="00BC4DAE">
        <w:rPr>
          <w:rFonts w:cs="Calibri"/>
          <w:b/>
          <w:bCs/>
          <w:i/>
          <w:iCs/>
        </w:rPr>
        <w:t>resultados de</w:t>
      </w:r>
      <w:r w:rsidR="007E4662" w:rsidRPr="00BC4DAE">
        <w:rPr>
          <w:rFonts w:cs="Calibri"/>
          <w:b/>
          <w:bCs/>
          <w:i/>
          <w:iCs/>
        </w:rPr>
        <w:t>l</w:t>
      </w:r>
      <w:r w:rsidRPr="00BC4DAE">
        <w:rPr>
          <w:rFonts w:cs="Calibri"/>
          <w:b/>
          <w:bCs/>
          <w:i/>
          <w:iCs/>
        </w:rPr>
        <w:t xml:space="preserve"> ensayo HORIZON o valorar </w:t>
      </w:r>
      <w:r w:rsidR="00D82BD8">
        <w:rPr>
          <w:rFonts w:cs="Calibri"/>
          <w:b/>
          <w:bCs/>
          <w:i/>
          <w:iCs/>
        </w:rPr>
        <w:t xml:space="preserve">la </w:t>
      </w:r>
      <w:r w:rsidRPr="00BC4DAE">
        <w:rPr>
          <w:rFonts w:cs="Calibri"/>
          <w:b/>
          <w:bCs/>
          <w:i/>
          <w:iCs/>
        </w:rPr>
        <w:t xml:space="preserve">inclusión en otro ensayo de fase </w:t>
      </w:r>
      <w:r w:rsidR="0043670F" w:rsidRPr="00BC4DAE">
        <w:rPr>
          <w:rFonts w:cs="Calibri"/>
          <w:b/>
          <w:bCs/>
          <w:i/>
          <w:iCs/>
        </w:rPr>
        <w:t>III</w:t>
      </w:r>
      <w:r w:rsidRPr="00BC4DAE">
        <w:rPr>
          <w:rFonts w:cs="Calibri"/>
          <w:b/>
          <w:bCs/>
          <w:i/>
          <w:iCs/>
        </w:rPr>
        <w:t xml:space="preserve"> con terapia anti-Lp(a).</w:t>
      </w:r>
      <w:r w:rsidR="007E4662">
        <w:rPr>
          <w:rFonts w:cs="Calibri"/>
        </w:rPr>
        <w:t xml:space="preserve"> </w:t>
      </w:r>
      <w:r>
        <w:rPr>
          <w:rFonts w:cs="Calibri"/>
          <w:b/>
          <w:i/>
          <w:color w:val="1E8449"/>
          <w:sz w:val="20"/>
        </w:rPr>
        <w:t>(+100 puntos)</w:t>
      </w:r>
    </w:p>
    <w:p w14:paraId="59D1B55F" w14:textId="04B4FDEE" w:rsidR="00A456F2" w:rsidRDefault="00C76279">
      <w:pPr>
        <w:spacing w:before="100" w:after="60"/>
        <w:ind w:left="400"/>
      </w:pPr>
      <w:r>
        <w:rPr>
          <w:rFonts w:cs="Calibri"/>
          <w:b/>
        </w:rPr>
        <w:lastRenderedPageBreak/>
        <w:t>2)</w:t>
      </w:r>
      <w:r w:rsidR="00D82BD8">
        <w:rPr>
          <w:rFonts w:cs="Calibri"/>
          <w:b/>
        </w:rPr>
        <w:t xml:space="preserve"> </w:t>
      </w:r>
      <w:r>
        <w:rPr>
          <w:rFonts w:cs="Calibri"/>
          <w:b/>
          <w:i/>
        </w:rPr>
        <w:t>Retirar inclisirán y sustituirlo por pelacarsen de forma inmediata al alta, ya que el ensayo HORIZON ya ha demostrado resultados positivos.</w:t>
      </w:r>
      <w:r w:rsidR="00D82BD8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40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D27D9F9" w14:textId="6A31BCC6" w:rsidR="00A456F2" w:rsidRDefault="00C76279">
      <w:pPr>
        <w:spacing w:before="100" w:after="60"/>
        <w:ind w:left="400"/>
      </w:pPr>
      <w:r>
        <w:rPr>
          <w:rFonts w:cs="Calibri"/>
          <w:b/>
        </w:rPr>
        <w:t>3)</w:t>
      </w:r>
      <w:r w:rsidR="00D82BD8">
        <w:rPr>
          <w:rFonts w:cs="Calibri"/>
          <w:b/>
        </w:rPr>
        <w:t xml:space="preserve"> </w:t>
      </w:r>
      <w:r>
        <w:rPr>
          <w:rFonts w:cs="Calibri"/>
          <w:b/>
          <w:i/>
        </w:rPr>
        <w:t>Suspender todas las terapias hipolipemiantes excepto la estatina por su papel neuroprotector, ya que tras un ictus la prioridad es la rehabilitación neurológica, no el control lipídico.</w:t>
      </w:r>
      <w:r w:rsidR="00D82BD8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C320F5">
        <w:rPr>
          <w:rFonts w:cs="Calibri"/>
          <w:b/>
          <w:i/>
          <w:color w:val="C0392B"/>
          <w:sz w:val="20"/>
        </w:rPr>
        <w:t>40</w:t>
      </w:r>
      <w:r>
        <w:rPr>
          <w:rFonts w:cs="Calibri"/>
          <w:b/>
          <w:i/>
          <w:color w:val="C0392B"/>
          <w:sz w:val="20"/>
        </w:rPr>
        <w:t xml:space="preserve"> puntos)</w:t>
      </w:r>
    </w:p>
    <w:p w14:paraId="5CE204D7" w14:textId="24CF4392" w:rsidR="00A456F2" w:rsidRDefault="00C76279">
      <w:pPr>
        <w:spacing w:before="100" w:after="60"/>
        <w:ind w:left="400"/>
      </w:pPr>
      <w:r>
        <w:rPr>
          <w:rFonts w:cs="Calibri"/>
          <w:b/>
        </w:rPr>
        <w:t>4)</w:t>
      </w:r>
      <w:r w:rsidR="00D82BD8">
        <w:rPr>
          <w:rFonts w:cs="Calibri"/>
          <w:b/>
        </w:rPr>
        <w:t xml:space="preserve"> </w:t>
      </w:r>
      <w:r>
        <w:rPr>
          <w:rFonts w:cs="Calibri"/>
          <w:b/>
          <w:i/>
        </w:rPr>
        <w:t>Solo es necesario ajustar la antiagregación y el control de la HTA; la Lp(a) elevada no requiere acciones adicionales</w:t>
      </w:r>
      <w:r w:rsidR="0074035B">
        <w:rPr>
          <w:rFonts w:cs="Calibri"/>
          <w:b/>
          <w:i/>
        </w:rPr>
        <w:t>,</w:t>
      </w:r>
      <w:r>
        <w:rPr>
          <w:rFonts w:cs="Calibri"/>
          <w:b/>
          <w:i/>
        </w:rPr>
        <w:t xml:space="preserve"> dado que no hay terapias disponibles.</w:t>
      </w:r>
      <w:r w:rsidR="0074035B">
        <w:rPr>
          <w:rFonts w:cs="Calibri"/>
          <w:b/>
          <w:i/>
        </w:rPr>
        <w:t xml:space="preserve"> </w:t>
      </w:r>
      <w:r>
        <w:rPr>
          <w:rFonts w:cs="Calibri"/>
          <w:b/>
          <w:i/>
          <w:color w:val="C0392B"/>
          <w:sz w:val="20"/>
        </w:rPr>
        <w:t>(-</w:t>
      </w:r>
      <w:r w:rsidR="001A6333">
        <w:rPr>
          <w:rFonts w:cs="Calibri"/>
          <w:b/>
          <w:i/>
          <w:color w:val="C0392B"/>
          <w:sz w:val="20"/>
        </w:rPr>
        <w:t xml:space="preserve"> 2</w:t>
      </w:r>
      <w:r w:rsidRPr="001A6333">
        <w:rPr>
          <w:rFonts w:cs="Calibri"/>
          <w:b/>
          <w:i/>
          <w:color w:val="C0392B"/>
          <w:sz w:val="20"/>
        </w:rPr>
        <w:t>0 puntos</w:t>
      </w:r>
      <w:r>
        <w:rPr>
          <w:rFonts w:cs="Calibri"/>
          <w:b/>
          <w:i/>
          <w:color w:val="C0392B"/>
          <w:sz w:val="20"/>
        </w:rPr>
        <w:t>)</w:t>
      </w:r>
    </w:p>
    <w:p w14:paraId="65E08EB6" w14:textId="77777777" w:rsidR="00A456F2" w:rsidRDefault="00C76279">
      <w:pPr>
        <w:spacing w:before="100" w:after="60"/>
      </w:pPr>
      <w:r>
        <w:rPr>
          <w:rFonts w:cs="Calibri"/>
          <w:b/>
          <w:color w:val="1B4F72"/>
        </w:rPr>
        <w:t>Respuestas:</w:t>
      </w:r>
    </w:p>
    <w:p w14:paraId="72CFB774" w14:textId="3517D85B" w:rsidR="00A456F2" w:rsidRDefault="00C76279">
      <w:pPr>
        <w:spacing w:before="80" w:after="60"/>
        <w:ind w:left="200"/>
      </w:pPr>
      <w:r>
        <w:rPr>
          <w:rFonts w:cs="Calibri"/>
          <w:b/>
          <w:color w:val="1E8449"/>
        </w:rPr>
        <w:t>1) CORRECTA</w:t>
      </w:r>
      <w:r w:rsidR="00B96FED">
        <w:rPr>
          <w:rFonts w:cs="Calibri"/>
          <w:b/>
          <w:color w:val="1E8449"/>
        </w:rPr>
        <w:t xml:space="preserve"> </w:t>
      </w:r>
      <w:r>
        <w:rPr>
          <w:rFonts w:cs="Calibri"/>
          <w:b/>
          <w:color w:val="1E8449"/>
          <w:sz w:val="20"/>
        </w:rPr>
        <w:t>[+100 puntos]</w:t>
      </w:r>
    </w:p>
    <w:p w14:paraId="6798CA00" w14:textId="77777777" w:rsidR="001A6333" w:rsidRDefault="00C76279">
      <w:pPr>
        <w:spacing w:after="80"/>
        <w:ind w:left="400"/>
        <w:rPr>
          <w:rFonts w:cs="Calibri"/>
          <w:color w:val="auto"/>
          <w:sz w:val="20"/>
        </w:rPr>
      </w:pPr>
      <w:r w:rsidRPr="00B96FED">
        <w:rPr>
          <w:rFonts w:cs="Calibri"/>
          <w:color w:val="auto"/>
          <w:sz w:val="20"/>
        </w:rPr>
        <w:t>Esta es la estrategia más completa y correcta.</w:t>
      </w:r>
      <w:r w:rsidR="001A6333">
        <w:rPr>
          <w:rFonts w:cs="Calibri"/>
          <w:color w:val="auto"/>
          <w:sz w:val="20"/>
        </w:rPr>
        <w:t xml:space="preserve"> Los componentes clave son: </w:t>
      </w:r>
    </w:p>
    <w:p w14:paraId="421B048E" w14:textId="40BEBF26" w:rsidR="001A6333" w:rsidRDefault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 xml:space="preserve">Mantener la terapia actual: con </w:t>
      </w:r>
      <w:r w:rsidR="00DC11DA">
        <w:rPr>
          <w:rFonts w:cs="Calibri"/>
          <w:color w:val="auto"/>
          <w:sz w:val="20"/>
        </w:rPr>
        <w:t xml:space="preserve">un </w:t>
      </w:r>
      <w:r w:rsidR="00C76279" w:rsidRPr="00B96FED">
        <w:rPr>
          <w:rFonts w:cs="Calibri"/>
          <w:color w:val="auto"/>
          <w:sz w:val="20"/>
        </w:rPr>
        <w:t xml:space="preserve">cLDL </w:t>
      </w:r>
      <w:r w:rsidR="00DC11DA">
        <w:rPr>
          <w:rFonts w:cs="Calibri"/>
          <w:color w:val="auto"/>
          <w:sz w:val="20"/>
        </w:rPr>
        <w:t xml:space="preserve">de </w:t>
      </w:r>
      <w:r w:rsidR="00C76279" w:rsidRPr="00B96FED">
        <w:rPr>
          <w:rFonts w:cs="Calibri"/>
          <w:color w:val="auto"/>
          <w:sz w:val="20"/>
        </w:rPr>
        <w:t xml:space="preserve">41 mg/dL y </w:t>
      </w:r>
      <w:r w:rsidR="00DC11DA">
        <w:rPr>
          <w:rFonts w:cs="Calibri"/>
          <w:color w:val="auto"/>
          <w:sz w:val="20"/>
        </w:rPr>
        <w:t xml:space="preserve">una </w:t>
      </w:r>
      <w:r w:rsidR="00FE2A54">
        <w:rPr>
          <w:rFonts w:cs="Calibri"/>
          <w:color w:val="auto"/>
          <w:sz w:val="20"/>
        </w:rPr>
        <w:t>a</w:t>
      </w:r>
      <w:r w:rsidR="00C76279" w:rsidRPr="00B96FED">
        <w:rPr>
          <w:rFonts w:cs="Calibri"/>
          <w:color w:val="auto"/>
          <w:sz w:val="20"/>
        </w:rPr>
        <w:t xml:space="preserve">poB </w:t>
      </w:r>
      <w:r w:rsidR="00DC11DA">
        <w:rPr>
          <w:rFonts w:cs="Calibri"/>
          <w:color w:val="auto"/>
          <w:sz w:val="20"/>
        </w:rPr>
        <w:t xml:space="preserve">de </w:t>
      </w:r>
      <w:r w:rsidR="00C76279" w:rsidRPr="00B96FED">
        <w:rPr>
          <w:rFonts w:cs="Calibri"/>
          <w:color w:val="auto"/>
          <w:sz w:val="20"/>
        </w:rPr>
        <w:t xml:space="preserve">46 mg/dL, el control lipídico es límite </w:t>
      </w:r>
      <w:r w:rsidR="00DC11DA" w:rsidRPr="00DC11DA">
        <w:rPr>
          <w:rFonts w:cs="Calibri"/>
          <w:color w:val="auto"/>
          <w:sz w:val="20"/>
        </w:rPr>
        <w:t xml:space="preserve">a pesar de la triple terapia hipolipemiante, que incluye inclisirán </w:t>
      </w:r>
      <w:r w:rsidR="00DC11DA">
        <w:rPr>
          <w:rFonts w:cs="Calibri"/>
          <w:color w:val="auto"/>
          <w:sz w:val="20"/>
        </w:rPr>
        <w:t>administrado</w:t>
      </w:r>
      <w:r>
        <w:rPr>
          <w:rFonts w:cs="Calibri"/>
          <w:color w:val="auto"/>
          <w:sz w:val="20"/>
        </w:rPr>
        <w:t xml:space="preserve"> semestralmente. En el ensayo HORIZON, 897 pacientes (</w:t>
      </w:r>
      <w:r w:rsidR="00480211">
        <w:rPr>
          <w:rFonts w:cs="Calibri"/>
          <w:color w:val="auto"/>
          <w:sz w:val="20"/>
        </w:rPr>
        <w:t xml:space="preserve">un </w:t>
      </w:r>
      <w:r>
        <w:rPr>
          <w:rFonts w:cs="Calibri"/>
          <w:color w:val="auto"/>
          <w:sz w:val="20"/>
        </w:rPr>
        <w:t>10</w:t>
      </w:r>
      <w:r w:rsidR="00480211">
        <w:rPr>
          <w:rFonts w:cs="Calibri"/>
          <w:color w:val="auto"/>
          <w:sz w:val="20"/>
        </w:rPr>
        <w:t>,</w:t>
      </w:r>
      <w:r>
        <w:rPr>
          <w:rFonts w:cs="Calibri"/>
          <w:color w:val="auto"/>
          <w:sz w:val="20"/>
        </w:rPr>
        <w:t>8%) incluyen tratamiento con iPCSK9.</w:t>
      </w:r>
    </w:p>
    <w:p w14:paraId="245996A3" w14:textId="49689F4B" w:rsidR="001A6333" w:rsidRDefault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 xml:space="preserve">Optimizar </w:t>
      </w:r>
      <w:r w:rsidR="00480211">
        <w:rPr>
          <w:rFonts w:cs="Calibri"/>
          <w:color w:val="auto"/>
          <w:sz w:val="20"/>
        </w:rPr>
        <w:t xml:space="preserve">el </w:t>
      </w:r>
      <w:r w:rsidR="00C76279" w:rsidRPr="00B96FED">
        <w:rPr>
          <w:rFonts w:cs="Calibri"/>
          <w:color w:val="auto"/>
          <w:sz w:val="20"/>
        </w:rPr>
        <w:t xml:space="preserve">resto de </w:t>
      </w:r>
      <w:r w:rsidR="00480211">
        <w:rPr>
          <w:rFonts w:cs="Calibri"/>
          <w:color w:val="auto"/>
          <w:sz w:val="20"/>
        </w:rPr>
        <w:t xml:space="preserve">la </w:t>
      </w:r>
      <w:r w:rsidR="00C76279" w:rsidRPr="00B96FED">
        <w:rPr>
          <w:rFonts w:cs="Calibri"/>
          <w:color w:val="auto"/>
          <w:sz w:val="20"/>
        </w:rPr>
        <w:t xml:space="preserve">prevención secundaria post-ictus: antiagregación y control estricto de </w:t>
      </w:r>
      <w:r w:rsidR="00480211">
        <w:rPr>
          <w:rFonts w:cs="Calibri"/>
          <w:color w:val="auto"/>
          <w:sz w:val="20"/>
        </w:rPr>
        <w:t xml:space="preserve">la </w:t>
      </w:r>
      <w:r w:rsidR="00C76279" w:rsidRPr="00B96FED">
        <w:rPr>
          <w:rFonts w:cs="Calibri"/>
          <w:color w:val="auto"/>
          <w:sz w:val="20"/>
        </w:rPr>
        <w:t>HTA (objetivo &lt;130/80 mmHg)</w:t>
      </w:r>
      <w:r w:rsidR="002C0DEC" w:rsidRPr="00B96FED">
        <w:rPr>
          <w:rFonts w:cs="Calibri"/>
          <w:color w:val="FF0000"/>
          <w:sz w:val="20"/>
          <w:vertAlign w:val="superscript"/>
        </w:rPr>
        <w:t>15,16</w:t>
      </w:r>
      <w:r>
        <w:rPr>
          <w:rFonts w:cs="Calibri"/>
          <w:color w:val="auto"/>
          <w:sz w:val="20"/>
        </w:rPr>
        <w:t xml:space="preserve">. </w:t>
      </w:r>
    </w:p>
    <w:p w14:paraId="25BDC717" w14:textId="25FCFFF6" w:rsidR="00A456F2" w:rsidRPr="00B96FED" w:rsidRDefault="001A6333">
      <w:pPr>
        <w:spacing w:after="80"/>
        <w:ind w:left="400"/>
        <w:rPr>
          <w:color w:val="auto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 xml:space="preserve">Evaluar </w:t>
      </w:r>
      <w:r w:rsidR="00480211">
        <w:rPr>
          <w:rFonts w:cs="Calibri"/>
          <w:color w:val="auto"/>
          <w:sz w:val="20"/>
        </w:rPr>
        <w:t xml:space="preserve">la </w:t>
      </w:r>
      <w:r w:rsidR="00C76279" w:rsidRPr="00B96FED">
        <w:rPr>
          <w:rFonts w:cs="Calibri"/>
          <w:color w:val="auto"/>
          <w:sz w:val="20"/>
        </w:rPr>
        <w:t xml:space="preserve">elegibilidad para </w:t>
      </w:r>
      <w:r w:rsidR="00DC11DA">
        <w:rPr>
          <w:rFonts w:cs="Calibri"/>
          <w:color w:val="auto"/>
          <w:sz w:val="20"/>
        </w:rPr>
        <w:t xml:space="preserve">un </w:t>
      </w:r>
      <w:r w:rsidR="00C76279" w:rsidRPr="00B96FED">
        <w:rPr>
          <w:rFonts w:cs="Calibri"/>
          <w:color w:val="auto"/>
          <w:sz w:val="20"/>
        </w:rPr>
        <w:t>uso precoz de</w:t>
      </w:r>
      <w:r w:rsidR="00480211">
        <w:rPr>
          <w:rFonts w:cs="Calibri"/>
          <w:color w:val="auto"/>
          <w:sz w:val="20"/>
        </w:rPr>
        <w:t>l</w:t>
      </w:r>
      <w:r w:rsidR="00C76279" w:rsidRPr="00B96FED">
        <w:rPr>
          <w:rFonts w:cs="Calibri"/>
          <w:color w:val="auto"/>
          <w:sz w:val="20"/>
        </w:rPr>
        <w:t xml:space="preserve"> tratamiento anti</w:t>
      </w:r>
      <w:r w:rsidR="00480211">
        <w:rPr>
          <w:rFonts w:cs="Calibri"/>
          <w:color w:val="auto"/>
          <w:sz w:val="20"/>
        </w:rPr>
        <w:t>-</w:t>
      </w:r>
      <w:r w:rsidR="00C76279" w:rsidRPr="00B96FED">
        <w:rPr>
          <w:rFonts w:cs="Calibri"/>
          <w:color w:val="auto"/>
          <w:sz w:val="20"/>
        </w:rPr>
        <w:t xml:space="preserve">Lp(a): </w:t>
      </w:r>
      <w:r w:rsidR="00DC11DA">
        <w:rPr>
          <w:rFonts w:cs="Calibri"/>
          <w:color w:val="auto"/>
          <w:sz w:val="20"/>
        </w:rPr>
        <w:t>a</w:t>
      </w:r>
      <w:r w:rsidR="00C76279" w:rsidRPr="00B96FED">
        <w:rPr>
          <w:rFonts w:cs="Calibri"/>
          <w:color w:val="auto"/>
          <w:sz w:val="20"/>
        </w:rPr>
        <w:t xml:space="preserve"> los 3 meses </w:t>
      </w:r>
      <w:r w:rsidR="00DC11DA">
        <w:rPr>
          <w:rFonts w:cs="Calibri"/>
          <w:color w:val="auto"/>
          <w:sz w:val="20"/>
        </w:rPr>
        <w:t xml:space="preserve">del </w:t>
      </w:r>
      <w:r w:rsidR="00C76279" w:rsidRPr="00B96FED">
        <w:rPr>
          <w:rFonts w:cs="Calibri"/>
          <w:color w:val="auto"/>
          <w:sz w:val="20"/>
        </w:rPr>
        <w:t xml:space="preserve">ictus, Juan cumpliría criterios para uso de pelacarsen de acuerdo </w:t>
      </w:r>
      <w:r w:rsidR="00DC11DA">
        <w:rPr>
          <w:rFonts w:cs="Calibri"/>
          <w:color w:val="auto"/>
          <w:sz w:val="20"/>
        </w:rPr>
        <w:t>con el</w:t>
      </w:r>
      <w:r w:rsidR="00C76279" w:rsidRPr="00B96FED">
        <w:rPr>
          <w:rFonts w:cs="Calibri"/>
          <w:color w:val="auto"/>
          <w:sz w:val="20"/>
        </w:rPr>
        <w:t xml:space="preserve"> ensayo HORIZON (ictus isquémico entre 3 meses y 10 años + Lp(a) ≥70 mg/dL)</w:t>
      </w:r>
      <w:r w:rsidR="00C23986" w:rsidRPr="00B96FED">
        <w:rPr>
          <w:rFonts w:cs="Calibri"/>
          <w:color w:val="FF0000"/>
          <w:sz w:val="20"/>
          <w:vertAlign w:val="superscript"/>
        </w:rPr>
        <w:t>7</w:t>
      </w:r>
      <w:r w:rsidR="00C23986">
        <w:rPr>
          <w:rFonts w:cs="Calibri"/>
          <w:color w:val="auto"/>
          <w:sz w:val="20"/>
        </w:rPr>
        <w:t xml:space="preserve">. </w:t>
      </w:r>
      <w:r w:rsidR="00C76279" w:rsidRPr="00B96FED">
        <w:rPr>
          <w:rFonts w:cs="Calibri"/>
          <w:color w:val="auto"/>
          <w:sz w:val="20"/>
        </w:rPr>
        <w:t xml:space="preserve">La participación </w:t>
      </w:r>
      <w:r w:rsidR="00DC11DA">
        <w:rPr>
          <w:rFonts w:cs="Calibri"/>
          <w:color w:val="auto"/>
          <w:sz w:val="20"/>
        </w:rPr>
        <w:t xml:space="preserve">en </w:t>
      </w:r>
      <w:r w:rsidR="00C76279" w:rsidRPr="00B96FED">
        <w:rPr>
          <w:rFonts w:cs="Calibri"/>
          <w:color w:val="auto"/>
          <w:sz w:val="20"/>
        </w:rPr>
        <w:t xml:space="preserve">otros ensayos de fase </w:t>
      </w:r>
      <w:r w:rsidR="0043670F">
        <w:rPr>
          <w:rFonts w:cs="Calibri"/>
          <w:color w:val="auto"/>
          <w:sz w:val="20"/>
        </w:rPr>
        <w:t>III</w:t>
      </w:r>
      <w:r w:rsidR="00C76279" w:rsidRPr="00B96FED">
        <w:rPr>
          <w:rFonts w:cs="Calibri"/>
          <w:color w:val="auto"/>
          <w:sz w:val="20"/>
        </w:rPr>
        <w:t xml:space="preserve"> podría ser otra opción para acceder a terapia específica anti-Lp(a).</w:t>
      </w:r>
    </w:p>
    <w:p w14:paraId="28149D3E" w14:textId="73859F30" w:rsidR="001A6333" w:rsidRPr="00EA7B6D" w:rsidRDefault="00C76279" w:rsidP="00EA7B6D">
      <w:pPr>
        <w:spacing w:before="80" w:after="60"/>
        <w:ind w:left="200"/>
      </w:pPr>
      <w:r>
        <w:rPr>
          <w:rFonts w:cs="Calibri"/>
          <w:b/>
          <w:color w:val="C0392B"/>
        </w:rPr>
        <w:t>2)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4</w:t>
      </w:r>
      <w:r>
        <w:rPr>
          <w:rFonts w:cs="Calibri"/>
          <w:b/>
          <w:color w:val="C0392B"/>
          <w:sz w:val="20"/>
        </w:rPr>
        <w:t>0 puntos]</w:t>
      </w:r>
    </w:p>
    <w:p w14:paraId="384EE865" w14:textId="714367F2" w:rsidR="001A6333" w:rsidRDefault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>- L</w:t>
      </w:r>
      <w:r w:rsidR="00C76279" w:rsidRPr="00B96FED">
        <w:rPr>
          <w:rFonts w:cs="Calibri"/>
          <w:color w:val="auto"/>
          <w:sz w:val="20"/>
        </w:rPr>
        <w:t>os resultados de</w:t>
      </w:r>
      <w:r>
        <w:rPr>
          <w:rFonts w:cs="Calibri"/>
          <w:color w:val="auto"/>
          <w:sz w:val="20"/>
        </w:rPr>
        <w:t>l ensayo</w:t>
      </w:r>
      <w:r w:rsidR="00C76279" w:rsidRPr="00B96FED">
        <w:rPr>
          <w:rFonts w:cs="Calibri"/>
          <w:color w:val="auto"/>
          <w:sz w:val="20"/>
        </w:rPr>
        <w:t xml:space="preserve"> HORIZON </w:t>
      </w:r>
      <w:r>
        <w:rPr>
          <w:rFonts w:cs="Calibri"/>
          <w:color w:val="auto"/>
          <w:sz w:val="20"/>
        </w:rPr>
        <w:t>confirmando la</w:t>
      </w:r>
      <w:r w:rsidR="00C76279" w:rsidRPr="00B96FED">
        <w:rPr>
          <w:rFonts w:cs="Calibri"/>
          <w:color w:val="auto"/>
          <w:sz w:val="20"/>
        </w:rPr>
        <w:t xml:space="preserve"> reducción de eventos</w:t>
      </w:r>
      <w:r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 xml:space="preserve">aún no </w:t>
      </w:r>
      <w:r w:rsidR="00DD06D9">
        <w:rPr>
          <w:rFonts w:cs="Calibri"/>
          <w:color w:val="auto"/>
          <w:sz w:val="20"/>
        </w:rPr>
        <w:t xml:space="preserve">se </w:t>
      </w:r>
      <w:r w:rsidRPr="00B96FED">
        <w:rPr>
          <w:rFonts w:cs="Calibri"/>
          <w:color w:val="auto"/>
          <w:sz w:val="20"/>
        </w:rPr>
        <w:t xml:space="preserve">han </w:t>
      </w:r>
      <w:r>
        <w:rPr>
          <w:rFonts w:cs="Calibri"/>
          <w:color w:val="auto"/>
          <w:sz w:val="20"/>
        </w:rPr>
        <w:t>publicado</w:t>
      </w:r>
      <w:r w:rsidR="00C23986" w:rsidRPr="00B96FED">
        <w:rPr>
          <w:rFonts w:cs="Calibri"/>
          <w:color w:val="FF0000"/>
          <w:sz w:val="20"/>
          <w:vertAlign w:val="superscript"/>
        </w:rPr>
        <w:t>7</w:t>
      </w:r>
      <w:r w:rsidR="00C23986">
        <w:rPr>
          <w:rFonts w:cs="Calibri"/>
          <w:color w:val="auto"/>
          <w:sz w:val="20"/>
        </w:rPr>
        <w:t xml:space="preserve">. </w:t>
      </w:r>
    </w:p>
    <w:p w14:paraId="5B22C057" w14:textId="142C2E0B" w:rsidR="001A6333" w:rsidRDefault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>- El acceso a</w:t>
      </w:r>
      <w:r w:rsidR="00DD06D9">
        <w:rPr>
          <w:rFonts w:cs="Calibri"/>
          <w:color w:val="auto"/>
          <w:sz w:val="20"/>
        </w:rPr>
        <w:t>l</w:t>
      </w:r>
      <w:r>
        <w:rPr>
          <w:rFonts w:cs="Calibri"/>
          <w:color w:val="auto"/>
          <w:sz w:val="20"/>
        </w:rPr>
        <w:t xml:space="preserve"> tratamiento con pelacarsen está restringido a</w:t>
      </w:r>
      <w:r w:rsidR="00C76279" w:rsidRPr="00B96FED">
        <w:rPr>
          <w:rFonts w:cs="Calibri"/>
          <w:color w:val="auto"/>
          <w:sz w:val="20"/>
        </w:rPr>
        <w:t xml:space="preserve"> ensayos clínicos</w:t>
      </w:r>
      <w:r w:rsidR="00C76279" w:rsidRPr="00B96FED">
        <w:rPr>
          <w:rFonts w:cs="Calibri"/>
          <w:color w:val="auto"/>
          <w:sz w:val="20"/>
          <w:vertAlign w:val="superscript"/>
        </w:rPr>
        <w:t>1,3</w:t>
      </w:r>
      <w:r w:rsidR="00C23986" w:rsidRPr="00B96FED">
        <w:rPr>
          <w:rFonts w:cs="Calibri"/>
          <w:color w:val="auto"/>
          <w:sz w:val="20"/>
        </w:rPr>
        <w:t>.</w:t>
      </w:r>
      <w:r>
        <w:rPr>
          <w:rFonts w:cs="Calibri"/>
          <w:color w:val="auto"/>
          <w:sz w:val="20"/>
        </w:rPr>
        <w:t xml:space="preserve"> </w:t>
      </w:r>
    </w:p>
    <w:p w14:paraId="7A14D2DB" w14:textId="41F79591" w:rsidR="001A6333" w:rsidRDefault="001A6333" w:rsidP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>No existe indicación de retirar inclisirán, que está proporcionando un excelente control de</w:t>
      </w:r>
      <w:r w:rsidR="00DD06D9">
        <w:rPr>
          <w:rFonts w:cs="Calibri"/>
          <w:color w:val="auto"/>
          <w:sz w:val="20"/>
        </w:rPr>
        <w:t>l</w:t>
      </w:r>
      <w:r w:rsidR="00C76279" w:rsidRPr="00B96FED">
        <w:rPr>
          <w:rFonts w:cs="Calibri"/>
          <w:color w:val="auto"/>
          <w:sz w:val="20"/>
        </w:rPr>
        <w:t xml:space="preserve"> cLDL y </w:t>
      </w:r>
      <w:r w:rsidR="00DD06D9">
        <w:rPr>
          <w:rFonts w:cs="Calibri"/>
          <w:color w:val="auto"/>
          <w:sz w:val="20"/>
        </w:rPr>
        <w:t xml:space="preserve">la </w:t>
      </w:r>
      <w:r w:rsidR="00FE2A54">
        <w:rPr>
          <w:rFonts w:cs="Calibri"/>
          <w:color w:val="auto"/>
          <w:sz w:val="20"/>
        </w:rPr>
        <w:t>a</w:t>
      </w:r>
      <w:r w:rsidR="00C76279" w:rsidRPr="00B96FED">
        <w:rPr>
          <w:rFonts w:cs="Calibri"/>
          <w:color w:val="auto"/>
          <w:sz w:val="20"/>
        </w:rPr>
        <w:t>poB; ambas terapias (siRNA anti-PCSK9 y ASO/siRNA anti-</w:t>
      </w:r>
      <w:r w:rsidR="00C76279" w:rsidRPr="00BC4DAE">
        <w:rPr>
          <w:rFonts w:cs="Calibri"/>
          <w:i/>
          <w:iCs/>
          <w:color w:val="auto"/>
          <w:sz w:val="20"/>
        </w:rPr>
        <w:t>LPA</w:t>
      </w:r>
      <w:r w:rsidR="00C76279" w:rsidRPr="00B96FED">
        <w:rPr>
          <w:rFonts w:cs="Calibri"/>
          <w:color w:val="auto"/>
          <w:sz w:val="20"/>
        </w:rPr>
        <w:t>) tienen mecanismos complementarios y</w:t>
      </w:r>
      <w:r>
        <w:rPr>
          <w:rFonts w:cs="Calibri"/>
          <w:color w:val="auto"/>
          <w:sz w:val="20"/>
        </w:rPr>
        <w:t xml:space="preserve"> son potencialmente coadministrables. </w:t>
      </w:r>
    </w:p>
    <w:p w14:paraId="114E352F" w14:textId="0AC28F25" w:rsidR="00A456F2" w:rsidRPr="001A6333" w:rsidRDefault="001A6333" w:rsidP="001A6333">
      <w:pPr>
        <w:spacing w:after="80"/>
        <w:ind w:left="400"/>
        <w:rPr>
          <w:rFonts w:cs="Calibri"/>
          <w:color w:val="auto"/>
          <w:sz w:val="20"/>
        </w:rPr>
      </w:pPr>
      <w:r>
        <w:rPr>
          <w:rFonts w:cs="Calibri"/>
          <w:color w:val="auto"/>
          <w:sz w:val="20"/>
        </w:rPr>
        <w:t xml:space="preserve">- </w:t>
      </w:r>
      <w:r w:rsidR="00C76279" w:rsidRPr="00B96FED">
        <w:rPr>
          <w:rFonts w:cs="Calibri"/>
          <w:color w:val="auto"/>
          <w:sz w:val="20"/>
        </w:rPr>
        <w:t>La sustitución inmediata</w:t>
      </w:r>
      <w:r w:rsidR="00DD06D9">
        <w:rPr>
          <w:rFonts w:cs="Calibri"/>
          <w:color w:val="auto"/>
          <w:sz w:val="20"/>
        </w:rPr>
        <w:t>,</w:t>
      </w:r>
      <w:r w:rsidR="00C76279" w:rsidRPr="00B96FED">
        <w:rPr>
          <w:rFonts w:cs="Calibri"/>
          <w:color w:val="auto"/>
          <w:sz w:val="20"/>
        </w:rPr>
        <w:t xml:space="preserve"> post-ictus agudo</w:t>
      </w:r>
      <w:r w:rsidR="00DD06D9">
        <w:rPr>
          <w:rFonts w:cs="Calibri"/>
          <w:color w:val="auto"/>
          <w:sz w:val="20"/>
        </w:rPr>
        <w:t>,</w:t>
      </w:r>
      <w:r w:rsidR="00C76279" w:rsidRPr="00B96FED">
        <w:rPr>
          <w:rFonts w:cs="Calibri"/>
          <w:color w:val="auto"/>
          <w:sz w:val="20"/>
        </w:rPr>
        <w:t xml:space="preserve"> no está justificada sin evidencia de resultados clínicos.</w:t>
      </w:r>
    </w:p>
    <w:p w14:paraId="005B1608" w14:textId="3CFF5D9F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3)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4</w:t>
      </w:r>
      <w:r>
        <w:rPr>
          <w:rFonts w:cs="Calibri"/>
          <w:b/>
          <w:color w:val="C0392B"/>
          <w:sz w:val="20"/>
        </w:rPr>
        <w:t>0 puntos]</w:t>
      </w:r>
    </w:p>
    <w:p w14:paraId="4168EF19" w14:textId="0993F667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El período post-ictus agudo es crítico para la prevención secundaria. La </w:t>
      </w:r>
      <w:r w:rsidR="00DD06D9" w:rsidRPr="00B96FED">
        <w:rPr>
          <w:rFonts w:cs="Calibri"/>
          <w:color w:val="auto"/>
          <w:sz w:val="20"/>
        </w:rPr>
        <w:t>suspensión</w:t>
      </w:r>
      <w:r w:rsidRPr="00B96FED">
        <w:rPr>
          <w:rFonts w:cs="Calibri"/>
          <w:color w:val="auto"/>
          <w:sz w:val="20"/>
        </w:rPr>
        <w:t xml:space="preserve"> de terapias hipolipemiantes se asocia con </w:t>
      </w:r>
      <w:r w:rsidR="00DD06D9">
        <w:rPr>
          <w:rFonts w:cs="Calibri"/>
          <w:color w:val="auto"/>
          <w:sz w:val="20"/>
        </w:rPr>
        <w:t xml:space="preserve">un </w:t>
      </w:r>
      <w:r w:rsidRPr="00B96FED">
        <w:rPr>
          <w:rFonts w:cs="Calibri"/>
          <w:color w:val="auto"/>
          <w:sz w:val="20"/>
        </w:rPr>
        <w:t>aumento significativo del riesgo de recurrencia. Las guías de manejo del ictus isquémico de 2024</w:t>
      </w:r>
      <w:r w:rsidR="00DD06D9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2025 (AHA/ASA, ESO/ESMINT) mantienen la indicación de estatinas de alta intensidad y, si es necesario, </w:t>
      </w:r>
      <w:r w:rsidR="00BC3895">
        <w:rPr>
          <w:rFonts w:cs="Calibri"/>
          <w:color w:val="auto"/>
          <w:sz w:val="20"/>
        </w:rPr>
        <w:t xml:space="preserve">el uso de </w:t>
      </w:r>
      <w:r w:rsidRPr="00B96FED">
        <w:rPr>
          <w:rFonts w:cs="Calibri"/>
          <w:color w:val="auto"/>
          <w:sz w:val="20"/>
        </w:rPr>
        <w:t>terapia combinada para alcanzar objetivos</w:t>
      </w:r>
      <w:r w:rsidR="00C23986" w:rsidRPr="00B96FED">
        <w:rPr>
          <w:rFonts w:cs="Calibri"/>
          <w:color w:val="FF0000"/>
          <w:sz w:val="20"/>
          <w:vertAlign w:val="superscript"/>
        </w:rPr>
        <w:t>15-17</w:t>
      </w:r>
      <w:r w:rsidRPr="00B96FED">
        <w:rPr>
          <w:rFonts w:cs="Calibri"/>
          <w:color w:val="auto"/>
          <w:sz w:val="20"/>
        </w:rPr>
        <w:t>.</w:t>
      </w:r>
      <w:r w:rsidR="00C23986">
        <w:rPr>
          <w:rFonts w:cs="Calibri"/>
          <w:color w:val="auto"/>
          <w:sz w:val="20"/>
          <w:vertAlign w:val="superscript"/>
        </w:rPr>
        <w:t xml:space="preserve"> </w:t>
      </w:r>
      <w:r w:rsidRPr="00B96FED">
        <w:rPr>
          <w:rFonts w:cs="Calibri"/>
          <w:color w:val="auto"/>
          <w:sz w:val="20"/>
        </w:rPr>
        <w:t>El cLDL &lt;55</w:t>
      </w:r>
      <w:r w:rsidR="00DD06D9">
        <w:rPr>
          <w:rFonts w:cs="Calibri"/>
          <w:color w:val="auto"/>
          <w:sz w:val="20"/>
        </w:rPr>
        <w:t>–</w:t>
      </w:r>
      <w:r w:rsidRPr="00B96FED">
        <w:rPr>
          <w:rFonts w:cs="Calibri"/>
          <w:color w:val="auto"/>
          <w:sz w:val="20"/>
        </w:rPr>
        <w:t xml:space="preserve">70 mg/dL post-ictus </w:t>
      </w:r>
      <w:r w:rsidR="00DD06D9">
        <w:rPr>
          <w:rFonts w:cs="Calibri"/>
          <w:color w:val="auto"/>
          <w:sz w:val="20"/>
        </w:rPr>
        <w:t>constituye</w:t>
      </w:r>
      <w:r w:rsidRPr="00B96FED">
        <w:rPr>
          <w:rFonts w:cs="Calibri"/>
          <w:color w:val="auto"/>
          <w:sz w:val="20"/>
        </w:rPr>
        <w:t xml:space="preserve"> un objetivo</w:t>
      </w:r>
      <w:r w:rsidR="00DD06D9">
        <w:rPr>
          <w:rFonts w:cs="Calibri"/>
          <w:color w:val="auto"/>
          <w:sz w:val="20"/>
        </w:rPr>
        <w:t xml:space="preserve"> con una</w:t>
      </w:r>
      <w:r w:rsidRPr="00B96FED">
        <w:rPr>
          <w:rFonts w:cs="Calibri"/>
          <w:color w:val="auto"/>
          <w:sz w:val="20"/>
        </w:rPr>
        <w:t xml:space="preserve"> recomendación</w:t>
      </w:r>
      <w:r w:rsidR="00DD06D9">
        <w:rPr>
          <w:rFonts w:cs="Calibri"/>
          <w:color w:val="auto"/>
          <w:sz w:val="20"/>
        </w:rPr>
        <w:t xml:space="preserve"> </w:t>
      </w:r>
      <w:r w:rsidR="00DD06D9" w:rsidRPr="00B96FED">
        <w:rPr>
          <w:rFonts w:cs="Calibri"/>
          <w:color w:val="auto"/>
          <w:sz w:val="20"/>
        </w:rPr>
        <w:t>de clase I</w:t>
      </w:r>
      <w:r w:rsidRPr="00B96FED">
        <w:rPr>
          <w:rFonts w:cs="Calibri"/>
          <w:color w:val="auto"/>
          <w:sz w:val="20"/>
        </w:rPr>
        <w:t>. La rehabilitación neurológica y el control lipídico no son mutuamente excluyentes; deben implementarse de forma simultánea e integral.</w:t>
      </w:r>
    </w:p>
    <w:p w14:paraId="71A962C7" w14:textId="380E8697" w:rsidR="00A456F2" w:rsidRDefault="00C76279">
      <w:pPr>
        <w:spacing w:before="80" w:after="60"/>
        <w:ind w:left="200"/>
      </w:pPr>
      <w:r>
        <w:rPr>
          <w:rFonts w:cs="Calibri"/>
          <w:b/>
          <w:color w:val="C0392B"/>
        </w:rPr>
        <w:t>4) INCORRECTA</w:t>
      </w:r>
      <w:r w:rsidR="00B96FED">
        <w:rPr>
          <w:rFonts w:cs="Calibri"/>
          <w:b/>
          <w:color w:val="C0392B"/>
        </w:rPr>
        <w:t xml:space="preserve"> </w:t>
      </w:r>
      <w:r>
        <w:rPr>
          <w:rFonts w:cs="Calibri"/>
          <w:b/>
          <w:color w:val="C0392B"/>
          <w:sz w:val="20"/>
        </w:rPr>
        <w:t>[-</w:t>
      </w:r>
      <w:r w:rsidR="00C320F5">
        <w:rPr>
          <w:rFonts w:cs="Calibri"/>
          <w:b/>
          <w:color w:val="C0392B"/>
          <w:sz w:val="20"/>
        </w:rPr>
        <w:t>2</w:t>
      </w:r>
      <w:r>
        <w:rPr>
          <w:rFonts w:cs="Calibri"/>
          <w:b/>
          <w:color w:val="C0392B"/>
          <w:sz w:val="20"/>
        </w:rPr>
        <w:t>0 puntos]</w:t>
      </w:r>
    </w:p>
    <w:p w14:paraId="0A3F6C93" w14:textId="41749DA9" w:rsidR="00A456F2" w:rsidRPr="00B96FED" w:rsidRDefault="00C76279">
      <w:pPr>
        <w:spacing w:after="80"/>
        <w:ind w:left="400"/>
        <w:rPr>
          <w:color w:val="auto"/>
        </w:rPr>
      </w:pPr>
      <w:r w:rsidRPr="00B96FED">
        <w:rPr>
          <w:rFonts w:cs="Calibri"/>
          <w:color w:val="auto"/>
          <w:sz w:val="20"/>
        </w:rPr>
        <w:t xml:space="preserve">Aunque es cierto que no hay terapias aprobadas específicamente anti-Lp(a), esta actitud de </w:t>
      </w:r>
      <w:r w:rsidR="00EA7B6D">
        <w:rPr>
          <w:rFonts w:cs="Calibri"/>
          <w:color w:val="auto"/>
          <w:sz w:val="20"/>
        </w:rPr>
        <w:t xml:space="preserve">inercia terapéutica ignora </w:t>
      </w:r>
      <w:r w:rsidRPr="00B96FED">
        <w:rPr>
          <w:rFonts w:cs="Calibri"/>
          <w:color w:val="auto"/>
          <w:sz w:val="20"/>
        </w:rPr>
        <w:t xml:space="preserve">la importancia de la reducción máxima de todos los factores de riesgo modificables (cLDL, </w:t>
      </w:r>
      <w:r w:rsidR="00BC3895">
        <w:rPr>
          <w:rFonts w:cs="Calibri"/>
          <w:color w:val="auto"/>
          <w:sz w:val="20"/>
        </w:rPr>
        <w:t>presión arterial</w:t>
      </w:r>
      <w:r w:rsidRPr="00B96FED">
        <w:rPr>
          <w:rFonts w:cs="Calibri"/>
          <w:color w:val="auto"/>
          <w:sz w:val="20"/>
        </w:rPr>
        <w:t xml:space="preserve">, glucemia, peso) como estrategia indirecta para mitigar el riesgo atribuible a </w:t>
      </w:r>
      <w:r w:rsidR="00BC3895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>Lp(a)</w:t>
      </w:r>
      <w:r w:rsidRPr="00B96FED">
        <w:rPr>
          <w:rFonts w:cs="Calibri"/>
          <w:color w:val="auto"/>
          <w:sz w:val="20"/>
          <w:vertAlign w:val="superscript"/>
        </w:rPr>
        <w:t>1,3</w:t>
      </w:r>
      <w:r w:rsidR="00EA7B6D">
        <w:rPr>
          <w:rFonts w:cs="Calibri"/>
          <w:color w:val="auto"/>
          <w:sz w:val="20"/>
        </w:rPr>
        <w:t>,</w:t>
      </w:r>
      <w:r w:rsidR="00C23986">
        <w:rPr>
          <w:rFonts w:cs="Calibri"/>
          <w:color w:val="auto"/>
          <w:sz w:val="20"/>
        </w:rPr>
        <w:t xml:space="preserve"> </w:t>
      </w:r>
      <w:r w:rsidRPr="00B96FED">
        <w:rPr>
          <w:rFonts w:cs="Calibri"/>
          <w:color w:val="auto"/>
          <w:sz w:val="20"/>
        </w:rPr>
        <w:t xml:space="preserve">la posibilidad de </w:t>
      </w:r>
      <w:r w:rsidR="00BC3895">
        <w:rPr>
          <w:rFonts w:cs="Calibri"/>
          <w:color w:val="auto"/>
          <w:sz w:val="20"/>
        </w:rPr>
        <w:t xml:space="preserve">un </w:t>
      </w:r>
      <w:r w:rsidRPr="00B96FED">
        <w:rPr>
          <w:rFonts w:cs="Calibri"/>
          <w:color w:val="auto"/>
          <w:sz w:val="20"/>
        </w:rPr>
        <w:t xml:space="preserve">tratamiento precoz (pelacarsen de acuerdo </w:t>
      </w:r>
      <w:r w:rsidR="00BC3895">
        <w:rPr>
          <w:rFonts w:cs="Calibri"/>
          <w:color w:val="auto"/>
          <w:sz w:val="20"/>
        </w:rPr>
        <w:t>con e</w:t>
      </w:r>
      <w:r w:rsidR="00EA7B6D">
        <w:rPr>
          <w:rFonts w:cs="Calibri"/>
          <w:color w:val="auto"/>
          <w:sz w:val="20"/>
        </w:rPr>
        <w:t>l ensayo</w:t>
      </w:r>
      <w:r w:rsidRPr="00B96FED">
        <w:rPr>
          <w:rFonts w:cs="Calibri"/>
          <w:color w:val="auto"/>
          <w:sz w:val="20"/>
        </w:rPr>
        <w:t xml:space="preserve"> Horizon) o </w:t>
      </w:r>
      <w:r w:rsidR="000B47D7">
        <w:rPr>
          <w:rFonts w:cs="Calibri"/>
          <w:color w:val="auto"/>
          <w:sz w:val="20"/>
        </w:rPr>
        <w:t xml:space="preserve">la </w:t>
      </w:r>
      <w:r w:rsidRPr="00B96FED">
        <w:rPr>
          <w:rFonts w:cs="Calibri"/>
          <w:color w:val="auto"/>
          <w:sz w:val="20"/>
        </w:rPr>
        <w:t xml:space="preserve">inclusión en ensayos clínicos de fase </w:t>
      </w:r>
      <w:r w:rsidR="0043670F">
        <w:rPr>
          <w:rFonts w:cs="Calibri"/>
          <w:color w:val="auto"/>
          <w:sz w:val="20"/>
        </w:rPr>
        <w:t>III</w:t>
      </w:r>
      <w:r w:rsidRPr="00B96FED">
        <w:rPr>
          <w:rFonts w:cs="Calibri"/>
          <w:color w:val="auto"/>
          <w:sz w:val="20"/>
        </w:rPr>
        <w:t xml:space="preserve"> como terapias potencialmente revolucionarias</w:t>
      </w:r>
      <w:r w:rsidR="00C23986" w:rsidRPr="00B96FED">
        <w:rPr>
          <w:rFonts w:cs="Calibri"/>
          <w:color w:val="FF0000"/>
          <w:sz w:val="20"/>
          <w:vertAlign w:val="superscript"/>
        </w:rPr>
        <w:t>7</w:t>
      </w:r>
      <w:r w:rsidR="001906DE">
        <w:rPr>
          <w:rFonts w:cs="Calibri"/>
          <w:color w:val="FF0000"/>
          <w:sz w:val="20"/>
        </w:rPr>
        <w:t>,</w:t>
      </w:r>
      <w:r w:rsidR="00C23986">
        <w:rPr>
          <w:rFonts w:cs="Calibri"/>
          <w:color w:val="auto"/>
          <w:sz w:val="20"/>
        </w:rPr>
        <w:t xml:space="preserve"> </w:t>
      </w:r>
      <w:r w:rsidR="00EA7B6D">
        <w:rPr>
          <w:rFonts w:cs="Calibri"/>
          <w:color w:val="auto"/>
          <w:sz w:val="20"/>
        </w:rPr>
        <w:t xml:space="preserve">y </w:t>
      </w:r>
      <w:r w:rsidRPr="00B96FED">
        <w:rPr>
          <w:rFonts w:cs="Calibri"/>
          <w:color w:val="auto"/>
          <w:sz w:val="20"/>
        </w:rPr>
        <w:t>la monitorización de la Lp(a) tras iniciar terapia específica, que será relevante en el próximo futuro.</w:t>
      </w:r>
    </w:p>
    <w:p w14:paraId="10C1E97C" w14:textId="1F9E4158" w:rsidR="00A456F2" w:rsidRPr="00020024" w:rsidRDefault="00F86145">
      <w:pPr>
        <w:pStyle w:val="Ttulo1"/>
        <w:rPr>
          <w:color w:val="auto"/>
        </w:rPr>
      </w:pPr>
      <w:r w:rsidRPr="00020024">
        <w:rPr>
          <w:rFonts w:cs="Calibri"/>
          <w:color w:val="auto"/>
        </w:rPr>
        <w:lastRenderedPageBreak/>
        <w:t>7</w:t>
      </w:r>
      <w:r w:rsidR="007E61E2" w:rsidRPr="00020024">
        <w:rPr>
          <w:rFonts w:cs="Calibri"/>
          <w:color w:val="auto"/>
        </w:rPr>
        <w:t>. Puntos clave</w:t>
      </w:r>
    </w:p>
    <w:p w14:paraId="7A26E248" w14:textId="6BF5A54A" w:rsidR="00A456F2" w:rsidRPr="00020024" w:rsidRDefault="004A2A2F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>1. La Lp(a) elevada es un factor de riesgo causal e independiente para el ictus isquémico atero</w:t>
      </w:r>
      <w:r w:rsidR="00EA7B6D" w:rsidRPr="00020024">
        <w:rPr>
          <w:rFonts w:cs="Calibri"/>
          <w:color w:val="auto"/>
        </w:rPr>
        <w:t>trombótico</w:t>
      </w:r>
      <w:r w:rsidRPr="00020024">
        <w:rPr>
          <w:rFonts w:cs="Calibri"/>
          <w:color w:val="auto"/>
        </w:rPr>
        <w:t>, incluyendo recurrencias, independientemente de los niveles de cLDL</w:t>
      </w:r>
      <w:r w:rsidR="00C23986" w:rsidRPr="00020024">
        <w:rPr>
          <w:rFonts w:cs="Calibri"/>
          <w:color w:val="auto"/>
          <w:vertAlign w:val="superscript"/>
        </w:rPr>
        <w:t>1-4,6</w:t>
      </w:r>
      <w:r w:rsidRPr="00020024">
        <w:rPr>
          <w:rFonts w:cs="Calibri"/>
          <w:color w:val="auto"/>
        </w:rPr>
        <w:t>.</w:t>
      </w:r>
    </w:p>
    <w:p w14:paraId="40C3D2C0" w14:textId="31D13710" w:rsidR="00A456F2" w:rsidRPr="00020024" w:rsidRDefault="00EA7B6D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 xml:space="preserve">2. El ictus aterotrombótico </w:t>
      </w:r>
      <w:r w:rsidR="004A2A2F" w:rsidRPr="00020024">
        <w:rPr>
          <w:rFonts w:cs="Calibri"/>
          <w:color w:val="auto"/>
        </w:rPr>
        <w:t xml:space="preserve">es una de las manifestaciones cardiovasculares de la enfermedad aterosclerótica </w:t>
      </w:r>
      <w:r w:rsidR="00B96FED" w:rsidRPr="00020024">
        <w:rPr>
          <w:rFonts w:cs="Calibri"/>
          <w:color w:val="auto"/>
        </w:rPr>
        <w:t>promovida por</w:t>
      </w:r>
      <w:r w:rsidR="004A2A2F" w:rsidRPr="00020024">
        <w:rPr>
          <w:rFonts w:cs="Calibri"/>
          <w:color w:val="auto"/>
        </w:rPr>
        <w:t xml:space="preserve"> </w:t>
      </w:r>
      <w:r w:rsidR="001906DE">
        <w:rPr>
          <w:rFonts w:cs="Calibri"/>
          <w:color w:val="auto"/>
        </w:rPr>
        <w:t xml:space="preserve">la </w:t>
      </w:r>
      <w:r w:rsidR="004A2A2F" w:rsidRPr="00020024">
        <w:rPr>
          <w:rFonts w:cs="Calibri"/>
          <w:color w:val="auto"/>
        </w:rPr>
        <w:t xml:space="preserve">Lp(a), junto con el IAM y la </w:t>
      </w:r>
      <w:r w:rsidR="0055077A">
        <w:rPr>
          <w:rFonts w:cs="Calibri"/>
          <w:color w:val="auto"/>
        </w:rPr>
        <w:t>EAP</w:t>
      </w:r>
      <w:r w:rsidR="00C23986" w:rsidRPr="00020024">
        <w:rPr>
          <w:rFonts w:cs="Calibri"/>
          <w:color w:val="auto"/>
          <w:vertAlign w:val="superscript"/>
        </w:rPr>
        <w:t>1,3,4</w:t>
      </w:r>
      <w:r w:rsidR="004A2A2F" w:rsidRPr="00020024">
        <w:rPr>
          <w:rFonts w:cs="Calibri"/>
          <w:color w:val="auto"/>
        </w:rPr>
        <w:t>.</w:t>
      </w:r>
    </w:p>
    <w:p w14:paraId="3378ED7D" w14:textId="4B5F7314" w:rsidR="00A456F2" w:rsidRPr="00020024" w:rsidRDefault="004A2A2F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 xml:space="preserve">3. No existe ninguna terapia aprobada específicamente para reducir </w:t>
      </w:r>
      <w:r w:rsidR="001906DE">
        <w:rPr>
          <w:rFonts w:cs="Calibri"/>
          <w:color w:val="auto"/>
        </w:rPr>
        <w:t xml:space="preserve">la </w:t>
      </w:r>
      <w:r w:rsidRPr="00020024">
        <w:rPr>
          <w:rFonts w:cs="Calibri"/>
          <w:color w:val="auto"/>
        </w:rPr>
        <w:t xml:space="preserve">Lp(a), pero </w:t>
      </w:r>
      <w:r w:rsidR="00C07CE2">
        <w:rPr>
          <w:rFonts w:cs="Calibri"/>
          <w:color w:val="auto"/>
        </w:rPr>
        <w:t xml:space="preserve">el </w:t>
      </w:r>
      <w:r w:rsidRPr="00020024">
        <w:rPr>
          <w:rFonts w:cs="Calibri"/>
          <w:color w:val="auto"/>
        </w:rPr>
        <w:t xml:space="preserve">pelacarsen (ASO), </w:t>
      </w:r>
      <w:r w:rsidR="00C07CE2">
        <w:rPr>
          <w:rFonts w:cs="Calibri"/>
          <w:color w:val="auto"/>
        </w:rPr>
        <w:t xml:space="preserve">el </w:t>
      </w:r>
      <w:r w:rsidRPr="00020024">
        <w:rPr>
          <w:rFonts w:cs="Calibri"/>
          <w:color w:val="auto"/>
        </w:rPr>
        <w:t xml:space="preserve">olpasiran y </w:t>
      </w:r>
      <w:r w:rsidR="00C07CE2">
        <w:rPr>
          <w:rFonts w:cs="Calibri"/>
          <w:color w:val="auto"/>
        </w:rPr>
        <w:t xml:space="preserve">el </w:t>
      </w:r>
      <w:r w:rsidRPr="00020024">
        <w:rPr>
          <w:rFonts w:cs="Calibri"/>
          <w:color w:val="auto"/>
        </w:rPr>
        <w:t>lepodisiran (ambos siRNA) han demostrado reducciones &gt;80</w:t>
      </w:r>
      <w:r w:rsidR="001906DE">
        <w:rPr>
          <w:rFonts w:cs="Calibri"/>
          <w:color w:val="auto"/>
        </w:rPr>
        <w:t>–</w:t>
      </w:r>
      <w:r w:rsidRPr="00020024">
        <w:rPr>
          <w:rFonts w:cs="Calibri"/>
          <w:color w:val="auto"/>
        </w:rPr>
        <w:t xml:space="preserve">95% en estudios de fase </w:t>
      </w:r>
      <w:r w:rsidR="00B96FED" w:rsidRPr="00020024">
        <w:rPr>
          <w:rFonts w:cs="Calibri"/>
          <w:color w:val="auto"/>
        </w:rPr>
        <w:t>II</w:t>
      </w:r>
      <w:r w:rsidR="00C23986" w:rsidRPr="00020024">
        <w:rPr>
          <w:rFonts w:cs="Calibri"/>
          <w:color w:val="auto"/>
          <w:vertAlign w:val="superscript"/>
        </w:rPr>
        <w:t>8,9,11,12</w:t>
      </w:r>
      <w:r w:rsidRPr="00020024">
        <w:rPr>
          <w:rFonts w:cs="Calibri"/>
          <w:color w:val="auto"/>
        </w:rPr>
        <w:t>.</w:t>
      </w:r>
    </w:p>
    <w:p w14:paraId="413B90CD" w14:textId="0D6501E7" w:rsidR="00A456F2" w:rsidRPr="00020024" w:rsidRDefault="004A2A2F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 xml:space="preserve">4. El ensayo Lp(a)HORIZON (NCT04023552) es el primer estudio de fase </w:t>
      </w:r>
      <w:r w:rsidR="00B96FED" w:rsidRPr="00020024">
        <w:rPr>
          <w:rFonts w:cs="Calibri"/>
          <w:color w:val="auto"/>
        </w:rPr>
        <w:t>III</w:t>
      </w:r>
      <w:r w:rsidRPr="00020024">
        <w:rPr>
          <w:rFonts w:cs="Calibri"/>
          <w:color w:val="auto"/>
        </w:rPr>
        <w:t xml:space="preserve"> diseñado para evaluar si la reducción de Lp(a) con pelacarsen (80 mg </w:t>
      </w:r>
      <w:r w:rsidR="00034696">
        <w:rPr>
          <w:rFonts w:cs="Calibri"/>
          <w:color w:val="auto"/>
        </w:rPr>
        <w:t>en administración subcutánea</w:t>
      </w:r>
      <w:r w:rsidR="00034696" w:rsidRPr="00020024">
        <w:rPr>
          <w:rFonts w:cs="Calibri"/>
          <w:color w:val="auto"/>
        </w:rPr>
        <w:t xml:space="preserve"> </w:t>
      </w:r>
      <w:r w:rsidRPr="00020024">
        <w:rPr>
          <w:rFonts w:cs="Calibri"/>
          <w:color w:val="auto"/>
        </w:rPr>
        <w:t xml:space="preserve">mensual) disminuye </w:t>
      </w:r>
      <w:r w:rsidR="00034696">
        <w:rPr>
          <w:rFonts w:cs="Calibri"/>
          <w:color w:val="auto"/>
        </w:rPr>
        <w:t xml:space="preserve">los </w:t>
      </w:r>
      <w:r w:rsidRPr="00020024">
        <w:rPr>
          <w:rFonts w:cs="Calibri"/>
          <w:color w:val="auto"/>
        </w:rPr>
        <w:t xml:space="preserve">eventos </w:t>
      </w:r>
      <w:r w:rsidR="00034696">
        <w:rPr>
          <w:rFonts w:cs="Calibri"/>
          <w:color w:val="auto"/>
        </w:rPr>
        <w:t xml:space="preserve">cardiovasculares </w:t>
      </w:r>
      <w:r w:rsidRPr="00020024">
        <w:rPr>
          <w:rFonts w:cs="Calibri"/>
          <w:color w:val="auto"/>
        </w:rPr>
        <w:t>en 8323</w:t>
      </w:r>
      <w:r w:rsidR="00EA7B6D" w:rsidRPr="00020024">
        <w:rPr>
          <w:rFonts w:cs="Calibri"/>
          <w:color w:val="auto"/>
        </w:rPr>
        <w:t xml:space="preserve"> pacientes con ECV establecida y</w:t>
      </w:r>
      <w:r w:rsidRPr="00020024">
        <w:rPr>
          <w:rFonts w:cs="Calibri"/>
          <w:color w:val="auto"/>
        </w:rPr>
        <w:t xml:space="preserve"> Lp(a) ≥70</w:t>
      </w:r>
      <w:r w:rsidR="00034696">
        <w:rPr>
          <w:rFonts w:cs="Calibri"/>
          <w:color w:val="auto"/>
        </w:rPr>
        <w:t> </w:t>
      </w:r>
      <w:r w:rsidRPr="00020024">
        <w:rPr>
          <w:rFonts w:cs="Calibri"/>
          <w:color w:val="auto"/>
        </w:rPr>
        <w:t>mg/dL</w:t>
      </w:r>
      <w:r w:rsidR="00C23986" w:rsidRPr="00020024">
        <w:rPr>
          <w:rFonts w:cs="Calibri"/>
          <w:color w:val="auto"/>
          <w:vertAlign w:val="superscript"/>
        </w:rPr>
        <w:t>7,14</w:t>
      </w:r>
      <w:r w:rsidRPr="00020024">
        <w:rPr>
          <w:rFonts w:cs="Calibri"/>
          <w:color w:val="auto"/>
        </w:rPr>
        <w:t>.</w:t>
      </w:r>
    </w:p>
    <w:p w14:paraId="252EF1C0" w14:textId="58E6CD22" w:rsidR="00A456F2" w:rsidRPr="00020024" w:rsidRDefault="004A2A2F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 xml:space="preserve">5. </w:t>
      </w:r>
      <w:r w:rsidR="00034696">
        <w:rPr>
          <w:rFonts w:cs="Calibri"/>
          <w:color w:val="auto"/>
        </w:rPr>
        <w:t>En l</w:t>
      </w:r>
      <w:r w:rsidR="000512A6" w:rsidRPr="00020024">
        <w:rPr>
          <w:rFonts w:cs="Calibri"/>
          <w:color w:val="auto"/>
        </w:rPr>
        <w:t>os pacientes con ictus isquémico</w:t>
      </w:r>
      <w:r w:rsidR="00034696">
        <w:rPr>
          <w:rFonts w:cs="Calibri"/>
          <w:color w:val="auto"/>
        </w:rPr>
        <w:t>,</w:t>
      </w:r>
      <w:r w:rsidR="000512A6" w:rsidRPr="00020024">
        <w:rPr>
          <w:rFonts w:cs="Calibri"/>
          <w:color w:val="auto"/>
        </w:rPr>
        <w:t xml:space="preserve"> Lp(a) elevada y buen control de cLDL</w:t>
      </w:r>
      <w:r w:rsidR="00C07CE2">
        <w:rPr>
          <w:rFonts w:cs="Calibri"/>
          <w:color w:val="auto"/>
        </w:rPr>
        <w:t>,</w:t>
      </w:r>
      <w:r w:rsidR="000512A6" w:rsidRPr="00020024">
        <w:rPr>
          <w:rFonts w:cs="Calibri"/>
          <w:color w:val="auto"/>
        </w:rPr>
        <w:t xml:space="preserve"> deben </w:t>
      </w:r>
      <w:r w:rsidR="00034696">
        <w:rPr>
          <w:rFonts w:cs="Calibri"/>
          <w:color w:val="auto"/>
        </w:rPr>
        <w:t>considerarse el</w:t>
      </w:r>
      <w:r w:rsidR="000512A6" w:rsidRPr="00020024">
        <w:rPr>
          <w:rFonts w:cs="Calibri"/>
          <w:color w:val="auto"/>
        </w:rPr>
        <w:t xml:space="preserve"> acceso precoz a</w:t>
      </w:r>
      <w:r w:rsidR="00C07CE2">
        <w:rPr>
          <w:rFonts w:cs="Calibri"/>
          <w:color w:val="auto"/>
        </w:rPr>
        <w:t>l</w:t>
      </w:r>
      <w:r w:rsidR="000512A6" w:rsidRPr="00020024">
        <w:rPr>
          <w:rFonts w:cs="Calibri"/>
          <w:color w:val="auto"/>
        </w:rPr>
        <w:t xml:space="preserve"> tratamiento o </w:t>
      </w:r>
      <w:r w:rsidR="00034696">
        <w:rPr>
          <w:rFonts w:cs="Calibri"/>
          <w:color w:val="auto"/>
        </w:rPr>
        <w:t xml:space="preserve">su </w:t>
      </w:r>
      <w:r w:rsidR="000512A6" w:rsidRPr="00020024">
        <w:rPr>
          <w:rFonts w:cs="Calibri"/>
          <w:color w:val="auto"/>
        </w:rPr>
        <w:t xml:space="preserve">inclusión en ensayos clínicos </w:t>
      </w:r>
      <w:r w:rsidR="00B96FED" w:rsidRPr="00020024">
        <w:rPr>
          <w:rFonts w:cs="Calibri"/>
          <w:color w:val="auto"/>
        </w:rPr>
        <w:t xml:space="preserve">en </w:t>
      </w:r>
      <w:r w:rsidR="000512A6" w:rsidRPr="00020024">
        <w:rPr>
          <w:rFonts w:cs="Calibri"/>
          <w:color w:val="auto"/>
        </w:rPr>
        <w:t xml:space="preserve">fase </w:t>
      </w:r>
      <w:r w:rsidR="00B96FED" w:rsidRPr="00020024">
        <w:rPr>
          <w:rFonts w:cs="Calibri"/>
          <w:color w:val="auto"/>
        </w:rPr>
        <w:t>III</w:t>
      </w:r>
      <w:r w:rsidR="00C23986" w:rsidRPr="00020024">
        <w:rPr>
          <w:rFonts w:cs="Calibri"/>
          <w:color w:val="auto"/>
          <w:vertAlign w:val="superscript"/>
        </w:rPr>
        <w:t>1,7</w:t>
      </w:r>
      <w:r w:rsidR="000512A6" w:rsidRPr="00020024">
        <w:rPr>
          <w:rFonts w:cs="Calibri"/>
          <w:color w:val="auto"/>
        </w:rPr>
        <w:t>.</w:t>
      </w:r>
    </w:p>
    <w:p w14:paraId="14FD0E19" w14:textId="442B5966" w:rsidR="00A456F2" w:rsidRPr="00020024" w:rsidRDefault="00EA7B6D" w:rsidP="004A2A2F">
      <w:pPr>
        <w:spacing w:after="120"/>
        <w:ind w:left="360"/>
        <w:rPr>
          <w:color w:val="auto"/>
        </w:rPr>
      </w:pPr>
      <w:r w:rsidRPr="00020024">
        <w:rPr>
          <w:rFonts w:cs="Calibri"/>
          <w:color w:val="auto"/>
        </w:rPr>
        <w:t xml:space="preserve">6. </w:t>
      </w:r>
      <w:r w:rsidR="00034696">
        <w:rPr>
          <w:rFonts w:cs="Calibri"/>
          <w:color w:val="auto"/>
        </w:rPr>
        <w:t>Adicionalmente</w:t>
      </w:r>
      <w:r w:rsidR="004A2A2F" w:rsidRPr="00020024">
        <w:rPr>
          <w:rFonts w:cs="Calibri"/>
          <w:color w:val="auto"/>
        </w:rPr>
        <w:t xml:space="preserve">, la estrategia debe centrarse en la reducción máxima de todos los factores de riesgo modificables y en el </w:t>
      </w:r>
      <w:r w:rsidR="00034696">
        <w:rPr>
          <w:rFonts w:cs="Calibri"/>
          <w:color w:val="auto"/>
        </w:rPr>
        <w:t>cribado</w:t>
      </w:r>
      <w:r w:rsidR="00034696" w:rsidRPr="00020024">
        <w:rPr>
          <w:rFonts w:cs="Calibri"/>
          <w:color w:val="auto"/>
        </w:rPr>
        <w:t xml:space="preserve"> </w:t>
      </w:r>
      <w:r w:rsidR="004A2A2F" w:rsidRPr="00020024">
        <w:rPr>
          <w:rFonts w:cs="Calibri"/>
          <w:color w:val="auto"/>
        </w:rPr>
        <w:t>familiar de Lp(a) en familiares de primer grado</w:t>
      </w:r>
      <w:r w:rsidR="00C23986" w:rsidRPr="00020024">
        <w:rPr>
          <w:rFonts w:cs="Calibri"/>
          <w:color w:val="auto"/>
          <w:vertAlign w:val="superscript"/>
        </w:rPr>
        <w:t>1-3</w:t>
      </w:r>
      <w:r w:rsidR="004A2A2F" w:rsidRPr="00020024">
        <w:rPr>
          <w:rFonts w:cs="Calibri"/>
          <w:color w:val="auto"/>
        </w:rPr>
        <w:t>.</w:t>
      </w:r>
    </w:p>
    <w:p w14:paraId="4B12832A" w14:textId="2363B9C6" w:rsidR="00A456F2" w:rsidRPr="007E61E2" w:rsidRDefault="007E61E2">
      <w:pPr>
        <w:pStyle w:val="Ttulo1"/>
        <w:rPr>
          <w:color w:val="auto"/>
        </w:rPr>
      </w:pPr>
      <w:r>
        <w:rPr>
          <w:rFonts w:cs="Calibri"/>
          <w:color w:val="auto"/>
        </w:rPr>
        <w:t xml:space="preserve">5. </w:t>
      </w:r>
      <w:r w:rsidRPr="007E61E2">
        <w:rPr>
          <w:rFonts w:cs="Calibri"/>
          <w:color w:val="auto"/>
        </w:rPr>
        <w:t>REFERENCIAS</w:t>
      </w:r>
    </w:p>
    <w:p w14:paraId="203EB0EF" w14:textId="6D8F9DE9" w:rsidR="00A456F2" w:rsidRDefault="00C76279">
      <w:pPr>
        <w:spacing w:after="120"/>
        <w:ind w:left="360" w:hanging="360"/>
      </w:pPr>
      <w:r w:rsidRPr="00DA2381">
        <w:rPr>
          <w:rFonts w:cs="Calibri"/>
          <w:color w:val="5D6D7E"/>
          <w:sz w:val="20"/>
        </w:rPr>
        <w:t>1.</w:t>
      </w:r>
      <w:r w:rsidR="00B96FED" w:rsidRPr="00DA2381">
        <w:rPr>
          <w:rFonts w:cs="Calibri"/>
          <w:color w:val="5D6D7E"/>
          <w:sz w:val="20"/>
        </w:rPr>
        <w:t xml:space="preserve"> </w:t>
      </w:r>
      <w:r w:rsidRPr="00DA2381">
        <w:rPr>
          <w:rFonts w:cs="Calibri"/>
          <w:sz w:val="20"/>
        </w:rPr>
        <w:t xml:space="preserve">Tsimikas S, Fazio S, Ferdinand KC, Ginsberg HN, Koschinsky ML, Marcovina SM, et al. </w:t>
      </w:r>
      <w:r>
        <w:rPr>
          <w:rFonts w:cs="Calibri"/>
          <w:sz w:val="20"/>
        </w:rPr>
        <w:t xml:space="preserve">NHLBI Working Group recommendations to reduce lipoprotein(a)-mediated risk of cardiovascular disease and aortic stenosis. </w:t>
      </w:r>
      <w:r w:rsidRPr="00BC4DAE">
        <w:rPr>
          <w:rFonts w:cs="Calibri"/>
          <w:i/>
          <w:iCs/>
          <w:sz w:val="20"/>
        </w:rPr>
        <w:t>J Am Coll Cardiol</w:t>
      </w:r>
      <w:r>
        <w:rPr>
          <w:rFonts w:cs="Calibri"/>
          <w:sz w:val="20"/>
        </w:rPr>
        <w:t>. 2018;71(2):177-192. doi: 10.1016/j.jacc.2017.11.014.</w:t>
      </w:r>
    </w:p>
    <w:p w14:paraId="20169007" w14:textId="39A9F798" w:rsidR="00A456F2" w:rsidRPr="00020024" w:rsidRDefault="00C76279">
      <w:pPr>
        <w:spacing w:after="120"/>
        <w:ind w:left="360" w:hanging="360"/>
        <w:rPr>
          <w:color w:val="auto"/>
        </w:rPr>
      </w:pPr>
      <w:r>
        <w:rPr>
          <w:rFonts w:cs="Calibri"/>
          <w:color w:val="5D6D7E"/>
          <w:sz w:val="20"/>
        </w:rPr>
        <w:t>2.</w:t>
      </w:r>
      <w:r w:rsidR="00B96FED">
        <w:rPr>
          <w:rFonts w:cs="Calibri"/>
          <w:color w:val="5D6D7E"/>
          <w:sz w:val="20"/>
        </w:rPr>
        <w:t xml:space="preserve"> </w:t>
      </w:r>
      <w:r>
        <w:rPr>
          <w:rFonts w:cs="Calibri"/>
          <w:sz w:val="20"/>
        </w:rPr>
        <w:t xml:space="preserve">Reyes-Soffer G, Ginsberg HN, Berglund L, Duell PB, Heffron SP, Kamstrup PR, et al. Lipoprotein(a): A Genetically Determined, Causal, and Prevalent Risk Factor for Atherosclerotic Cardiovascular Disease: A Scientific Statement From the American Heart Association. </w:t>
      </w:r>
      <w:r w:rsidRPr="00BC4DAE">
        <w:rPr>
          <w:rFonts w:cs="Calibri"/>
          <w:i/>
          <w:iCs/>
          <w:sz w:val="20"/>
        </w:rPr>
        <w:t>Arterioscler Thromb Vasc Biol</w:t>
      </w:r>
      <w:r>
        <w:rPr>
          <w:rFonts w:cs="Calibri"/>
          <w:sz w:val="20"/>
        </w:rPr>
        <w:t>. 2022;42(1</w:t>
      </w:r>
      <w:proofErr w:type="gramStart"/>
      <w:r>
        <w:rPr>
          <w:rFonts w:cs="Calibri"/>
          <w:sz w:val="20"/>
        </w:rPr>
        <w:t>):e</w:t>
      </w:r>
      <w:proofErr w:type="gramEnd"/>
      <w:r>
        <w:rPr>
          <w:rFonts w:cs="Calibri"/>
          <w:sz w:val="20"/>
        </w:rPr>
        <w:t>48-</w:t>
      </w:r>
      <w:r w:rsidRPr="00020024">
        <w:rPr>
          <w:rFonts w:cs="Calibri"/>
          <w:color w:val="auto"/>
          <w:sz w:val="20"/>
        </w:rPr>
        <w:t>e60. doi: 10.1161/ATV.0000000000000147.</w:t>
      </w:r>
    </w:p>
    <w:p w14:paraId="1CA00FCC" w14:textId="488C571D" w:rsidR="00A456F2" w:rsidRPr="00020024" w:rsidRDefault="00C76279">
      <w:pPr>
        <w:spacing w:after="120"/>
        <w:ind w:left="360" w:hanging="360"/>
        <w:rPr>
          <w:rFonts w:cs="Calibri"/>
          <w:color w:val="auto"/>
          <w:sz w:val="20"/>
        </w:rPr>
      </w:pPr>
      <w:r w:rsidRPr="00020024">
        <w:rPr>
          <w:rFonts w:cs="Calibri"/>
          <w:color w:val="auto"/>
          <w:sz w:val="20"/>
        </w:rPr>
        <w:t>3.</w:t>
      </w:r>
      <w:r w:rsidR="00B96FED" w:rsidRPr="00020024">
        <w:rPr>
          <w:rFonts w:cs="Calibri"/>
          <w:color w:val="auto"/>
          <w:sz w:val="20"/>
        </w:rPr>
        <w:t xml:space="preserve"> </w:t>
      </w:r>
      <w:r w:rsidRPr="00020024">
        <w:rPr>
          <w:rFonts w:cs="Calibri"/>
          <w:color w:val="auto"/>
          <w:sz w:val="20"/>
        </w:rPr>
        <w:t xml:space="preserve">Kronenberg F, Mora S, Stroes ESG, Ference BA, Arsenault BJ, Berglund L, et al. Lipoprotein(a) in atherosclerotic cardiovascular disease and aortic stenosis: a European Atherosclerosis Society consensus statement. </w:t>
      </w:r>
      <w:r w:rsidRPr="00BC4DAE">
        <w:rPr>
          <w:rFonts w:cs="Calibri"/>
          <w:i/>
          <w:iCs/>
          <w:color w:val="auto"/>
          <w:sz w:val="20"/>
        </w:rPr>
        <w:t>Eur Heart J</w:t>
      </w:r>
      <w:r w:rsidRPr="00020024">
        <w:rPr>
          <w:rFonts w:cs="Calibri"/>
          <w:color w:val="auto"/>
          <w:sz w:val="20"/>
        </w:rPr>
        <w:t>. 2022;43(39):3925-3946. doi: 10.1093/eurheartj/ehac361.</w:t>
      </w:r>
    </w:p>
    <w:p w14:paraId="28CE3327" w14:textId="77777777" w:rsidR="00C23986" w:rsidRPr="00020024" w:rsidRDefault="00C23986" w:rsidP="00C23986">
      <w:pPr>
        <w:spacing w:after="120"/>
        <w:ind w:left="360" w:hanging="360"/>
        <w:rPr>
          <w:color w:val="auto"/>
        </w:rPr>
      </w:pPr>
      <w:r w:rsidRPr="00020024">
        <w:rPr>
          <w:rFonts w:cs="Calibri"/>
          <w:color w:val="auto"/>
          <w:sz w:val="20"/>
        </w:rPr>
        <w:t xml:space="preserve">4. Kosmas CE, Bousvarou MD, Papakonstantinou EJ, Zoumi EA, Rallidis LS. Lipoprotein (a) and cerebrovascular disease. </w:t>
      </w:r>
      <w:r w:rsidRPr="00BC4DAE">
        <w:rPr>
          <w:rFonts w:cs="Calibri"/>
          <w:i/>
          <w:iCs/>
          <w:color w:val="auto"/>
          <w:sz w:val="20"/>
        </w:rPr>
        <w:t>J Int Med Res</w:t>
      </w:r>
      <w:r w:rsidRPr="00020024">
        <w:rPr>
          <w:rFonts w:cs="Calibri"/>
          <w:color w:val="auto"/>
          <w:sz w:val="20"/>
        </w:rPr>
        <w:t>. 2024;52(7):3000605241264182. doi: 10.1177/03000605241264182.</w:t>
      </w:r>
    </w:p>
    <w:p w14:paraId="098D2B26" w14:textId="77777777" w:rsidR="00C23986" w:rsidRPr="00020024" w:rsidRDefault="00C23986" w:rsidP="00C23986">
      <w:pPr>
        <w:spacing w:after="120"/>
        <w:ind w:left="360" w:hanging="360"/>
        <w:rPr>
          <w:color w:val="auto"/>
        </w:rPr>
      </w:pPr>
      <w:r w:rsidRPr="00020024">
        <w:rPr>
          <w:rFonts w:cs="Calibri"/>
          <w:color w:val="auto"/>
          <w:sz w:val="20"/>
        </w:rPr>
        <w:t xml:space="preserve">5. Chen R, Liu Y, Zhang L, et al. Lipoprotein(a) as a Risk Factor for Recurrent Ischemic Stroke in Type 2 Diabetes. </w:t>
      </w:r>
      <w:r w:rsidRPr="00BC4DAE">
        <w:rPr>
          <w:rFonts w:cs="Calibri"/>
          <w:i/>
          <w:iCs/>
          <w:color w:val="auto"/>
          <w:sz w:val="20"/>
        </w:rPr>
        <w:t>J Clin Med</w:t>
      </w:r>
      <w:r w:rsidRPr="00020024">
        <w:rPr>
          <w:rFonts w:cs="Calibri"/>
          <w:color w:val="auto"/>
          <w:sz w:val="20"/>
        </w:rPr>
        <w:t>. 2025;14(9):2990. doi: 10.3390/jcm14092990.</w:t>
      </w:r>
    </w:p>
    <w:p w14:paraId="07BD0B54" w14:textId="77777777" w:rsidR="00C23986" w:rsidRPr="00020024" w:rsidRDefault="00C23986" w:rsidP="00C23986">
      <w:pPr>
        <w:spacing w:after="120"/>
        <w:ind w:left="360" w:hanging="360"/>
        <w:rPr>
          <w:color w:val="auto"/>
        </w:rPr>
      </w:pPr>
      <w:r w:rsidRPr="00020024">
        <w:rPr>
          <w:rFonts w:cs="Calibri"/>
          <w:color w:val="auto"/>
          <w:sz w:val="20"/>
        </w:rPr>
        <w:t xml:space="preserve">6. Lange KS, Nave AH, Liman TG, Grittner U, Endres M, Ebinger M. Lipoprotein (a) levels and recurrent vascular events after first ischemic stroke. </w:t>
      </w:r>
      <w:r w:rsidRPr="00BC4DAE">
        <w:rPr>
          <w:rFonts w:cs="Calibri"/>
          <w:i/>
          <w:iCs/>
          <w:color w:val="auto"/>
          <w:sz w:val="20"/>
        </w:rPr>
        <w:t>Stroke</w:t>
      </w:r>
      <w:r w:rsidRPr="00020024">
        <w:rPr>
          <w:rFonts w:cs="Calibri"/>
          <w:color w:val="auto"/>
          <w:sz w:val="20"/>
        </w:rPr>
        <w:t>. 2017;48(1):36-42. doi: 10.1161/STROKEAHA.116.014436.</w:t>
      </w:r>
    </w:p>
    <w:p w14:paraId="7A6843AB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  <w:lang w:val="it-IT"/>
        </w:rPr>
        <w:t xml:space="preserve">7. Cho L, Rocco M, Colquhoun D, et al. Design and Rationale of Lp(a)HORIZON Trial: Assessing the Effect of Lipoprotein(a) Lowering With Pelacarsen on Major Cardiovascular Events in Patients With CVD and Elevated Lp(a). </w:t>
      </w:r>
      <w:r w:rsidRPr="00BC4DAE">
        <w:rPr>
          <w:i/>
          <w:iCs/>
          <w:color w:val="auto"/>
          <w:sz w:val="20"/>
          <w:lang w:val="it-IT"/>
        </w:rPr>
        <w:t>Am Heart J</w:t>
      </w:r>
      <w:r w:rsidRPr="00020024">
        <w:rPr>
          <w:color w:val="auto"/>
          <w:sz w:val="20"/>
          <w:lang w:val="it-IT"/>
        </w:rPr>
        <w:t>. 2025. doi: 10.1016/j.ahj.2025.03.019.</w:t>
      </w:r>
    </w:p>
    <w:p w14:paraId="0CF8F322" w14:textId="77777777" w:rsidR="00C23986" w:rsidRPr="00020024" w:rsidRDefault="00C23986" w:rsidP="00C23986">
      <w:pPr>
        <w:spacing w:after="120"/>
        <w:ind w:left="360" w:hanging="360"/>
        <w:rPr>
          <w:color w:val="auto"/>
        </w:rPr>
      </w:pPr>
      <w:r w:rsidRPr="00020024">
        <w:rPr>
          <w:rFonts w:cs="Calibri"/>
          <w:color w:val="auto"/>
          <w:sz w:val="20"/>
        </w:rPr>
        <w:lastRenderedPageBreak/>
        <w:t xml:space="preserve">8. Tsimikas S, Karwatowska-Prokopczuk E, Gouni-Berthold I, Tardif JC, Baum SJ, Steinhagen-Thiessen E, et al. Lipoprotein(a) Reduction in Persons with Cardiovascular Disease. </w:t>
      </w:r>
      <w:r w:rsidRPr="00BC4DAE">
        <w:rPr>
          <w:rFonts w:cs="Calibri"/>
          <w:i/>
          <w:iCs/>
          <w:color w:val="auto"/>
          <w:sz w:val="20"/>
        </w:rPr>
        <w:t>N Engl J Med</w:t>
      </w:r>
      <w:r w:rsidRPr="00020024">
        <w:rPr>
          <w:rFonts w:cs="Calibri"/>
          <w:color w:val="auto"/>
          <w:sz w:val="20"/>
        </w:rPr>
        <w:t>. 2020;382(3):244-255. doi: 10.1056/NEJMoa1905239.</w:t>
      </w:r>
    </w:p>
    <w:p w14:paraId="45940424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rFonts w:cs="Calibri"/>
          <w:color w:val="auto"/>
          <w:sz w:val="20"/>
        </w:rPr>
        <w:t xml:space="preserve">9. O'Donoghue ML, Rosenson RS, Gencer B, López JAG, Lepor NE, Baum SJ, et al. </w:t>
      </w:r>
      <w:r w:rsidRPr="00020024">
        <w:rPr>
          <w:rFonts w:cs="Calibri"/>
          <w:color w:val="auto"/>
          <w:sz w:val="20"/>
          <w:lang w:val="it-IT"/>
        </w:rPr>
        <w:t xml:space="preserve">Small Interfering RNA to Reduce Lipoprotein(a) in Cardiovascular Disease. </w:t>
      </w:r>
      <w:r w:rsidRPr="00BC4DAE">
        <w:rPr>
          <w:rFonts w:cs="Calibri"/>
          <w:i/>
          <w:iCs/>
          <w:color w:val="auto"/>
          <w:sz w:val="20"/>
          <w:lang w:val="it-IT"/>
        </w:rPr>
        <w:t>N Engl J Med</w:t>
      </w:r>
      <w:r w:rsidRPr="00020024">
        <w:rPr>
          <w:rFonts w:cs="Calibri"/>
          <w:color w:val="auto"/>
          <w:sz w:val="20"/>
          <w:lang w:val="it-IT"/>
        </w:rPr>
        <w:t>. 2022;387(20):1855-1864. doi: 10.1056/NEJMoa2211023.</w:t>
      </w:r>
    </w:p>
    <w:p w14:paraId="5A6FBA09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rFonts w:cs="Calibri"/>
          <w:color w:val="auto"/>
          <w:sz w:val="20"/>
          <w:szCs w:val="20"/>
          <w:lang w:val="it-IT"/>
        </w:rPr>
        <w:t xml:space="preserve">10. O'Donoghue ML, Rosenson RS, López JAG, et al. </w:t>
      </w:r>
      <w:r w:rsidRPr="00020024">
        <w:rPr>
          <w:rFonts w:cs="Calibri"/>
          <w:color w:val="auto"/>
          <w:sz w:val="20"/>
          <w:szCs w:val="20"/>
        </w:rPr>
        <w:t xml:space="preserve">The Off-Treatment Effects of Olpasiran on Lipoprotein(a) Lowering: OCEAN(a)-DOSE Extension Period Results. </w:t>
      </w:r>
      <w:r w:rsidRPr="00BC4DAE">
        <w:rPr>
          <w:rFonts w:cs="Calibri"/>
          <w:i/>
          <w:iCs/>
          <w:color w:val="auto"/>
          <w:sz w:val="20"/>
          <w:szCs w:val="20"/>
          <w:lang w:val="it-IT"/>
        </w:rPr>
        <w:t>J Am Coll Cardiol</w:t>
      </w:r>
      <w:r w:rsidRPr="00020024">
        <w:rPr>
          <w:rFonts w:cs="Calibri"/>
          <w:color w:val="auto"/>
          <w:sz w:val="20"/>
          <w:szCs w:val="20"/>
          <w:lang w:val="it-IT"/>
        </w:rPr>
        <w:t>. 2024;84(9):790-797. doi: 10.1016/j.jacc.2024.05.058.</w:t>
      </w:r>
    </w:p>
    <w:p w14:paraId="0B40C6C3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  <w:lang w:val="it-IT"/>
        </w:rPr>
        <w:t xml:space="preserve">11. Nissen SE, Linnebjerg H, Shen X, Wolski K, Ma X, Ose L, et al. Lepodisiran, an Extended-Duration Small Interfering RNA Targeting Lipoprotein(a): A Randomized Clinical Trial. </w:t>
      </w:r>
      <w:r w:rsidRPr="00BC4DAE">
        <w:rPr>
          <w:i/>
          <w:iCs/>
          <w:color w:val="auto"/>
          <w:sz w:val="20"/>
          <w:lang w:val="it-IT"/>
        </w:rPr>
        <w:t>JAMA</w:t>
      </w:r>
      <w:r w:rsidRPr="00020024">
        <w:rPr>
          <w:color w:val="auto"/>
          <w:sz w:val="20"/>
          <w:lang w:val="it-IT"/>
        </w:rPr>
        <w:t>. 2023;330(21):2075-2083. doi: 10.1001/jama.2023.21835.</w:t>
      </w:r>
    </w:p>
    <w:p w14:paraId="4F15D1FF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  <w:lang w:val="it-IT"/>
        </w:rPr>
        <w:t xml:space="preserve">12. Nissen SE, Kahn P, Lincoff AM, et al. Lepodisiran — A Long-Duration Small Interfering RNA Targeting Lipoprotein(a). </w:t>
      </w:r>
      <w:r w:rsidRPr="00BC4DAE">
        <w:rPr>
          <w:i/>
          <w:iCs/>
          <w:color w:val="auto"/>
          <w:sz w:val="20"/>
          <w:lang w:val="it-IT"/>
        </w:rPr>
        <w:t>N Engl J Med</w:t>
      </w:r>
      <w:r w:rsidRPr="00020024">
        <w:rPr>
          <w:color w:val="auto"/>
          <w:sz w:val="20"/>
          <w:lang w:val="it-IT"/>
        </w:rPr>
        <w:t>. 2025. doi: 10.1056/NEJMoa2415818.</w:t>
      </w:r>
    </w:p>
    <w:p w14:paraId="13261575" w14:textId="77777777" w:rsidR="00C23986" w:rsidRPr="00020024" w:rsidRDefault="00C23986" w:rsidP="00C23986">
      <w:pPr>
        <w:spacing w:after="120"/>
        <w:ind w:left="360" w:hanging="360"/>
        <w:rPr>
          <w:color w:val="auto"/>
        </w:rPr>
      </w:pPr>
      <w:r w:rsidRPr="00020024">
        <w:rPr>
          <w:color w:val="auto"/>
          <w:sz w:val="20"/>
        </w:rPr>
        <w:t xml:space="preserve">13. Parhofer KG, Julius U, Herzog AL, et al. Pelacarsen and lipoprotein(a) apheresis in secondary prevention: the Lp(a)FRONTIERS APHERESIS trial. </w:t>
      </w:r>
      <w:r w:rsidRPr="00BC4DAE">
        <w:rPr>
          <w:i/>
          <w:iCs/>
          <w:color w:val="auto"/>
          <w:sz w:val="20"/>
        </w:rPr>
        <w:t>Eur Heart J</w:t>
      </w:r>
      <w:r w:rsidRPr="00020024">
        <w:rPr>
          <w:color w:val="auto"/>
          <w:sz w:val="20"/>
        </w:rPr>
        <w:t xml:space="preserve">. 2026 Feb </w:t>
      </w:r>
      <w:proofErr w:type="gramStart"/>
      <w:r w:rsidRPr="00020024">
        <w:rPr>
          <w:color w:val="auto"/>
          <w:sz w:val="20"/>
        </w:rPr>
        <w:t>21:ehag</w:t>
      </w:r>
      <w:proofErr w:type="gramEnd"/>
      <w:r w:rsidRPr="00020024">
        <w:rPr>
          <w:color w:val="auto"/>
          <w:sz w:val="20"/>
        </w:rPr>
        <w:t>073. doi: 10.1093/eurheartj/ehag073.</w:t>
      </w:r>
    </w:p>
    <w:p w14:paraId="3711D99C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  <w:lang w:val="it-IT"/>
        </w:rPr>
        <w:t xml:space="preserve">14. Yan JH, Baker BF, Hantash FM, et al. Pharmacokinetics and Safety of Pelacarsen, a GalNAc3-Conjugated Antisense Oligonucleotide, in Individuals With Mild Hepatic Impairment. </w:t>
      </w:r>
      <w:r w:rsidRPr="00BC4DAE">
        <w:rPr>
          <w:i/>
          <w:iCs/>
          <w:color w:val="auto"/>
          <w:sz w:val="20"/>
          <w:lang w:val="it-IT"/>
        </w:rPr>
        <w:t>Clin Pharmacol Ther.</w:t>
      </w:r>
      <w:r w:rsidRPr="00020024">
        <w:rPr>
          <w:color w:val="auto"/>
          <w:sz w:val="20"/>
          <w:lang w:val="it-IT"/>
        </w:rPr>
        <w:t xml:space="preserve"> 2025. doi: 10.1002/cpt.3566.</w:t>
      </w:r>
    </w:p>
    <w:p w14:paraId="42D600AD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</w:rPr>
        <w:t xml:space="preserve">15. Powers WJ, Rabinstein AA, Ackerson T, et al. Guidelines for the Early Management of Patients With Acute Ischemic Stroke: 2019 Update to the 2018 Guidelines for the Early Management of Acute Ischemic Stroke. </w:t>
      </w:r>
      <w:r w:rsidRPr="00BC4DAE">
        <w:rPr>
          <w:i/>
          <w:iCs/>
          <w:color w:val="auto"/>
          <w:sz w:val="20"/>
          <w:lang w:val="it-IT"/>
        </w:rPr>
        <w:t>Stroke</w:t>
      </w:r>
      <w:r w:rsidRPr="00020024">
        <w:rPr>
          <w:color w:val="auto"/>
          <w:sz w:val="20"/>
          <w:lang w:val="it-IT"/>
        </w:rPr>
        <w:t>. 2019;50(12</w:t>
      </w:r>
      <w:proofErr w:type="gramStart"/>
      <w:r w:rsidRPr="00020024">
        <w:rPr>
          <w:color w:val="auto"/>
          <w:sz w:val="20"/>
          <w:lang w:val="it-IT"/>
        </w:rPr>
        <w:t>):e</w:t>
      </w:r>
      <w:proofErr w:type="gramEnd"/>
      <w:r w:rsidRPr="00020024">
        <w:rPr>
          <w:color w:val="auto"/>
          <w:sz w:val="20"/>
          <w:lang w:val="it-IT"/>
        </w:rPr>
        <w:t>344-e418. doi: 10.1161/STR.0000000000000211.</w:t>
      </w:r>
    </w:p>
    <w:p w14:paraId="26E4BFDF" w14:textId="77777777" w:rsidR="00C23986" w:rsidRPr="00020024" w:rsidRDefault="00C23986" w:rsidP="00C23986">
      <w:pPr>
        <w:spacing w:after="120"/>
        <w:ind w:left="360" w:hanging="360"/>
        <w:rPr>
          <w:color w:val="auto"/>
          <w:lang w:val="it-IT"/>
        </w:rPr>
      </w:pPr>
      <w:r w:rsidRPr="00020024">
        <w:rPr>
          <w:color w:val="auto"/>
          <w:sz w:val="20"/>
          <w:lang w:val="it-IT"/>
        </w:rPr>
        <w:t xml:space="preserve">16. Berge E, Whiteley W, Audebert H, et al. European Stroke Organisation (ESO) guidelines on intravenous thrombolysis for acute ischaemic stroke. </w:t>
      </w:r>
      <w:r w:rsidRPr="00BC4DAE">
        <w:rPr>
          <w:i/>
          <w:iCs/>
          <w:color w:val="auto"/>
          <w:sz w:val="20"/>
          <w:lang w:val="it-IT"/>
        </w:rPr>
        <w:t>Eur Stroke J</w:t>
      </w:r>
      <w:r w:rsidRPr="00020024">
        <w:rPr>
          <w:color w:val="auto"/>
          <w:sz w:val="20"/>
          <w:lang w:val="it-IT"/>
        </w:rPr>
        <w:t>. 2021;6(1</w:t>
      </w:r>
      <w:proofErr w:type="gramStart"/>
      <w:r w:rsidRPr="00020024">
        <w:rPr>
          <w:color w:val="auto"/>
          <w:sz w:val="20"/>
          <w:lang w:val="it-IT"/>
        </w:rPr>
        <w:t>):I</w:t>
      </w:r>
      <w:proofErr w:type="gramEnd"/>
      <w:r w:rsidRPr="00020024">
        <w:rPr>
          <w:color w:val="auto"/>
          <w:sz w:val="20"/>
          <w:lang w:val="it-IT"/>
        </w:rPr>
        <w:t>-LXII. doi: 10.1177/2396987321989865.</w:t>
      </w:r>
    </w:p>
    <w:p w14:paraId="7DDD5504" w14:textId="64E82658" w:rsidR="00A23396" w:rsidRPr="00020024" w:rsidRDefault="00C23986" w:rsidP="00EA7B6D">
      <w:pPr>
        <w:spacing w:after="120"/>
        <w:ind w:left="360" w:hanging="360"/>
        <w:rPr>
          <w:color w:val="auto"/>
        </w:rPr>
      </w:pPr>
      <w:r w:rsidRPr="00020024">
        <w:rPr>
          <w:rFonts w:cs="Calibri"/>
          <w:color w:val="auto"/>
          <w:sz w:val="20"/>
        </w:rPr>
        <w:t xml:space="preserve">17. Mach F, Koskinas KC, Roeters van Lennep JE, Tokgözoğlu L, Badimon L, Baigent C, et al. 2025 focused update of the 2019 ESC/EAS guidelines for the management of dyslipidaemias. </w:t>
      </w:r>
      <w:r w:rsidRPr="00BC4DAE">
        <w:rPr>
          <w:rFonts w:cs="Calibri"/>
          <w:i/>
          <w:iCs/>
          <w:color w:val="auto"/>
          <w:sz w:val="20"/>
        </w:rPr>
        <w:t>Eur Heart J</w:t>
      </w:r>
      <w:r w:rsidRPr="00020024">
        <w:rPr>
          <w:rFonts w:cs="Calibri"/>
          <w:color w:val="auto"/>
          <w:sz w:val="20"/>
        </w:rPr>
        <w:t>. 2025;46(42):4359-4378. doi: 10.1093/eurheartj/ehaf190.</w:t>
      </w:r>
    </w:p>
    <w:sectPr w:rsidR="00A23396" w:rsidRPr="00020024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6E935A" w14:textId="77777777" w:rsidR="00BE315D" w:rsidRDefault="00BE315D">
      <w:pPr>
        <w:spacing w:after="0" w:line="240" w:lineRule="auto"/>
      </w:pPr>
      <w:r>
        <w:separator/>
      </w:r>
    </w:p>
  </w:endnote>
  <w:endnote w:type="continuationSeparator" w:id="0">
    <w:p w14:paraId="6952E578" w14:textId="77777777" w:rsidR="00BE315D" w:rsidRDefault="00BE3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253E7" w14:textId="77777777" w:rsidR="00A23396" w:rsidRDefault="00C76279">
    <w:pPr>
      <w:jc w:val="center"/>
    </w:pPr>
    <w:r>
      <w:rPr>
        <w:color w:val="85929E"/>
        <w:sz w:val="18"/>
      </w:rPr>
      <w:fldChar w:fldCharType="begin"/>
    </w:r>
    <w:r>
      <w:rPr>
        <w:color w:val="85929E"/>
        <w:sz w:val="18"/>
      </w:rPr>
      <w:instrText xml:space="preserve"> PAGE </w:instrText>
    </w:r>
    <w:r>
      <w:rPr>
        <w:color w:val="85929E"/>
        <w:sz w:val="18"/>
      </w:rPr>
      <w:fldChar w:fldCharType="separate"/>
    </w:r>
    <w:r w:rsidR="00020024">
      <w:rPr>
        <w:noProof/>
        <w:color w:val="85929E"/>
        <w:sz w:val="18"/>
      </w:rPr>
      <w:t>1</w:t>
    </w:r>
    <w:r>
      <w:rPr>
        <w:color w:val="8592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042153" w14:textId="77777777" w:rsidR="00BE315D" w:rsidRDefault="00BE315D">
      <w:pPr>
        <w:spacing w:after="0" w:line="240" w:lineRule="auto"/>
      </w:pPr>
      <w:r>
        <w:separator/>
      </w:r>
    </w:p>
  </w:footnote>
  <w:footnote w:type="continuationSeparator" w:id="0">
    <w:p w14:paraId="5E8BF5B5" w14:textId="77777777" w:rsidR="00BE315D" w:rsidRDefault="00BE3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3FCF71" w14:textId="77777777" w:rsidR="00A23396" w:rsidRDefault="00A2339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0E341C"/>
    <w:multiLevelType w:val="multilevel"/>
    <w:tmpl w:val="90AC802C"/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2E372E6"/>
    <w:multiLevelType w:val="multilevel"/>
    <w:tmpl w:val="AF747E60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6781931">
    <w:abstractNumId w:val="1"/>
  </w:num>
  <w:num w:numId="2" w16cid:durableId="2010251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3396"/>
    <w:rsid w:val="00020024"/>
    <w:rsid w:val="00034696"/>
    <w:rsid w:val="00036BA5"/>
    <w:rsid w:val="00040D88"/>
    <w:rsid w:val="000411A1"/>
    <w:rsid w:val="000512A6"/>
    <w:rsid w:val="00070D38"/>
    <w:rsid w:val="0007523F"/>
    <w:rsid w:val="0009465A"/>
    <w:rsid w:val="0009515D"/>
    <w:rsid w:val="00095838"/>
    <w:rsid w:val="000B47D7"/>
    <w:rsid w:val="001038B2"/>
    <w:rsid w:val="00110008"/>
    <w:rsid w:val="001173EE"/>
    <w:rsid w:val="00147759"/>
    <w:rsid w:val="001546E0"/>
    <w:rsid w:val="001906DE"/>
    <w:rsid w:val="001940F5"/>
    <w:rsid w:val="001A27A4"/>
    <w:rsid w:val="001A6333"/>
    <w:rsid w:val="001D06C6"/>
    <w:rsid w:val="001D6223"/>
    <w:rsid w:val="001F3FF6"/>
    <w:rsid w:val="00267264"/>
    <w:rsid w:val="002734AA"/>
    <w:rsid w:val="002840E9"/>
    <w:rsid w:val="002B263A"/>
    <w:rsid w:val="002C0DEC"/>
    <w:rsid w:val="003040FA"/>
    <w:rsid w:val="00344A09"/>
    <w:rsid w:val="003811F1"/>
    <w:rsid w:val="003C7514"/>
    <w:rsid w:val="003E5449"/>
    <w:rsid w:val="004177DA"/>
    <w:rsid w:val="00424BC9"/>
    <w:rsid w:val="0043670F"/>
    <w:rsid w:val="00470377"/>
    <w:rsid w:val="00480211"/>
    <w:rsid w:val="004A2A2F"/>
    <w:rsid w:val="004C30F6"/>
    <w:rsid w:val="004C7002"/>
    <w:rsid w:val="004D0FF9"/>
    <w:rsid w:val="005357BA"/>
    <w:rsid w:val="00541CE9"/>
    <w:rsid w:val="00543E05"/>
    <w:rsid w:val="0055077A"/>
    <w:rsid w:val="005541B6"/>
    <w:rsid w:val="0064076A"/>
    <w:rsid w:val="00656AB1"/>
    <w:rsid w:val="006641EA"/>
    <w:rsid w:val="00673A07"/>
    <w:rsid w:val="006B33BD"/>
    <w:rsid w:val="006E006E"/>
    <w:rsid w:val="00701CDA"/>
    <w:rsid w:val="00703358"/>
    <w:rsid w:val="007045D4"/>
    <w:rsid w:val="00727C97"/>
    <w:rsid w:val="0074035B"/>
    <w:rsid w:val="007D6D46"/>
    <w:rsid w:val="007E4662"/>
    <w:rsid w:val="007E61E2"/>
    <w:rsid w:val="00857C17"/>
    <w:rsid w:val="00862E3C"/>
    <w:rsid w:val="00895144"/>
    <w:rsid w:val="008A01AD"/>
    <w:rsid w:val="008A73DA"/>
    <w:rsid w:val="008B5BBC"/>
    <w:rsid w:val="008E2D24"/>
    <w:rsid w:val="009006D8"/>
    <w:rsid w:val="00915388"/>
    <w:rsid w:val="0097124C"/>
    <w:rsid w:val="00993BB2"/>
    <w:rsid w:val="009947EC"/>
    <w:rsid w:val="009C4514"/>
    <w:rsid w:val="009D0AEC"/>
    <w:rsid w:val="009D720E"/>
    <w:rsid w:val="00A23396"/>
    <w:rsid w:val="00A444FB"/>
    <w:rsid w:val="00A456F2"/>
    <w:rsid w:val="00A462D0"/>
    <w:rsid w:val="00A464FE"/>
    <w:rsid w:val="00AC79D9"/>
    <w:rsid w:val="00AF5D9D"/>
    <w:rsid w:val="00AF6CE4"/>
    <w:rsid w:val="00B20127"/>
    <w:rsid w:val="00B45EFD"/>
    <w:rsid w:val="00B96FED"/>
    <w:rsid w:val="00BC3895"/>
    <w:rsid w:val="00BC4DAE"/>
    <w:rsid w:val="00BE15D3"/>
    <w:rsid w:val="00BE315D"/>
    <w:rsid w:val="00BE4FA1"/>
    <w:rsid w:val="00C031BF"/>
    <w:rsid w:val="00C07CE2"/>
    <w:rsid w:val="00C23986"/>
    <w:rsid w:val="00C320F5"/>
    <w:rsid w:val="00C4001A"/>
    <w:rsid w:val="00C52EB3"/>
    <w:rsid w:val="00C71A9F"/>
    <w:rsid w:val="00C76279"/>
    <w:rsid w:val="00D66663"/>
    <w:rsid w:val="00D82BD8"/>
    <w:rsid w:val="00DA2381"/>
    <w:rsid w:val="00DC11DA"/>
    <w:rsid w:val="00DD06D9"/>
    <w:rsid w:val="00DD43FD"/>
    <w:rsid w:val="00DE4EB7"/>
    <w:rsid w:val="00E043B1"/>
    <w:rsid w:val="00E05117"/>
    <w:rsid w:val="00E30FF1"/>
    <w:rsid w:val="00E32FF3"/>
    <w:rsid w:val="00EA7B6D"/>
    <w:rsid w:val="00EB1575"/>
    <w:rsid w:val="00EB79E2"/>
    <w:rsid w:val="00F40545"/>
    <w:rsid w:val="00F47967"/>
    <w:rsid w:val="00F50BFC"/>
    <w:rsid w:val="00F86145"/>
    <w:rsid w:val="00F9550E"/>
    <w:rsid w:val="00FE2A54"/>
    <w:rsid w:val="00FE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9A2A"/>
  <w15:docId w15:val="{D9982B0E-9683-4AAE-B7DE-8E015B35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300" w:lineRule="auto"/>
      <w:jc w:val="both"/>
    </w:pPr>
    <w:rPr>
      <w:rFonts w:ascii="Calibri" w:eastAsia="Calibri" w:hAnsi="Calibri"/>
      <w:color w:val="2C3E50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00" w:after="200"/>
      <w:outlineLvl w:val="0"/>
    </w:pPr>
    <w:rPr>
      <w:b/>
      <w:color w:val="1B4F72"/>
      <w:sz w:val="32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00" w:after="120"/>
      <w:outlineLvl w:val="1"/>
    </w:pPr>
    <w:rPr>
      <w:b/>
      <w:sz w:val="26"/>
    </w:rPr>
  </w:style>
  <w:style w:type="paragraph" w:styleId="Ttulo3">
    <w:name w:val="heading 3"/>
    <w:basedOn w:val="Normal"/>
    <w:uiPriority w:val="9"/>
    <w:semiHidden/>
    <w:unhideWhenUsed/>
    <w:qFormat/>
    <w:pPr>
      <w:keepNext/>
      <w:keepLines/>
      <w:spacing w:before="200" w:after="100"/>
      <w:outlineLvl w:val="2"/>
    </w:pPr>
    <w:rPr>
      <w:b/>
      <w:color w:val="5D6D7E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00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001A"/>
    <w:rPr>
      <w:rFonts w:ascii="Calibri" w:eastAsia="Calibri" w:hAnsi="Calibri"/>
      <w:color w:val="2C3E5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C400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01A"/>
    <w:rPr>
      <w:rFonts w:ascii="Calibri" w:eastAsia="Calibri" w:hAnsi="Calibri"/>
      <w:color w:val="2C3E50"/>
      <w:sz w:val="22"/>
    </w:rPr>
  </w:style>
  <w:style w:type="paragraph" w:styleId="Revisin">
    <w:name w:val="Revision"/>
    <w:hidden/>
    <w:uiPriority w:val="99"/>
    <w:semiHidden/>
    <w:rsid w:val="00915388"/>
    <w:pPr>
      <w:spacing w:after="0" w:line="240" w:lineRule="auto"/>
    </w:pPr>
    <w:rPr>
      <w:rFonts w:ascii="Calibri" w:eastAsia="Calibri" w:hAnsi="Calibri"/>
      <w:color w:val="2C3E50"/>
      <w:sz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FE36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36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36CB"/>
    <w:rPr>
      <w:rFonts w:ascii="Calibri" w:eastAsia="Calibri" w:hAnsi="Calibri"/>
      <w:color w:val="2C3E5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36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36CB"/>
    <w:rPr>
      <w:rFonts w:ascii="Calibri" w:eastAsia="Calibri" w:hAnsi="Calibri"/>
      <w:b/>
      <w:bCs/>
      <w:color w:val="2C3E5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6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6BA5"/>
    <w:rPr>
      <w:rFonts w:ascii="Tahoma" w:eastAsia="Calibri" w:hAnsi="Tahoma" w:cs="Tahoma"/>
      <w:color w:val="2C3E50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F40545"/>
    <w:rPr>
      <w:rFonts w:ascii="Calibri" w:eastAsia="Calibri" w:hAnsi="Calibri"/>
      <w:b/>
      <w:color w:val="2C3E5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B3E475B7ABB8449C0624A50978022E" ma:contentTypeVersion="24" ma:contentTypeDescription="Crear nuevo documento." ma:contentTypeScope="" ma:versionID="674f6a1ba5e3cae786b55e310f04a5ca">
  <xsd:schema xmlns:xsd="http://www.w3.org/2001/XMLSchema" xmlns:xs="http://www.w3.org/2001/XMLSchema" xmlns:p="http://schemas.microsoft.com/office/2006/metadata/properties" xmlns:ns2="182347e1-1564-4c93-8f76-89a7a60a269d" xmlns:ns3="0807b019-988f-4040-9212-f18aba60494e" xmlns:ns4="4dd5dfc2-7834-436a-b416-243ab7328398" targetNamespace="http://schemas.microsoft.com/office/2006/metadata/properties" ma:root="true" ma:fieldsID="65a2894598ce50a771d4a29d4cff42b5" ns2:_="" ns3:_="" ns4:_="">
    <xsd:import namespace="182347e1-1564-4c93-8f76-89a7a60a269d"/>
    <xsd:import namespace="0807b019-988f-4040-9212-f18aba60494e"/>
    <xsd:import namespace="4dd5dfc2-7834-436a-b416-243ab7328398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347e1-1564-4c93-8f76-89a7a60a269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Etiquetas de imagen" ma:readOnly="false" ma:fieldId="{5cf76f15-5ced-4ddc-b409-7134ff3c332f}" ma:taxonomyMulti="true" ma:sspId="2f10f69a-613f-43af-b325-0342f5f931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7b019-988f-4040-9212-f18aba60494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5dfc2-7834-436a-b416-243ab7328398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03a5468f-1b16-4efc-bb75-5d0fbf0a0416}" ma:internalName="TaxCatchAll" ma:showField="CatchAllData" ma:web="4dd5dfc2-7834-436a-b416-243ab7328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2347e1-1564-4c93-8f76-89a7a60a269d">
      <Terms xmlns="http://schemas.microsoft.com/office/infopath/2007/PartnerControls"/>
    </lcf76f155ced4ddcb4097134ff3c332f>
    <MigrationWizId xmlns="182347e1-1564-4c93-8f76-89a7a60a269d" xsi:nil="true"/>
    <MigrationWizIdDocumentLibraryPermissions xmlns="182347e1-1564-4c93-8f76-89a7a60a269d" xsi:nil="true"/>
    <MigrationWizIdSecurityGroups xmlns="182347e1-1564-4c93-8f76-89a7a60a269d" xsi:nil="true"/>
    <MigrationWizIdPermissions xmlns="182347e1-1564-4c93-8f76-89a7a60a269d" xsi:nil="true"/>
    <TaxCatchAll xmlns="4dd5dfc2-7834-436a-b416-243ab7328398" xsi:nil="true"/>
    <MigrationWizIdPermissionLevels xmlns="182347e1-1564-4c93-8f76-89a7a60a269d" xsi:nil="true"/>
  </documentManagement>
</p:properties>
</file>

<file path=customXml/itemProps1.xml><?xml version="1.0" encoding="utf-8"?>
<ds:datastoreItem xmlns:ds="http://schemas.openxmlformats.org/officeDocument/2006/customXml" ds:itemID="{919D4036-18B6-47B9-8777-10C0944D5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347e1-1564-4c93-8f76-89a7a60a269d"/>
    <ds:schemaRef ds:uri="0807b019-988f-4040-9212-f18aba60494e"/>
    <ds:schemaRef ds:uri="4dd5dfc2-7834-436a-b416-243ab732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26E65E-0EB2-41E9-9D0F-B0D6073B7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96F51E-0B35-4E7E-A863-0A9FA6BBCB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0694F2-3F23-4F35-BDC4-F6E097871F00}">
  <ds:schemaRefs>
    <ds:schemaRef ds:uri="http://schemas.microsoft.com/office/2006/metadata/properties"/>
    <ds:schemaRef ds:uri="http://schemas.microsoft.com/office/infopath/2007/PartnerControls"/>
    <ds:schemaRef ds:uri="182347e1-1564-4c93-8f76-89a7a60a269d"/>
    <ds:schemaRef ds:uri="4dd5dfc2-7834-436a-b416-243ab73283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4344</Words>
  <Characters>23898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SSIB - HUSLL</Company>
  <LinksUpToDate>false</LinksUpToDate>
  <CharactersWithSpaces>28186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Crémer</dc:creator>
  <cp:lastModifiedBy>aldo Marquez</cp:lastModifiedBy>
  <cp:revision>43</cp:revision>
  <dcterms:created xsi:type="dcterms:W3CDTF">2026-06-19T13:51:00Z</dcterms:created>
  <dcterms:modified xsi:type="dcterms:W3CDTF">2026-07-09T17:50:00Z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0x01010035B3E475B7ABB8449C0624A50978022E</vt:lpwstr>
  </property>
</Properties>
</file>