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after="360"/>
        <w:jc w:val="center"/>
      </w:pPr>
      <w:r>
        <w:rPr>
          <w:rFonts w:ascii="Calibri" w:hAnsi="Calibri"/>
          <w:b/>
          <w:i w:val="0"/>
          <w:color w:val="738125"/>
          <w:sz w:val="18"/>
        </w:rPr>
        <w:t>SPEAKER &amp; MEDIA KIT · 2026</w:t>
      </w:r>
    </w:p>
    <w:p>
      <w:pPr>
        <w:spacing w:after="240"/>
        <w:jc w:val="center"/>
      </w:pPr>
      <w:r>
        <w:rPr>
          <w:rFonts w:ascii="Georgia" w:hAnsi="Georgia"/>
          <w:b w:val="0"/>
          <w:i w:val="0"/>
          <w:color w:val="192720"/>
          <w:sz w:val="60"/>
        </w:rPr>
        <w:t>Micheal Sheehy</w:t>
      </w:r>
    </w:p>
    <w:p>
      <w:pPr>
        <w:spacing w:after="720"/>
        <w:jc w:val="center"/>
      </w:pPr>
      <w:r>
        <w:rPr>
          <w:rFonts w:ascii="Calibri" w:hAnsi="Calibri"/>
          <w:b w:val="0"/>
          <w:i w:val="0"/>
          <w:color w:val="66716B"/>
          <w:sz w:val="28"/>
        </w:rPr>
        <w:t>Global payments, financial crime, AI governance and inclusive leadership</w:t>
      </w:r>
    </w:p>
    <w:tbl>
      <w:tblPr>
        <w:tblW w:type="dxa" w:w="9360"/>
        <w:jc w:val="left"/>
        <w:tblLayout w:type="fixed"/>
        <w:tblLook w:firstColumn="1" w:firstRow="1" w:lastColumn="0" w:lastRow="0" w:noHBand="0" w:noVBand="1" w:val="04A0"/>
        <w:tblInd w:w="120" w:type="dxa"/>
      </w:tblPr>
      <w:tblGrid>
        <w:gridCol w:w="9360"/>
      </w:tblGrid>
      <w:tr>
        <w:tc>
          <w:tcPr>
            <w:tcW w:type="dxa" w:w="9360"/>
            <w:tcMar>
              <w:top w:w="240" w:type="dxa"/>
              <w:start w:w="260" w:type="dxa"/>
              <w:bottom w:w="240" w:type="dxa"/>
              <w:end w:w="260" w:type="dxa"/>
            </w:tcMar>
            <w:shd w:fill="192720"/>
            <w:vAlign w:val="center"/>
          </w:tcPr>
          <w:p>
            <w:pPr>
              <w:spacing w:after="0"/>
              <w:jc w:val="center"/>
            </w:pPr>
            <w:r>
              <w:rPr>
                <w:rFonts w:ascii="Georgia" w:hAnsi="Georgia"/>
                <w:b w:val="0"/>
                <w:i w:val="0"/>
                <w:color w:val="FFFFFF"/>
                <w:sz w:val="28"/>
              </w:rPr>
              <w:t>Compliance leader. Global operator. Original thinker.</w:t>
            </w:r>
          </w:p>
        </w:tc>
      </w:tr>
    </w:tbl>
    <w:p>
      <w:pPr>
        <w:spacing w:before="1680" w:after="0"/>
        <w:jc w:val="center"/>
      </w:pPr>
      <w:r>
        <w:rPr>
          <w:rFonts w:ascii="Calibri" w:hAnsi="Calibri"/>
          <w:b w:val="0"/>
          <w:i/>
          <w:color w:val="66716B"/>
          <w:sz w:val="20"/>
        </w:rPr>
        <w:t>Prepared for event organizers, journalists, podcast hosts and communications teams</w:t>
      </w:r>
    </w:p>
    <w:p>
      <w:r>
        <w:br w:type="page"/>
      </w:r>
    </w:p>
    <w:p>
      <w:pPr>
        <w:spacing w:before="0" w:after="100"/>
      </w:pPr>
      <w:r>
        <w:rPr>
          <w:rFonts w:ascii="Calibri" w:hAnsi="Calibri"/>
          <w:b/>
          <w:i w:val="0"/>
          <w:color w:val="738125"/>
          <w:sz w:val="17"/>
        </w:rPr>
        <w:t>AT A GLANCE</w:t>
      </w:r>
    </w:p>
    <w:p>
      <w:pPr>
        <w:pStyle w:val="Heading1"/>
      </w:pPr>
      <w:r>
        <w:t>A practical voice on complex risk</w:t>
      </w:r>
    </w:p>
    <w:p>
      <w:r>
        <w:t>Micheal Sheehy is a global payments and compliance executive with more than 20 years of experience building financial-crime, regulatory and operating capabilities across international markets. His work connects compliance, technology, customer experience and strategy with the human realities of leadership—especially where static governance is being overtaken by faster-moving risk.</w:t>
      </w:r>
    </w:p>
    <w:tbl>
      <w:tblPr>
        <w:tblW w:type="dxa" w:w="9360"/>
        <w:jc w:val="left"/>
        <w:tblLayout w:type="fixed"/>
        <w:tblLook w:firstColumn="1" w:firstRow="1" w:lastColumn="0" w:lastRow="0" w:noHBand="0" w:noVBand="1" w:val="04A0"/>
        <w:tblInd w:w="120" w:type="dxa"/>
      </w:tblPr>
      <w:tblGrid>
        <w:gridCol w:w="9360"/>
      </w:tblGrid>
      <w:tr>
        <w:tc>
          <w:tcPr>
            <w:tcW w:type="dxa" w:w="9360"/>
            <w:tcMar>
              <w:top w:w="180" w:type="dxa"/>
              <w:start w:w="220" w:type="dxa"/>
              <w:bottom w:w="180" w:type="dxa"/>
              <w:end w:w="220" w:type="dxa"/>
            </w:tcMar>
            <w:shd w:fill="F0F3DF"/>
          </w:tcPr>
          <w:p>
            <w:pPr>
              <w:spacing w:after="0"/>
            </w:pPr>
            <w:r>
              <w:rPr>
                <w:rFonts w:ascii="Georgia" w:hAnsi="Georgia"/>
                <w:b w:val="0"/>
                <w:i w:val="0"/>
                <w:color w:val="192720"/>
                <w:sz w:val="26"/>
              </w:rPr>
              <w:t>Compliance should move as fast as the risk it manages.</w:t>
            </w:r>
          </w:p>
        </w:tc>
      </w:tr>
    </w:tbl>
    <w:p>
      <w:pPr>
        <w:spacing w:after="0"/>
      </w:pPr>
    </w:p>
    <w:tbl>
      <w:tblPr>
        <w:tblStyle w:val="TableGrid"/>
        <w:tblW w:type="dxa" w:w="9360"/>
        <w:tblLayout w:type="fixed"/>
        <w:tblLook w:firstColumn="1" w:firstRow="1" w:lastColumn="0" w:lastRow="0" w:noHBand="0" w:noVBand="1" w:val="04A0"/>
        <w:jc w:val="left"/>
        <w:tblInd w:w="120" w:type="dxa"/>
      </w:tblPr>
      <w:tblGrid>
        <w:gridCol w:w="2700"/>
        <w:gridCol w:w="6660"/>
      </w:tblGrid>
      <w:tr>
        <w:tc>
          <w:tcPr>
            <w:tcW w:type="dxa" w:w="2700"/>
            <w:tcMar>
              <w:top w:w="80" w:type="dxa"/>
              <w:start w:w="120" w:type="dxa"/>
              <w:bottom w:w="80" w:type="dxa"/>
              <w:end w:w="120" w:type="dxa"/>
            </w:tcMar>
            <w:shd w:fill="E5EBE4"/>
          </w:tcPr>
          <w:p>
            <w:pPr>
              <w:spacing w:after="0"/>
            </w:pPr>
            <w:r>
              <w:rPr>
                <w:rFonts w:ascii="Calibri" w:hAnsi="Calibri"/>
                <w:b/>
                <w:i w:val="0"/>
                <w:color w:val="192720"/>
                <w:sz w:val="19"/>
              </w:rPr>
              <w:t>Prompt</w:t>
            </w:r>
          </w:p>
        </w:tc>
        <w:tc>
          <w:tcPr>
            <w:tcW w:type="dxa" w:w="6660"/>
            <w:tcMar>
              <w:top w:w="80" w:type="dxa"/>
              <w:start w:w="120" w:type="dxa"/>
              <w:bottom w:w="80" w:type="dxa"/>
              <w:end w:w="120" w:type="dxa"/>
            </w:tcMar>
            <w:shd w:fill="E5EBE4"/>
          </w:tcPr>
          <w:p>
            <w:pPr>
              <w:spacing w:after="0"/>
            </w:pPr>
            <w:r>
              <w:rPr>
                <w:rFonts w:ascii="Calibri" w:hAnsi="Calibri"/>
                <w:b/>
                <w:i w:val="0"/>
                <w:color w:val="192720"/>
                <w:sz w:val="19"/>
              </w:rPr>
              <w:t>Working response / evidence</w:t>
            </w:r>
          </w:p>
        </w:tc>
      </w:tr>
      <w:tr>
        <w:tc>
          <w:tcPr>
            <w:tcW w:type="dxa" w:w="2700"/>
            <w:tcMar>
              <w:top w:w="80" w:type="dxa"/>
              <w:start w:w="120" w:type="dxa"/>
              <w:bottom w:w="80" w:type="dxa"/>
              <w:end w:w="120" w:type="dxa"/>
            </w:tcMar>
          </w:tcPr>
          <w:p>
            <w:pPr>
              <w:spacing w:after="0"/>
            </w:pPr>
            <w:r>
              <w:rPr>
                <w:rFonts w:ascii="Calibri" w:hAnsi="Calibri"/>
                <w:b/>
                <w:i w:val="0"/>
                <w:color w:val="17211D"/>
                <w:sz w:val="19"/>
              </w:rPr>
              <w:t>Best for</w:t>
            </w:r>
          </w:p>
        </w:tc>
        <w:tc>
          <w:tcPr>
            <w:tcW w:type="dxa" w:w="6660"/>
            <w:tcMar>
              <w:top w:w="80" w:type="dxa"/>
              <w:start w:w="120" w:type="dxa"/>
              <w:bottom w:w="80" w:type="dxa"/>
              <w:end w:w="120" w:type="dxa"/>
            </w:tcMar>
          </w:tcPr>
          <w:p>
            <w:pPr>
              <w:spacing w:after="0"/>
            </w:pPr>
            <w:r>
              <w:rPr>
                <w:rFonts w:ascii="Calibri" w:hAnsi="Calibri"/>
                <w:b w:val="0"/>
                <w:i w:val="0"/>
                <w:color w:val="66716B"/>
                <w:sz w:val="19"/>
              </w:rPr>
              <w:t>Keynotes, fireside chats, panels, podcasts, board and executive sessions, media commentary.</w:t>
            </w:r>
          </w:p>
        </w:tc>
      </w:tr>
      <w:tr>
        <w:tc>
          <w:tcPr>
            <w:tcW w:type="dxa" w:w="2700"/>
            <w:tcMar>
              <w:top w:w="80" w:type="dxa"/>
              <w:start w:w="120" w:type="dxa"/>
              <w:bottom w:w="80" w:type="dxa"/>
              <w:end w:w="120" w:type="dxa"/>
            </w:tcMar>
          </w:tcPr>
          <w:p>
            <w:pPr>
              <w:spacing w:after="0"/>
            </w:pPr>
            <w:r>
              <w:rPr>
                <w:rFonts w:ascii="Calibri" w:hAnsi="Calibri"/>
                <w:b/>
                <w:i w:val="0"/>
                <w:color w:val="17211D"/>
                <w:sz w:val="19"/>
              </w:rPr>
              <w:t>Core themes</w:t>
            </w:r>
          </w:p>
        </w:tc>
        <w:tc>
          <w:tcPr>
            <w:tcW w:type="dxa" w:w="6660"/>
            <w:tcMar>
              <w:top w:w="80" w:type="dxa"/>
              <w:start w:w="120" w:type="dxa"/>
              <w:bottom w:w="80" w:type="dxa"/>
              <w:end w:w="120" w:type="dxa"/>
            </w:tcMar>
          </w:tcPr>
          <w:p>
            <w:pPr>
              <w:spacing w:after="0"/>
            </w:pPr>
            <w:r>
              <w:rPr>
                <w:rFonts w:ascii="Calibri" w:hAnsi="Calibri"/>
                <w:b w:val="0"/>
                <w:i w:val="0"/>
                <w:color w:val="66716B"/>
                <w:sz w:val="19"/>
              </w:rPr>
              <w:t>Adaptive compliance; global payments; AI and model governance; financial crime; inclusive leadership; LGBTQ+ visibility.</w:t>
            </w:r>
          </w:p>
        </w:tc>
      </w:tr>
      <w:tr>
        <w:tc>
          <w:tcPr>
            <w:tcW w:type="dxa" w:w="2700"/>
            <w:tcMar>
              <w:top w:w="80" w:type="dxa"/>
              <w:start w:w="120" w:type="dxa"/>
              <w:bottom w:w="80" w:type="dxa"/>
              <w:end w:w="120" w:type="dxa"/>
            </w:tcMar>
          </w:tcPr>
          <w:p>
            <w:pPr>
              <w:spacing w:after="0"/>
            </w:pPr>
            <w:r>
              <w:rPr>
                <w:rFonts w:ascii="Calibri" w:hAnsi="Calibri"/>
                <w:b/>
                <w:i w:val="0"/>
                <w:color w:val="17211D"/>
                <w:sz w:val="19"/>
              </w:rPr>
              <w:t>Style</w:t>
            </w:r>
          </w:p>
        </w:tc>
        <w:tc>
          <w:tcPr>
            <w:tcW w:type="dxa" w:w="6660"/>
            <w:tcMar>
              <w:top w:w="80" w:type="dxa"/>
              <w:start w:w="120" w:type="dxa"/>
              <w:bottom w:w="80" w:type="dxa"/>
              <w:end w:w="120" w:type="dxa"/>
            </w:tcMar>
          </w:tcPr>
          <w:p>
            <w:pPr>
              <w:spacing w:after="0"/>
            </w:pPr>
            <w:r>
              <w:rPr>
                <w:rFonts w:ascii="Calibri" w:hAnsi="Calibri"/>
                <w:b w:val="0"/>
                <w:i w:val="0"/>
                <w:color w:val="66716B"/>
                <w:sz w:val="19"/>
              </w:rPr>
              <w:t>Direct, evidence-led and practical—with enough humor to keep the governance slide from becoming a medical emergency.</w:t>
            </w:r>
          </w:p>
        </w:tc>
      </w:tr>
      <w:tr>
        <w:tc>
          <w:tcPr>
            <w:tcW w:type="dxa" w:w="2700"/>
            <w:tcMar>
              <w:top w:w="80" w:type="dxa"/>
              <w:start w:w="120" w:type="dxa"/>
              <w:bottom w:w="80" w:type="dxa"/>
              <w:end w:w="120" w:type="dxa"/>
            </w:tcMar>
          </w:tcPr>
          <w:p>
            <w:pPr>
              <w:spacing w:after="0"/>
            </w:pPr>
            <w:r>
              <w:rPr>
                <w:rFonts w:ascii="Calibri" w:hAnsi="Calibri"/>
                <w:b/>
                <w:i w:val="0"/>
                <w:color w:val="17211D"/>
                <w:sz w:val="19"/>
              </w:rPr>
              <w:t>Location</w:t>
            </w:r>
          </w:p>
        </w:tc>
        <w:tc>
          <w:tcPr>
            <w:tcW w:type="dxa" w:w="6660"/>
            <w:tcMar>
              <w:top w:w="80" w:type="dxa"/>
              <w:start w:w="120" w:type="dxa"/>
              <w:bottom w:w="80" w:type="dxa"/>
              <w:end w:w="120" w:type="dxa"/>
            </w:tcMar>
          </w:tcPr>
          <w:p>
            <w:pPr>
              <w:spacing w:after="0"/>
            </w:pPr>
            <w:r>
              <w:rPr>
                <w:rFonts w:ascii="Calibri" w:hAnsi="Calibri"/>
                <w:b w:val="0"/>
                <w:i w:val="0"/>
                <w:color w:val="66716B"/>
                <w:sz w:val="19"/>
              </w:rPr>
              <w:t>New York / global engagements.</w:t>
            </w:r>
          </w:p>
        </w:tc>
      </w:tr>
      <w:tr>
        <w:tc>
          <w:tcPr>
            <w:tcW w:type="dxa" w:w="2700"/>
            <w:tcMar>
              <w:top w:w="80" w:type="dxa"/>
              <w:start w:w="120" w:type="dxa"/>
              <w:bottom w:w="80" w:type="dxa"/>
              <w:end w:w="120" w:type="dxa"/>
            </w:tcMar>
          </w:tcPr>
          <w:p>
            <w:pPr>
              <w:spacing w:after="0"/>
            </w:pPr>
            <w:r>
              <w:rPr>
                <w:rFonts w:ascii="Calibri" w:hAnsi="Calibri"/>
                <w:b/>
                <w:i w:val="0"/>
                <w:color w:val="17211D"/>
                <w:sz w:val="19"/>
              </w:rPr>
              <w:t>Contact</w:t>
            </w:r>
          </w:p>
        </w:tc>
        <w:tc>
          <w:tcPr>
            <w:tcW w:type="dxa" w:w="6660"/>
            <w:tcMar>
              <w:top w:w="80" w:type="dxa"/>
              <w:start w:w="120" w:type="dxa"/>
              <w:bottom w:w="80" w:type="dxa"/>
              <w:end w:w="120" w:type="dxa"/>
            </w:tcMar>
          </w:tcPr>
          <w:p>
            <w:pPr>
              <w:spacing w:after="0"/>
            </w:pPr>
            <w:r>
              <w:rPr>
                <w:rFonts w:ascii="Calibri" w:hAnsi="Calibri"/>
                <w:b w:val="0"/>
                <w:i w:val="0"/>
                <w:color w:val="66716B"/>
                <w:sz w:val="19"/>
              </w:rPr>
              <w:t>micheal@michealsheehy.com  ·  +1 (818) 397-8890  ·  michealsheehy.com</w:t>
            </w:r>
          </w:p>
        </w:tc>
      </w:tr>
    </w:tbl>
    <w:p>
      <w:pPr>
        <w:spacing w:after="0"/>
      </w:pPr>
    </w:p>
    <w:p>
      <w:pPr>
        <w:pStyle w:val="Heading2"/>
      </w:pPr>
      <w:r>
        <w:t>Short bio</w:t>
      </w:r>
    </w:p>
    <w:p>
      <w:r>
        <w:t>Micheal Sheehy is a global payments and compliance executive with more than 20 years of experience building financial-crime, regulatory and operating capabilities across international markets. A Chief Compliance Officer and author of the Adaptive Compliance series, he writes and speaks about artificial intelligence, payments, model governance and the operating models required to scale safely. Micheal also draws on his experience as a gay executive to explore authenticity, psychological safety and why inclusive leadership improves challenge, escalation and decision-making.</w:t>
      </w:r>
    </w:p>
    <w:p>
      <w:pPr>
        <w:spacing w:before="0" w:after="100"/>
      </w:pPr>
      <w:r>
        <w:br w:type="page"/>
      </w:r>
      <w:r>
        <w:rPr>
          <w:rFonts w:ascii="Calibri" w:hAnsi="Calibri"/>
          <w:b/>
          <w:i w:val="0"/>
          <w:color w:val="738125"/>
          <w:sz w:val="17"/>
        </w:rPr>
        <w:t>LONG BIOGRAPHY</w:t>
      </w:r>
    </w:p>
    <w:p>
      <w:pPr>
        <w:pStyle w:val="Heading1"/>
      </w:pPr>
      <w:r>
        <w:t>A global operator—and a deeply human leader</w:t>
      </w:r>
    </w:p>
    <w:p>
      <w:r>
        <w:t>Micheal Sheehy is a global payments and compliance executive with more than 20 years of experience across financial services and cross-border payments. As a Chief Compliance Officer, he has built and led large, distributed teams and major transformation programs spanning financial crime, sanctions, customer lifecycle management, transaction monitoring, fraud, artificial intelligence and model governance.</w:t>
      </w:r>
    </w:p>
    <w:p>
      <w:r>
        <w:t>His work sits where regulation, technology, customer experience and operating strategy meet. He is particularly interested in the gap between a control that looks impressive in a presentation and one that continues to work when the data is incomplete, the threat changes and the business is moving. His talks turn that tension into practical questions for boards, executives and operators: who owns the decision, what evidence travels with it, what should remain human and how quickly can the system learn?</w:t>
      </w:r>
    </w:p>
    <w:p>
      <w:r>
        <w:t>Born in the United Kingdom, raised in Ireland and now based in New York, Micheal brings a genuinely global perspective to leadership. Growing up gay in Ireland when homosexuality was still criminalized taught him early how to read a room, how much energy people spend editing themselves and how humor can open a door that hierarchy keeps closed. Those experiences now shape his view that inclusion is not a side program. It is part of how organizations hear bad news early, make dissent safe and improve the quality of judgment.</w:t>
      </w:r>
    </w:p>
    <w:p>
      <w:r>
        <w:t>Micheal is the author of the eight-volume Adaptive Compliance series, which argues that compliance should operate as an adaptive system rather than a collection of periodic controls. He writes and speaks on AI-enabled financial crime, payment transparency, stablecoins, global compliance operating models, transformation and the personal realities of senior accountability. His style is direct, evidence-led and practical, with enough wit to remind an audience that governance is a serious subject—not a punishment.</w:t>
      </w:r>
    </w:p>
    <w:tbl>
      <w:tblPr>
        <w:tblW w:type="dxa" w:w="9360"/>
        <w:jc w:val="left"/>
        <w:tblLayout w:type="fixed"/>
        <w:tblLook w:firstColumn="1" w:firstRow="1" w:lastColumn="0" w:lastRow="0" w:noHBand="0" w:noVBand="1" w:val="04A0"/>
        <w:tblInd w:w="120" w:type="dxa"/>
      </w:tblPr>
      <w:tblGrid>
        <w:gridCol w:w="9360"/>
      </w:tblGrid>
      <w:tr>
        <w:tc>
          <w:tcPr>
            <w:tcW w:type="dxa" w:w="9360"/>
            <w:tcMar>
              <w:top w:w="180" w:type="dxa"/>
              <w:start w:w="220" w:type="dxa"/>
              <w:bottom w:w="180" w:type="dxa"/>
              <w:end w:w="220" w:type="dxa"/>
            </w:tcMar>
            <w:shd w:fill="F0F3DF"/>
          </w:tcPr>
          <w:p>
            <w:pPr>
              <w:spacing w:after="0"/>
            </w:pPr>
            <w:r>
              <w:rPr>
                <w:rFonts w:ascii="Georgia" w:hAnsi="Georgia"/>
                <w:b w:val="0"/>
                <w:i w:val="0"/>
                <w:color w:val="192720"/>
                <w:sz w:val="26"/>
              </w:rPr>
              <w:t>The strongest cultures make it safe to speak before certainty—and impossible to hide behind silence.</w:t>
            </w:r>
          </w:p>
        </w:tc>
      </w:tr>
    </w:tbl>
    <w:p>
      <w:pPr>
        <w:spacing w:after="0"/>
      </w:pPr>
    </w:p>
    <w:p>
      <w:pPr>
        <w:spacing w:before="0" w:after="100"/>
      </w:pPr>
      <w:r>
        <w:br w:type="page"/>
      </w:r>
      <w:r>
        <w:rPr>
          <w:rFonts w:ascii="Calibri" w:hAnsi="Calibri"/>
          <w:b/>
          <w:i w:val="0"/>
          <w:color w:val="738125"/>
          <w:sz w:val="17"/>
        </w:rPr>
        <w:t>KEYNOTE TOPICS</w:t>
      </w:r>
    </w:p>
    <w:p>
      <w:pPr>
        <w:pStyle w:val="Heading1"/>
      </w:pPr>
      <w:r>
        <w:t>Signature sessions</w:t>
      </w:r>
    </w:p>
    <w:p>
      <w:pPr>
        <w:pStyle w:val="Heading2"/>
      </w:pPr>
      <w:r>
        <w:t>Compliance Should Move as Fast as the Risk It Manages</w:t>
      </w:r>
    </w:p>
    <w:p>
      <w:r>
        <w:t>Why periodic review and static governance are failing—and how continuous evidence, model oversight and human accountability create an adaptive system.</w:t>
      </w:r>
    </w:p>
    <w:p>
      <w:r>
        <w:rPr>
          <w:rFonts w:ascii="Calibri" w:hAnsi="Calibri"/>
          <w:b/>
          <w:i w:val="0"/>
          <w:color w:val="738125"/>
          <w:sz w:val="20"/>
        </w:rPr>
        <w:t>Audience leaves with: a five-stage maturity model, practical governance questions and a clearer distinction between automation and adaptability.</w:t>
      </w:r>
    </w:p>
    <w:p>
      <w:pPr>
        <w:pStyle w:val="Heading2"/>
      </w:pPr>
      <w:r>
        <w:t>While Compliance Debates AI Governance, Criminals Are Already in Production</w:t>
      </w:r>
    </w:p>
    <w:p>
      <w:r>
        <w:t>How agents, deepfakes and synthetic identities are changing the production model of financial crime—and what defensive operating models must do differently.</w:t>
      </w:r>
    </w:p>
    <w:p>
      <w:r>
        <w:rPr>
          <w:rFonts w:ascii="Calibri" w:hAnsi="Calibri"/>
          <w:b/>
          <w:i w:val="0"/>
          <w:color w:val="738125"/>
          <w:sz w:val="20"/>
        </w:rPr>
        <w:t>Audience leaves with: an adversarial AI frame, authenticity controls and a roadmap for integrating fraud, cyber, KYC and financial-crime intelligence.</w:t>
      </w:r>
    </w:p>
    <w:p>
      <w:pPr>
        <w:pStyle w:val="Heading2"/>
      </w:pPr>
      <w:r>
        <w:t>The Message Is the Control</w:t>
      </w:r>
    </w:p>
    <w:p>
      <w:r>
        <w:t>How payment transparency, structured data and emerging regulatory expectations are moving financial-crime decisions upstream.</w:t>
      </w:r>
    </w:p>
    <w:p>
      <w:r>
        <w:rPr>
          <w:rFonts w:ascii="Calibri" w:hAnsi="Calibri"/>
          <w:b/>
          <w:i w:val="0"/>
          <w:color w:val="738125"/>
          <w:sz w:val="20"/>
        </w:rPr>
        <w:t>Audience leaves with: a payment-data quality stack, practical readiness questions and a grounded view of virtual-account complexity.</w:t>
      </w:r>
    </w:p>
    <w:p>
      <w:pPr>
        <w:pStyle w:val="Heading2"/>
      </w:pPr>
      <w:r>
        <w:t>Global Compliance Without the Global Bottleneck</w:t>
      </w:r>
    </w:p>
    <w:p>
      <w:r>
        <w:t>How to combine one global standard with local expertise, follow-the-sun execution and decision-making closer to customers.</w:t>
      </w:r>
    </w:p>
    <w:p>
      <w:r>
        <w:rPr>
          <w:rFonts w:ascii="Calibri" w:hAnsi="Calibri"/>
          <w:b/>
          <w:i w:val="0"/>
          <w:color w:val="738125"/>
          <w:sz w:val="20"/>
        </w:rPr>
        <w:t>Audience leaves with: decision-right principles, a capability placement model and a way to diagnose concentration risk.</w:t>
      </w:r>
    </w:p>
    <w:p>
      <w:pPr>
        <w:pStyle w:val="Heading2"/>
      </w:pPr>
      <w:r>
        <w:t>Authenticity Is a Leadership Control</w:t>
      </w:r>
    </w:p>
    <w:p>
      <w:r>
        <w:t>What growing up gay in Ireland taught Micheal about reading rooms, using humor and the organizational cost of making people edit themselves.</w:t>
      </w:r>
    </w:p>
    <w:p>
      <w:r>
        <w:rPr>
          <w:rFonts w:ascii="Calibri" w:hAnsi="Calibri"/>
          <w:b/>
          <w:i w:val="0"/>
          <w:color w:val="738125"/>
          <w:sz w:val="20"/>
        </w:rPr>
        <w:t>Audience leaves with: practical ways to make challenge and escalation safer, without lowering standards or accountability.</w:t>
      </w:r>
    </w:p>
    <w:p>
      <w:pPr>
        <w:spacing w:before="100"/>
      </w:pPr>
      <w:r>
        <w:rPr>
          <w:rFonts w:ascii="Calibri" w:hAnsi="Calibri"/>
          <w:b/>
          <w:i w:val="0"/>
          <w:color w:val="192720"/>
          <w:sz w:val="19"/>
        </w:rPr>
        <w:t xml:space="preserve">Also available: </w:t>
      </w:r>
      <w:r>
        <w:rPr>
          <w:rFonts w:ascii="Calibri" w:hAnsi="Calibri"/>
          <w:b w:val="0"/>
          <w:i w:val="0"/>
          <w:color w:val="66716B"/>
          <w:sz w:val="19"/>
        </w:rPr>
        <w:t>compliance transformation, stablecoins, de-risking, sanctions, model management and executive accountability.</w:t>
      </w:r>
    </w:p>
    <w:p>
      <w:pPr>
        <w:spacing w:before="0" w:after="100"/>
      </w:pPr>
      <w:r>
        <w:br w:type="page"/>
      </w:r>
      <w:r>
        <w:rPr>
          <w:rFonts w:ascii="Calibri" w:hAnsi="Calibri"/>
          <w:b/>
          <w:i w:val="0"/>
          <w:color w:val="738125"/>
          <w:sz w:val="17"/>
        </w:rPr>
        <w:t>SESSION DESIGN</w:t>
      </w:r>
    </w:p>
    <w:p>
      <w:pPr>
        <w:pStyle w:val="Heading1"/>
      </w:pPr>
      <w:r>
        <w:t>Formats that work</w:t>
      </w:r>
    </w:p>
    <w:tbl>
      <w:tblPr>
        <w:tblStyle w:val="TableGrid"/>
        <w:tblW w:type="dxa" w:w="9360"/>
        <w:tblLayout w:type="fixed"/>
        <w:tblLook w:firstColumn="1" w:firstRow="1" w:lastColumn="0" w:lastRow="0" w:noHBand="0" w:noVBand="1" w:val="04A0"/>
        <w:jc w:val="left"/>
        <w:tblInd w:w="120" w:type="dxa"/>
      </w:tblPr>
      <w:tblGrid>
        <w:gridCol w:w="2700"/>
        <w:gridCol w:w="6660"/>
      </w:tblGrid>
      <w:tr>
        <w:tc>
          <w:tcPr>
            <w:tcW w:type="dxa" w:w="2700"/>
            <w:tcMar>
              <w:top w:w="80" w:type="dxa"/>
              <w:start w:w="120" w:type="dxa"/>
              <w:bottom w:w="80" w:type="dxa"/>
              <w:end w:w="120" w:type="dxa"/>
            </w:tcMar>
            <w:shd w:fill="E5EBE4"/>
          </w:tcPr>
          <w:p>
            <w:pPr>
              <w:spacing w:after="0"/>
            </w:pPr>
            <w:r>
              <w:rPr>
                <w:rFonts w:ascii="Calibri" w:hAnsi="Calibri"/>
                <w:b/>
                <w:i w:val="0"/>
                <w:color w:val="192720"/>
                <w:sz w:val="19"/>
              </w:rPr>
              <w:t>Prompt</w:t>
            </w:r>
          </w:p>
        </w:tc>
        <w:tc>
          <w:tcPr>
            <w:tcW w:type="dxa" w:w="6660"/>
            <w:tcMar>
              <w:top w:w="80" w:type="dxa"/>
              <w:start w:w="120" w:type="dxa"/>
              <w:bottom w:w="80" w:type="dxa"/>
              <w:end w:w="120" w:type="dxa"/>
            </w:tcMar>
            <w:shd w:fill="E5EBE4"/>
          </w:tcPr>
          <w:p>
            <w:pPr>
              <w:spacing w:after="0"/>
            </w:pPr>
            <w:r>
              <w:rPr>
                <w:rFonts w:ascii="Calibri" w:hAnsi="Calibri"/>
                <w:b/>
                <w:i w:val="0"/>
                <w:color w:val="192720"/>
                <w:sz w:val="19"/>
              </w:rPr>
              <w:t>Working response / evidence</w:t>
            </w:r>
          </w:p>
        </w:tc>
      </w:tr>
      <w:tr>
        <w:tc>
          <w:tcPr>
            <w:tcW w:type="dxa" w:w="2700"/>
            <w:tcMar>
              <w:top w:w="80" w:type="dxa"/>
              <w:start w:w="120" w:type="dxa"/>
              <w:bottom w:w="80" w:type="dxa"/>
              <w:end w:w="120" w:type="dxa"/>
            </w:tcMar>
          </w:tcPr>
          <w:p>
            <w:pPr>
              <w:spacing w:after="0"/>
            </w:pPr>
            <w:r>
              <w:rPr>
                <w:rFonts w:ascii="Calibri" w:hAnsi="Calibri"/>
                <w:b/>
                <w:i w:val="0"/>
                <w:color w:val="17211D"/>
                <w:sz w:val="19"/>
              </w:rPr>
              <w:t>20–30 minute keynote</w:t>
            </w:r>
          </w:p>
        </w:tc>
        <w:tc>
          <w:tcPr>
            <w:tcW w:type="dxa" w:w="6660"/>
            <w:tcMar>
              <w:top w:w="80" w:type="dxa"/>
              <w:start w:w="120" w:type="dxa"/>
              <w:bottom w:w="80" w:type="dxa"/>
              <w:end w:w="120" w:type="dxa"/>
            </w:tcMar>
          </w:tcPr>
          <w:p>
            <w:pPr>
              <w:spacing w:after="0"/>
            </w:pPr>
            <w:r>
              <w:rPr>
                <w:rFonts w:ascii="Calibri" w:hAnsi="Calibri"/>
                <w:b w:val="0"/>
                <w:i w:val="0"/>
                <w:color w:val="66716B"/>
                <w:sz w:val="19"/>
              </w:rPr>
              <w:t>A sharp argument, memorable framework and practical close. Best for leadership and industry conferences.</w:t>
            </w:r>
          </w:p>
        </w:tc>
      </w:tr>
      <w:tr>
        <w:tc>
          <w:tcPr>
            <w:tcW w:type="dxa" w:w="2700"/>
            <w:tcMar>
              <w:top w:w="80" w:type="dxa"/>
              <w:start w:w="120" w:type="dxa"/>
              <w:bottom w:w="80" w:type="dxa"/>
              <w:end w:w="120" w:type="dxa"/>
            </w:tcMar>
          </w:tcPr>
          <w:p>
            <w:pPr>
              <w:spacing w:after="0"/>
            </w:pPr>
            <w:r>
              <w:rPr>
                <w:rFonts w:ascii="Calibri" w:hAnsi="Calibri"/>
                <w:b/>
                <w:i w:val="0"/>
                <w:color w:val="17211D"/>
                <w:sz w:val="19"/>
              </w:rPr>
              <w:t>45–60 minute keynote</w:t>
            </w:r>
          </w:p>
        </w:tc>
        <w:tc>
          <w:tcPr>
            <w:tcW w:type="dxa" w:w="6660"/>
            <w:tcMar>
              <w:top w:w="80" w:type="dxa"/>
              <w:start w:w="120" w:type="dxa"/>
              <w:bottom w:w="80" w:type="dxa"/>
              <w:end w:w="120" w:type="dxa"/>
            </w:tcMar>
          </w:tcPr>
          <w:p>
            <w:pPr>
              <w:spacing w:after="0"/>
            </w:pPr>
            <w:r>
              <w:rPr>
                <w:rFonts w:ascii="Calibri" w:hAnsi="Calibri"/>
                <w:b w:val="0"/>
                <w:i w:val="0"/>
                <w:color w:val="66716B"/>
                <w:sz w:val="19"/>
              </w:rPr>
              <w:t>A deeper evidence-led narrative with case examples and audience reflection.</w:t>
            </w:r>
          </w:p>
        </w:tc>
      </w:tr>
      <w:tr>
        <w:tc>
          <w:tcPr>
            <w:tcW w:type="dxa" w:w="2700"/>
            <w:tcMar>
              <w:top w:w="80" w:type="dxa"/>
              <w:start w:w="120" w:type="dxa"/>
              <w:bottom w:w="80" w:type="dxa"/>
              <w:end w:w="120" w:type="dxa"/>
            </w:tcMar>
          </w:tcPr>
          <w:p>
            <w:pPr>
              <w:spacing w:after="0"/>
            </w:pPr>
            <w:r>
              <w:rPr>
                <w:rFonts w:ascii="Calibri" w:hAnsi="Calibri"/>
                <w:b/>
                <w:i w:val="0"/>
                <w:color w:val="17211D"/>
                <w:sz w:val="19"/>
              </w:rPr>
              <w:t>Fireside chat</w:t>
            </w:r>
          </w:p>
        </w:tc>
        <w:tc>
          <w:tcPr>
            <w:tcW w:type="dxa" w:w="6660"/>
            <w:tcMar>
              <w:top w:w="80" w:type="dxa"/>
              <w:start w:w="120" w:type="dxa"/>
              <w:bottom w:w="80" w:type="dxa"/>
              <w:end w:w="120" w:type="dxa"/>
            </w:tcMar>
          </w:tcPr>
          <w:p>
            <w:pPr>
              <w:spacing w:after="0"/>
            </w:pPr>
            <w:r>
              <w:rPr>
                <w:rFonts w:ascii="Calibri" w:hAnsi="Calibri"/>
                <w:b w:val="0"/>
                <w:i w:val="0"/>
                <w:color w:val="66716B"/>
                <w:sz w:val="19"/>
              </w:rPr>
              <w:t>Conversational exploration of current developments, leadership decisions and lessons learned.</w:t>
            </w:r>
          </w:p>
        </w:tc>
      </w:tr>
      <w:tr>
        <w:tc>
          <w:tcPr>
            <w:tcW w:type="dxa" w:w="2700"/>
            <w:tcMar>
              <w:top w:w="80" w:type="dxa"/>
              <w:start w:w="120" w:type="dxa"/>
              <w:bottom w:w="80" w:type="dxa"/>
              <w:end w:w="120" w:type="dxa"/>
            </w:tcMar>
          </w:tcPr>
          <w:p>
            <w:pPr>
              <w:spacing w:after="0"/>
            </w:pPr>
            <w:r>
              <w:rPr>
                <w:rFonts w:ascii="Calibri" w:hAnsi="Calibri"/>
                <w:b/>
                <w:i w:val="0"/>
                <w:color w:val="17211D"/>
                <w:sz w:val="19"/>
              </w:rPr>
              <w:t>Executive or board session</w:t>
            </w:r>
          </w:p>
        </w:tc>
        <w:tc>
          <w:tcPr>
            <w:tcW w:type="dxa" w:w="6660"/>
            <w:tcMar>
              <w:top w:w="80" w:type="dxa"/>
              <w:start w:w="120" w:type="dxa"/>
              <w:bottom w:w="80" w:type="dxa"/>
              <w:end w:w="120" w:type="dxa"/>
            </w:tcMar>
          </w:tcPr>
          <w:p>
            <w:pPr>
              <w:spacing w:after="0"/>
            </w:pPr>
            <w:r>
              <w:rPr>
                <w:rFonts w:ascii="Calibri" w:hAnsi="Calibri"/>
                <w:b w:val="0"/>
                <w:i w:val="0"/>
                <w:color w:val="66716B"/>
                <w:sz w:val="19"/>
              </w:rPr>
              <w:t>A private, interactive discussion centered on strategic questions, operating choices and oversight.</w:t>
            </w:r>
          </w:p>
        </w:tc>
      </w:tr>
      <w:tr>
        <w:tc>
          <w:tcPr>
            <w:tcW w:type="dxa" w:w="2700"/>
            <w:tcMar>
              <w:top w:w="80" w:type="dxa"/>
              <w:start w:w="120" w:type="dxa"/>
              <w:bottom w:w="80" w:type="dxa"/>
              <w:end w:w="120" w:type="dxa"/>
            </w:tcMar>
          </w:tcPr>
          <w:p>
            <w:pPr>
              <w:spacing w:after="0"/>
            </w:pPr>
            <w:r>
              <w:rPr>
                <w:rFonts w:ascii="Calibri" w:hAnsi="Calibri"/>
                <w:b/>
                <w:i w:val="0"/>
                <w:color w:val="17211D"/>
                <w:sz w:val="19"/>
              </w:rPr>
              <w:t>Panel or moderator role</w:t>
            </w:r>
          </w:p>
        </w:tc>
        <w:tc>
          <w:tcPr>
            <w:tcW w:type="dxa" w:w="6660"/>
            <w:tcMar>
              <w:top w:w="80" w:type="dxa"/>
              <w:start w:w="120" w:type="dxa"/>
              <w:bottom w:w="80" w:type="dxa"/>
              <w:end w:w="120" w:type="dxa"/>
            </w:tcMar>
          </w:tcPr>
          <w:p>
            <w:pPr>
              <w:spacing w:after="0"/>
            </w:pPr>
            <w:r>
              <w:rPr>
                <w:rFonts w:ascii="Calibri" w:hAnsi="Calibri"/>
                <w:b w:val="0"/>
                <w:i w:val="0"/>
                <w:color w:val="66716B"/>
                <w:sz w:val="19"/>
              </w:rPr>
              <w:t>Clear synthesis, constructive provocation and enough discipline to keep six panelists from answering one question for 40 minutes.</w:t>
            </w:r>
          </w:p>
        </w:tc>
      </w:tr>
      <w:tr>
        <w:tc>
          <w:tcPr>
            <w:tcW w:type="dxa" w:w="2700"/>
            <w:tcMar>
              <w:top w:w="80" w:type="dxa"/>
              <w:start w:w="120" w:type="dxa"/>
              <w:bottom w:w="80" w:type="dxa"/>
              <w:end w:w="120" w:type="dxa"/>
            </w:tcMar>
          </w:tcPr>
          <w:p>
            <w:pPr>
              <w:spacing w:after="0"/>
            </w:pPr>
            <w:r>
              <w:rPr>
                <w:rFonts w:ascii="Calibri" w:hAnsi="Calibri"/>
                <w:b/>
                <w:i w:val="0"/>
                <w:color w:val="17211D"/>
                <w:sz w:val="19"/>
              </w:rPr>
              <w:t>Podcast / media interview</w:t>
            </w:r>
          </w:p>
        </w:tc>
        <w:tc>
          <w:tcPr>
            <w:tcW w:type="dxa" w:w="6660"/>
            <w:tcMar>
              <w:top w:w="80" w:type="dxa"/>
              <w:start w:w="120" w:type="dxa"/>
              <w:bottom w:w="80" w:type="dxa"/>
              <w:end w:w="120" w:type="dxa"/>
            </w:tcMar>
          </w:tcPr>
          <w:p>
            <w:pPr>
              <w:spacing w:after="0"/>
            </w:pPr>
            <w:r>
              <w:rPr>
                <w:rFonts w:ascii="Calibri" w:hAnsi="Calibri"/>
                <w:b w:val="0"/>
                <w:i w:val="0"/>
                <w:color w:val="66716B"/>
                <w:sz w:val="19"/>
              </w:rPr>
              <w:t>Concise, quotable commentary that connects current events to durable operating implications.</w:t>
            </w:r>
          </w:p>
        </w:tc>
      </w:tr>
    </w:tbl>
    <w:p>
      <w:pPr>
        <w:spacing w:after="0"/>
      </w:pPr>
    </w:p>
    <w:p>
      <w:pPr>
        <w:pStyle w:val="Heading2"/>
      </w:pPr>
      <w:r>
        <w:t>Sample moderator introduction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180" w:type="dxa"/>
              <w:start w:w="220" w:type="dxa"/>
              <w:bottom w:w="180" w:type="dxa"/>
              <w:end w:w="220" w:type="dxa"/>
            </w:tcMar>
            <w:shd w:fill="F0F3DF"/>
          </w:tcPr>
          <w:p>
            <w:pPr>
              <w:spacing w:after="0"/>
            </w:pPr>
            <w:r>
              <w:rPr>
                <w:rFonts w:ascii="Georgia" w:hAnsi="Georgia"/>
                <w:b w:val="0"/>
                <w:i w:val="0"/>
                <w:color w:val="192720"/>
                <w:sz w:val="26"/>
              </w:rPr>
              <w:t>Micheal Sheehy is a global payments and compliance executive with more than 20 years of experience building financial-crime and regulatory capabilities across international markets. He is the author of the Adaptive Compliance series and writes about AI, payments, model governance, inclusive leadership and the choices required to scale safely. Please welcome Micheal Sheehy.</w:t>
            </w:r>
          </w:p>
        </w:tc>
      </w:tr>
    </w:tbl>
    <w:p>
      <w:pPr>
        <w:spacing w:after="0"/>
      </w:pPr>
    </w:p>
    <w:p>
      <w:pPr>
        <w:pStyle w:val="Heading2"/>
      </w:pPr>
      <w:r>
        <w:t>Suggested interview questions</w:t>
      </w:r>
    </w:p>
    <w:p>
      <w:pPr>
        <w:pStyle w:val="ListBullet"/>
      </w:pPr>
      <w:r>
        <w:t>What has the compliance industry optimized that matters less than it thinks?</w:t>
      </w:r>
    </w:p>
    <w:p>
      <w:pPr>
        <w:pStyle w:val="ListBullet"/>
      </w:pPr>
      <w:r>
        <w:t>How should boards distinguish a genuine AI control from an impressive demonstration?</w:t>
      </w:r>
    </w:p>
    <w:p>
      <w:pPr>
        <w:pStyle w:val="ListBullet"/>
      </w:pPr>
      <w:r>
        <w:t>What changes when criminals use agents and synthetic identities at scale?</w:t>
      </w:r>
    </w:p>
    <w:p>
      <w:pPr>
        <w:pStyle w:val="ListBullet"/>
      </w:pPr>
      <w:r>
        <w:t>What did growing up gay in Ireland teach you about silence, belonging and the duty of a leader?</w:t>
      </w:r>
    </w:p>
    <w:p>
      <w:pPr>
        <w:spacing w:before="0" w:after="100"/>
      </w:pPr>
      <w:r>
        <w:br w:type="page"/>
      </w:r>
      <w:r>
        <w:rPr>
          <w:rFonts w:ascii="Calibri" w:hAnsi="Calibri"/>
          <w:b/>
          <w:i w:val="0"/>
          <w:color w:val="738125"/>
          <w:sz w:val="17"/>
        </w:rPr>
        <w:t>SELECTED APPEARANCES</w:t>
      </w:r>
    </w:p>
    <w:p>
      <w:pPr>
        <w:pStyle w:val="Heading1"/>
      </w:pPr>
      <w:r>
        <w:t>Media and industry conversations</w:t>
      </w:r>
    </w:p>
    <w:tbl>
      <w:tblPr>
        <w:tblStyle w:val="TableGrid"/>
        <w:tblW w:type="dxa" w:w="9360"/>
        <w:tblLayout w:type="fixed"/>
        <w:tblLook w:firstColumn="1" w:firstRow="1" w:lastColumn="0" w:lastRow="0" w:noHBand="0" w:noVBand="1" w:val="04A0"/>
        <w:jc w:val="left"/>
        <w:tblInd w:w="120" w:type="dxa"/>
      </w:tblPr>
      <w:tblGrid>
        <w:gridCol w:w="2700"/>
        <w:gridCol w:w="6660"/>
      </w:tblGrid>
      <w:tr>
        <w:tc>
          <w:tcPr>
            <w:tcW w:type="dxa" w:w="2700"/>
            <w:tcMar>
              <w:top w:w="80" w:type="dxa"/>
              <w:start w:w="120" w:type="dxa"/>
              <w:bottom w:w="80" w:type="dxa"/>
              <w:end w:w="120" w:type="dxa"/>
            </w:tcMar>
            <w:shd w:fill="E5EBE4"/>
          </w:tcPr>
          <w:p>
            <w:pPr>
              <w:spacing w:after="0"/>
            </w:pPr>
            <w:r>
              <w:rPr>
                <w:rFonts w:ascii="Calibri" w:hAnsi="Calibri"/>
                <w:b/>
                <w:i w:val="0"/>
                <w:color w:val="192720"/>
                <w:sz w:val="19"/>
              </w:rPr>
              <w:t>Prompt</w:t>
            </w:r>
          </w:p>
        </w:tc>
        <w:tc>
          <w:tcPr>
            <w:tcW w:type="dxa" w:w="6660"/>
            <w:tcMar>
              <w:top w:w="80" w:type="dxa"/>
              <w:start w:w="120" w:type="dxa"/>
              <w:bottom w:w="80" w:type="dxa"/>
              <w:end w:w="120" w:type="dxa"/>
            </w:tcMar>
            <w:shd w:fill="E5EBE4"/>
          </w:tcPr>
          <w:p>
            <w:pPr>
              <w:spacing w:after="0"/>
            </w:pPr>
            <w:r>
              <w:rPr>
                <w:rFonts w:ascii="Calibri" w:hAnsi="Calibri"/>
                <w:b/>
                <w:i w:val="0"/>
                <w:color w:val="192720"/>
                <w:sz w:val="19"/>
              </w:rPr>
              <w:t>Working response / evidence</w:t>
            </w:r>
          </w:p>
        </w:tc>
      </w:tr>
      <w:tr>
        <w:tc>
          <w:tcPr>
            <w:tcW w:type="dxa" w:w="2700"/>
            <w:tcMar>
              <w:top w:w="80" w:type="dxa"/>
              <w:start w:w="120" w:type="dxa"/>
              <w:bottom w:w="80" w:type="dxa"/>
              <w:end w:w="120" w:type="dxa"/>
            </w:tcMar>
          </w:tcPr>
          <w:p>
            <w:pPr>
              <w:spacing w:after="0"/>
            </w:pPr>
            <w:r>
              <w:rPr>
                <w:rFonts w:ascii="Calibri" w:hAnsi="Calibri"/>
                <w:b/>
                <w:i w:val="0"/>
                <w:color w:val="17211D"/>
                <w:sz w:val="19"/>
              </w:rPr>
              <w:t>Nasdaq TradeTalks</w:t>
            </w:r>
          </w:p>
        </w:tc>
        <w:tc>
          <w:tcPr>
            <w:tcW w:type="dxa" w:w="6660"/>
            <w:tcMar>
              <w:top w:w="80" w:type="dxa"/>
              <w:start w:w="120" w:type="dxa"/>
              <w:bottom w:w="80" w:type="dxa"/>
              <w:end w:w="120" w:type="dxa"/>
            </w:tcMar>
          </w:tcPr>
          <w:p>
            <w:pPr>
              <w:spacing w:after="0"/>
            </w:pPr>
            <w:r>
              <w:rPr>
                <w:rFonts w:ascii="Calibri" w:hAnsi="Calibri"/>
                <w:b w:val="0"/>
                <w:i w:val="0"/>
                <w:color w:val="66716B"/>
                <w:sz w:val="19"/>
              </w:rPr>
              <w:t>How financial institutions are using AI and machine learning to combat fraud.</w:t>
            </w:r>
          </w:p>
        </w:tc>
      </w:tr>
      <w:tr>
        <w:tc>
          <w:tcPr>
            <w:tcW w:type="dxa" w:w="2700"/>
            <w:tcMar>
              <w:top w:w="80" w:type="dxa"/>
              <w:start w:w="120" w:type="dxa"/>
              <w:bottom w:w="80" w:type="dxa"/>
              <w:end w:w="120" w:type="dxa"/>
            </w:tcMar>
          </w:tcPr>
          <w:p>
            <w:pPr>
              <w:spacing w:after="0"/>
            </w:pPr>
            <w:r>
              <w:rPr>
                <w:rFonts w:ascii="Calibri" w:hAnsi="Calibri"/>
                <w:b/>
                <w:i w:val="0"/>
                <w:color w:val="17211D"/>
                <w:sz w:val="19"/>
              </w:rPr>
              <w:t>PYMNTS</w:t>
            </w:r>
          </w:p>
        </w:tc>
        <w:tc>
          <w:tcPr>
            <w:tcW w:type="dxa" w:w="6660"/>
            <w:tcMar>
              <w:top w:w="80" w:type="dxa"/>
              <w:start w:w="120" w:type="dxa"/>
              <w:bottom w:w="80" w:type="dxa"/>
              <w:end w:w="120" w:type="dxa"/>
            </w:tcMar>
          </w:tcPr>
          <w:p>
            <w:pPr>
              <w:spacing w:after="0"/>
            </w:pPr>
            <w:r>
              <w:rPr>
                <w:rFonts w:ascii="Calibri" w:hAnsi="Calibri"/>
                <w:b w:val="0"/>
                <w:i w:val="0"/>
                <w:color w:val="66716B"/>
                <w:sz w:val="19"/>
              </w:rPr>
              <w:t>Payments, financial crime and the role of compliance in responsible growth.</w:t>
            </w:r>
          </w:p>
        </w:tc>
      </w:tr>
      <w:tr>
        <w:tc>
          <w:tcPr>
            <w:tcW w:type="dxa" w:w="2700"/>
            <w:tcMar>
              <w:top w:w="80" w:type="dxa"/>
              <w:start w:w="120" w:type="dxa"/>
              <w:bottom w:w="80" w:type="dxa"/>
              <w:end w:w="120" w:type="dxa"/>
            </w:tcMar>
          </w:tcPr>
          <w:p>
            <w:pPr>
              <w:spacing w:after="0"/>
            </w:pPr>
            <w:r>
              <w:rPr>
                <w:rFonts w:ascii="Calibri" w:hAnsi="Calibri"/>
                <w:b/>
                <w:i w:val="0"/>
                <w:color w:val="17211D"/>
                <w:sz w:val="19"/>
              </w:rPr>
              <w:t>Integrity Innovators</w:t>
            </w:r>
          </w:p>
        </w:tc>
        <w:tc>
          <w:tcPr>
            <w:tcW w:type="dxa" w:w="6660"/>
            <w:tcMar>
              <w:top w:w="80" w:type="dxa"/>
              <w:start w:w="120" w:type="dxa"/>
              <w:bottom w:w="80" w:type="dxa"/>
              <w:end w:w="120" w:type="dxa"/>
            </w:tcMar>
          </w:tcPr>
          <w:p>
            <w:pPr>
              <w:spacing w:after="0"/>
            </w:pPr>
            <w:r>
              <w:rPr>
                <w:rFonts w:ascii="Calibri" w:hAnsi="Calibri"/>
                <w:b w:val="0"/>
                <w:i w:val="0"/>
                <w:color w:val="66716B"/>
                <w:sz w:val="19"/>
              </w:rPr>
              <w:t>Leadership, integrity and building a modern culture of compliance.</w:t>
            </w:r>
          </w:p>
        </w:tc>
      </w:tr>
      <w:tr>
        <w:tc>
          <w:tcPr>
            <w:tcW w:type="dxa" w:w="2700"/>
            <w:tcMar>
              <w:top w:w="80" w:type="dxa"/>
              <w:start w:w="120" w:type="dxa"/>
              <w:bottom w:w="80" w:type="dxa"/>
              <w:end w:w="120" w:type="dxa"/>
            </w:tcMar>
          </w:tcPr>
          <w:p>
            <w:pPr>
              <w:spacing w:after="0"/>
            </w:pPr>
            <w:r>
              <w:rPr>
                <w:rFonts w:ascii="Calibri" w:hAnsi="Calibri"/>
                <w:b/>
                <w:i w:val="0"/>
                <w:color w:val="17211D"/>
                <w:sz w:val="19"/>
              </w:rPr>
              <w:t>FinTech Futures</w:t>
            </w:r>
          </w:p>
        </w:tc>
        <w:tc>
          <w:tcPr>
            <w:tcW w:type="dxa" w:w="6660"/>
            <w:tcMar>
              <w:top w:w="80" w:type="dxa"/>
              <w:start w:w="120" w:type="dxa"/>
              <w:bottom w:w="80" w:type="dxa"/>
              <w:end w:w="120" w:type="dxa"/>
            </w:tcMar>
          </w:tcPr>
          <w:p>
            <w:pPr>
              <w:spacing w:after="0"/>
            </w:pPr>
            <w:r>
              <w:rPr>
                <w:rFonts w:ascii="Calibri" w:hAnsi="Calibri"/>
                <w:b w:val="0"/>
                <w:i w:val="0"/>
                <w:color w:val="66716B"/>
                <w:sz w:val="19"/>
              </w:rPr>
              <w:t>Regulatory change, global payments and emerging financial-crime risk.</w:t>
            </w:r>
          </w:p>
        </w:tc>
      </w:tr>
      <w:tr>
        <w:tc>
          <w:tcPr>
            <w:tcW w:type="dxa" w:w="2700"/>
            <w:tcMar>
              <w:top w:w="80" w:type="dxa"/>
              <w:start w:w="120" w:type="dxa"/>
              <w:bottom w:w="80" w:type="dxa"/>
              <w:end w:w="120" w:type="dxa"/>
            </w:tcMar>
          </w:tcPr>
          <w:p>
            <w:pPr>
              <w:spacing w:after="0"/>
            </w:pPr>
            <w:r>
              <w:rPr>
                <w:rFonts w:ascii="Calibri" w:hAnsi="Calibri"/>
                <w:b/>
                <w:i w:val="0"/>
                <w:color w:val="17211D"/>
                <w:sz w:val="19"/>
              </w:rPr>
              <w:t>Finextra</w:t>
            </w:r>
          </w:p>
        </w:tc>
        <w:tc>
          <w:tcPr>
            <w:tcW w:type="dxa" w:w="6660"/>
            <w:tcMar>
              <w:top w:w="80" w:type="dxa"/>
              <w:start w:w="120" w:type="dxa"/>
              <w:bottom w:w="80" w:type="dxa"/>
              <w:end w:w="120" w:type="dxa"/>
            </w:tcMar>
          </w:tcPr>
          <w:p>
            <w:pPr>
              <w:spacing w:after="0"/>
            </w:pPr>
            <w:r>
              <w:rPr>
                <w:rFonts w:ascii="Calibri" w:hAnsi="Calibri"/>
                <w:b w:val="0"/>
                <w:i w:val="0"/>
                <w:color w:val="66716B"/>
                <w:sz w:val="19"/>
              </w:rPr>
              <w:t>North Korean financial crime and the evolving role of payment platforms.</w:t>
            </w:r>
          </w:p>
        </w:tc>
      </w:tr>
      <w:tr>
        <w:tc>
          <w:tcPr>
            <w:tcW w:type="dxa" w:w="2700"/>
            <w:tcMar>
              <w:top w:w="80" w:type="dxa"/>
              <w:start w:w="120" w:type="dxa"/>
              <w:bottom w:w="80" w:type="dxa"/>
              <w:end w:w="120" w:type="dxa"/>
            </w:tcMar>
          </w:tcPr>
          <w:p>
            <w:pPr>
              <w:spacing w:after="0"/>
            </w:pPr>
            <w:r>
              <w:rPr>
                <w:rFonts w:ascii="Calibri" w:hAnsi="Calibri"/>
                <w:b/>
                <w:i w:val="0"/>
                <w:color w:val="17211D"/>
                <w:sz w:val="19"/>
              </w:rPr>
              <w:t>Money20/20 and industry events</w:t>
            </w:r>
          </w:p>
        </w:tc>
        <w:tc>
          <w:tcPr>
            <w:tcW w:type="dxa" w:w="6660"/>
            <w:tcMar>
              <w:top w:w="80" w:type="dxa"/>
              <w:start w:w="120" w:type="dxa"/>
              <w:bottom w:w="80" w:type="dxa"/>
              <w:end w:w="120" w:type="dxa"/>
            </w:tcMar>
          </w:tcPr>
          <w:p>
            <w:pPr>
              <w:spacing w:after="0"/>
            </w:pPr>
            <w:r>
              <w:rPr>
                <w:rFonts w:ascii="Calibri" w:hAnsi="Calibri"/>
                <w:b w:val="0"/>
                <w:i w:val="0"/>
                <w:color w:val="66716B"/>
                <w:sz w:val="19"/>
              </w:rPr>
              <w:t>Panels and interviews on payments, compliance transformation and AI.</w:t>
            </w:r>
          </w:p>
        </w:tc>
      </w:tr>
    </w:tbl>
    <w:p>
      <w:pPr>
        <w:spacing w:after="0"/>
      </w:pPr>
    </w:p>
    <w:p>
      <w:pPr>
        <w:pStyle w:val="Heading2"/>
      </w:pPr>
      <w:r>
        <w:t>Editorial platforms</w:t>
      </w:r>
    </w:p>
    <w:p>
      <w:r>
        <w:t>Micheal’s writing at michealsheehy.com includes the eight-volume Adaptive Compliance series, essays on North Korean IT-worker networks, global KYC, stablecoins, payment transparency, de-risking, AI-enabled financial crime, inclusive leadership and the experience of finding an authentic executive voice.</w:t>
      </w:r>
    </w:p>
    <w:tbl>
      <w:tblPr>
        <w:tblW w:type="dxa" w:w="9360"/>
        <w:jc w:val="left"/>
        <w:tblLayout w:type="fixed"/>
        <w:tblLook w:firstColumn="1" w:firstRow="1" w:lastColumn="0" w:lastRow="0" w:noHBand="0" w:noVBand="1" w:val="04A0"/>
        <w:tblInd w:w="120" w:type="dxa"/>
      </w:tblPr>
      <w:tblGrid>
        <w:gridCol w:w="9360"/>
      </w:tblGrid>
      <w:tr>
        <w:tc>
          <w:tcPr>
            <w:tcW w:type="dxa" w:w="9360"/>
            <w:tcMar>
              <w:top w:w="180" w:type="dxa"/>
              <w:start w:w="220" w:type="dxa"/>
              <w:bottom w:w="180" w:type="dxa"/>
              <w:end w:w="220" w:type="dxa"/>
            </w:tcMar>
            <w:shd w:fill="F0F3DF"/>
          </w:tcPr>
          <w:p>
            <w:pPr>
              <w:spacing w:after="0"/>
            </w:pPr>
            <w:r>
              <w:rPr>
                <w:rFonts w:ascii="Georgia" w:hAnsi="Georgia"/>
                <w:b w:val="0"/>
                <w:i w:val="0"/>
                <w:color w:val="192720"/>
                <w:sz w:val="26"/>
              </w:rPr>
              <w:t>For current links, video and article references, visit michealsheehy.com/media.html.</w:t>
            </w:r>
          </w:p>
        </w:tc>
      </w:tr>
    </w:tbl>
    <w:p>
      <w:pPr>
        <w:spacing w:after="0"/>
      </w:pPr>
    </w:p>
    <w:p>
      <w:pPr>
        <w:spacing w:before="0" w:after="100"/>
      </w:pPr>
      <w:r>
        <w:br w:type="page"/>
      </w:r>
      <w:r>
        <w:rPr>
          <w:rFonts w:ascii="Calibri" w:hAnsi="Calibri"/>
          <w:b/>
          <w:i w:val="0"/>
          <w:color w:val="738125"/>
          <w:sz w:val="17"/>
        </w:rPr>
        <w:t>APPROVED IMAGES</w:t>
      </w:r>
    </w:p>
    <w:p>
      <w:pPr>
        <w:pStyle w:val="Heading1"/>
      </w:pPr>
      <w:r>
        <w:t>Headshots</w:t>
      </w:r>
    </w:p>
    <w:p>
      <w:r>
        <w:t>High-resolution files are available on request. The images below are suitable for speaker pages, event listings and editorial use.</w:t>
      </w: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3120"/>
            <w:tcMar>
              <w:top w:w="80" w:type="dxa"/>
              <w:start w:w="120" w:type="dxa"/>
              <w:bottom w:w="80" w:type="dxa"/>
              <w:end w:w="120" w:type="dxa"/>
            </w:tcMar>
            <w:vAlign w:val="top"/>
          </w:tcPr>
          <w:p>
            <w:pPr>
              <w:jc w:val="center"/>
            </w:pPr>
            <w:r>
              <w:drawing>
                <wp:inline xmlns:a="http://schemas.openxmlformats.org/drawingml/2006/main" xmlns:pic="http://schemas.openxmlformats.org/drawingml/2006/picture">
                  <wp:extent cx="1600200" cy="2127926"/>
                  <wp:docPr id="1" name="Picture 1"/>
                  <wp:cNvGraphicFramePr>
                    <a:graphicFrameLocks noChangeAspect="1"/>
                  </wp:cNvGraphicFramePr>
                  <a:graphic>
                    <a:graphicData uri="http://schemas.openxmlformats.org/drawingml/2006/picture">
                      <pic:pic>
                        <pic:nvPicPr>
                          <pic:cNvPr id="0" name="micheal-sheehy-executive-closeup.jpg"/>
                          <pic:cNvPicPr/>
                        </pic:nvPicPr>
                        <pic:blipFill>
                          <a:blip r:embed="rId11"/>
                          <a:stretch>
                            <a:fillRect/>
                          </a:stretch>
                        </pic:blipFill>
                        <pic:spPr>
                          <a:xfrm>
                            <a:off x="0" y="0"/>
                            <a:ext cx="1600200" cy="2127926"/>
                          </a:xfrm>
                          <a:prstGeom prst="rect"/>
                        </pic:spPr>
                      </pic:pic>
                    </a:graphicData>
                  </a:graphic>
                </wp:inline>
              </w:drawing>
            </w:r>
          </w:p>
          <w:p>
            <w:pPr>
              <w:spacing w:after="0"/>
              <w:jc w:val="center"/>
            </w:pPr>
            <w:r>
              <w:rPr>
                <w:rFonts w:ascii="Calibri" w:hAnsi="Calibri"/>
                <w:b w:val="0"/>
                <w:i/>
                <w:color w:val="66716B"/>
                <w:sz w:val="17"/>
              </w:rPr>
              <w:t>Executive close-up</w:t>
            </w:r>
          </w:p>
        </w:tc>
        <w:tc>
          <w:tcPr>
            <w:tcW w:type="dxa" w:w="3120"/>
            <w:tcMar>
              <w:top w:w="80" w:type="dxa"/>
              <w:start w:w="120" w:type="dxa"/>
              <w:bottom w:w="80" w:type="dxa"/>
              <w:end w:w="120" w:type="dxa"/>
            </w:tcMar>
            <w:vAlign w:val="top"/>
          </w:tcPr>
          <w:p>
            <w:pPr>
              <w:jc w:val="center"/>
            </w:pPr>
            <w:r>
              <w:drawing>
                <wp:inline xmlns:a="http://schemas.openxmlformats.org/drawingml/2006/main" xmlns:pic="http://schemas.openxmlformats.org/drawingml/2006/picture">
                  <wp:extent cx="1600200" cy="2127926"/>
                  <wp:docPr id="2" name="Picture 2"/>
                  <wp:cNvGraphicFramePr>
                    <a:graphicFrameLocks noChangeAspect="1"/>
                  </wp:cNvGraphicFramePr>
                  <a:graphic>
                    <a:graphicData uri="http://schemas.openxmlformats.org/drawingml/2006/picture">
                      <pic:pic>
                        <pic:nvPicPr>
                          <pic:cNvPr id="0" name="micheal-sheehy-formal-portrait.jpg"/>
                          <pic:cNvPicPr/>
                        </pic:nvPicPr>
                        <pic:blipFill>
                          <a:blip r:embed="rId12"/>
                          <a:stretch>
                            <a:fillRect/>
                          </a:stretch>
                        </pic:blipFill>
                        <pic:spPr>
                          <a:xfrm>
                            <a:off x="0" y="0"/>
                            <a:ext cx="1600200" cy="2127926"/>
                          </a:xfrm>
                          <a:prstGeom prst="rect"/>
                        </pic:spPr>
                      </pic:pic>
                    </a:graphicData>
                  </a:graphic>
                </wp:inline>
              </w:drawing>
            </w:r>
          </w:p>
          <w:p>
            <w:pPr>
              <w:spacing w:after="0"/>
              <w:jc w:val="center"/>
            </w:pPr>
            <w:r>
              <w:rPr>
                <w:rFonts w:ascii="Calibri" w:hAnsi="Calibri"/>
                <w:b w:val="0"/>
                <w:i/>
                <w:color w:val="66716B"/>
                <w:sz w:val="17"/>
              </w:rPr>
              <w:t>Formal portrait</w:t>
            </w:r>
          </w:p>
        </w:tc>
        <w:tc>
          <w:tcPr>
            <w:tcW w:type="dxa" w:w="3120"/>
            <w:tcMar>
              <w:top w:w="80" w:type="dxa"/>
              <w:start w:w="120" w:type="dxa"/>
              <w:bottom w:w="80" w:type="dxa"/>
              <w:end w:w="120" w:type="dxa"/>
            </w:tcMar>
            <w:vAlign w:val="top"/>
          </w:tcPr>
          <w:p>
            <w:pPr>
              <w:jc w:val="center"/>
            </w:pPr>
            <w:r>
              <w:drawing>
                <wp:inline xmlns:a="http://schemas.openxmlformats.org/drawingml/2006/main" xmlns:pic="http://schemas.openxmlformats.org/drawingml/2006/picture">
                  <wp:extent cx="1600200" cy="2127926"/>
                  <wp:docPr id="3" name="Picture 3"/>
                  <wp:cNvGraphicFramePr>
                    <a:graphicFrameLocks noChangeAspect="1"/>
                  </wp:cNvGraphicFramePr>
                  <a:graphic>
                    <a:graphicData uri="http://schemas.openxmlformats.org/drawingml/2006/picture">
                      <pic:pic>
                        <pic:nvPicPr>
                          <pic:cNvPr id="0" name="micheal-sheehy-editorial-portrait.jpg"/>
                          <pic:cNvPicPr/>
                        </pic:nvPicPr>
                        <pic:blipFill>
                          <a:blip r:embed="rId13"/>
                          <a:stretch>
                            <a:fillRect/>
                          </a:stretch>
                        </pic:blipFill>
                        <pic:spPr>
                          <a:xfrm>
                            <a:off x="0" y="0"/>
                            <a:ext cx="1600200" cy="2127926"/>
                          </a:xfrm>
                          <a:prstGeom prst="rect"/>
                        </pic:spPr>
                      </pic:pic>
                    </a:graphicData>
                  </a:graphic>
                </wp:inline>
              </w:drawing>
            </w:r>
          </w:p>
          <w:p>
            <w:pPr>
              <w:spacing w:after="0"/>
              <w:jc w:val="center"/>
            </w:pPr>
            <w:r>
              <w:rPr>
                <w:rFonts w:ascii="Calibri" w:hAnsi="Calibri"/>
                <w:b w:val="0"/>
                <w:i/>
                <w:color w:val="66716B"/>
                <w:sz w:val="17"/>
              </w:rPr>
              <w:t>Editorial portrait</w:t>
            </w:r>
          </w:p>
        </w:tc>
      </w:tr>
    </w:tbl>
    <w:p>
      <w:pPr>
        <w:pStyle w:val="Heading2"/>
      </w:pPr>
      <w:r>
        <w:t>Image and biography use</w:t>
      </w:r>
    </w:p>
    <w:p>
      <w:pPr>
        <w:pStyle w:val="ListBullet"/>
      </w:pPr>
      <w:r>
        <w:t>Credit: Courtesy of Micheal Sheehy.</w:t>
      </w:r>
    </w:p>
    <w:p>
      <w:pPr>
        <w:pStyle w:val="ListBullet"/>
      </w:pPr>
      <w:r>
        <w:t>Do not materially alter the images beyond normal cropping and color correction.</w:t>
      </w:r>
    </w:p>
    <w:p>
      <w:pPr>
        <w:pStyle w:val="ListBullet"/>
      </w:pPr>
      <w:r>
        <w:t>Use the short bio for agendas and the long bio for event pages, media notes and formal introductions.</w:t>
      </w:r>
    </w:p>
    <w:p>
      <w:pPr>
        <w:pStyle w:val="ListBullet"/>
      </w:pPr>
      <w:r>
        <w:t>Confirm current title and event-specific language before publication.</w:t>
      </w:r>
    </w:p>
    <w:p>
      <w:pPr>
        <w:spacing w:before="0" w:after="100"/>
      </w:pPr>
      <w:r>
        <w:br w:type="page"/>
      </w:r>
      <w:r>
        <w:rPr>
          <w:rFonts w:ascii="Calibri" w:hAnsi="Calibri"/>
          <w:b/>
          <w:i w:val="0"/>
          <w:color w:val="738125"/>
          <w:sz w:val="17"/>
        </w:rPr>
        <w:t>CONTACT</w:t>
      </w:r>
    </w:p>
    <w:p>
      <w:pPr>
        <w:pStyle w:val="Heading1"/>
      </w:pPr>
      <w:r>
        <w:t>Bring the conversation to your audience</w:t>
      </w:r>
    </w:p>
    <w:p>
      <w:r>
        <w:t>For keynotes, panels, fireside chats, podcasts, board discussions, media commentary and selected advisory conversations:</w:t>
      </w:r>
    </w:p>
    <w:tbl>
      <w:tblPr>
        <w:tblW w:type="dxa" w:w="9360"/>
        <w:jc w:val="left"/>
        <w:tblLayout w:type="fixed"/>
        <w:tblLook w:firstColumn="1" w:firstRow="1" w:lastColumn="0" w:lastRow="0" w:noHBand="0" w:noVBand="1" w:val="04A0"/>
        <w:tblInd w:w="120" w:type="dxa"/>
      </w:tblPr>
      <w:tblGrid>
        <w:gridCol w:w="9360"/>
      </w:tblGrid>
      <w:tr>
        <w:tc>
          <w:tcPr>
            <w:tcW w:type="dxa" w:w="9360"/>
            <w:tcMar>
              <w:top w:w="180" w:type="dxa"/>
              <w:start w:w="220" w:type="dxa"/>
              <w:bottom w:w="180" w:type="dxa"/>
              <w:end w:w="220" w:type="dxa"/>
            </w:tcMar>
            <w:shd w:fill="F0F3DF"/>
          </w:tcPr>
          <w:p>
            <w:pPr>
              <w:spacing w:after="0"/>
            </w:pPr>
            <w:r>
              <w:rPr>
                <w:rFonts w:ascii="Georgia" w:hAnsi="Georgia"/>
                <w:b w:val="0"/>
                <w:i w:val="0"/>
                <w:color w:val="192720"/>
                <w:sz w:val="26"/>
              </w:rPr>
              <w:t>micheal@michealsheehy.com  ·  +1 (818) 397-8890  ·  www.michealsheehy.com</w:t>
            </w:r>
          </w:p>
        </w:tc>
      </w:tr>
    </w:tbl>
    <w:p>
      <w:pPr>
        <w:spacing w:after="0"/>
      </w:pPr>
    </w:p>
    <w:p>
      <w:pPr>
        <w:pStyle w:val="ListBullet"/>
      </w:pPr>
      <w:r>
        <w:t>LinkedIn: linkedin.com/in/micheal-sheehy</w:t>
      </w:r>
    </w:p>
    <w:p>
      <w:pPr>
        <w:pStyle w:val="ListBullet"/>
      </w:pPr>
      <w:r>
        <w:t>Speaking: michealsheehy.com/speaking.html</w:t>
      </w:r>
    </w:p>
    <w:p>
      <w:pPr>
        <w:pStyle w:val="ListBullet"/>
      </w:pPr>
      <w:r>
        <w:t>Media: michealsheehy.com/media.html</w:t>
      </w:r>
    </w:p>
    <w:p>
      <w:pPr>
        <w:pStyle w:val="ListBullet"/>
      </w:pPr>
      <w:r>
        <w:t>Adaptive Compliance: michealsheehy.com/adaptive-compliance.html</w:t>
      </w:r>
    </w:p>
    <w:p>
      <w:r>
        <w:t>Please include the event or publication, audience, proposed format, timing and any deadline. All participation is subject to availability and appropriate approvals.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b/>
        <w:i w:val="0"/>
        <w:color w:val="66716B"/>
        <w:sz w:val="17"/>
      </w:rPr>
      <w:t xml:space="preserve">MICHEAL SHEEHY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66716B"/>
        <w:sz w:val="17"/>
      </w:rPr>
      <w:t>SPEAKER &amp; MEDIA KIT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11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9272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9272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73812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