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b/>
          <w:i w:val="0"/>
          <w:color w:val="738125"/>
          <w:sz w:val="18"/>
        </w:rPr>
        <w:t>ADAPTIVE COMPLIANCE · PRACTICAL TOOLKIT</w:t>
      </w:r>
    </w:p>
    <w:p>
      <w:pPr>
        <w:spacing w:after="240"/>
        <w:jc w:val="center"/>
      </w:pPr>
      <w:r>
        <w:rPr>
          <w:rFonts w:ascii="Georgia" w:hAnsi="Georgia"/>
          <w:b w:val="0"/>
          <w:i w:val="0"/>
          <w:color w:val="192720"/>
          <w:sz w:val="60"/>
        </w:rPr>
        <w:t>From argument to action</w:t>
      </w:r>
    </w:p>
    <w:p>
      <w:pPr>
        <w:spacing w:after="720"/>
        <w:jc w:val="center"/>
      </w:pPr>
      <w:r>
        <w:rPr>
          <w:rFonts w:ascii="Calibri" w:hAnsi="Calibri"/>
          <w:b w:val="0"/>
          <w:i w:val="0"/>
          <w:color w:val="66716B"/>
          <w:sz w:val="28"/>
        </w:rPr>
        <w:t>Seven diagnostics and checklists for modern compliance leaders</w:t>
      </w:r>
    </w:p>
    <w:tbl>
      <w:tblPr>
        <w:tblW w:type="dxa" w:w="9360"/>
        <w:jc w:val="left"/>
        <w:tblLayout w:type="fixed"/>
        <w:tblLook w:firstColumn="1" w:firstRow="1" w:lastColumn="0" w:lastRow="0" w:noHBand="0" w:noVBand="1" w:val="04A0"/>
        <w:tblInd w:w="120" w:type="dxa"/>
      </w:tblPr>
      <w:tblGrid>
        <w:gridCol w:w="9360"/>
      </w:tblGrid>
      <w:tr>
        <w:tc>
          <w:tcPr>
            <w:tcW w:type="dxa" w:w="9360"/>
            <w:tcMar>
              <w:top w:w="240" w:type="dxa"/>
              <w:start w:w="260" w:type="dxa"/>
              <w:bottom w:w="240" w:type="dxa"/>
              <w:end w:w="260" w:type="dxa"/>
            </w:tcMar>
            <w:shd w:fill="192720"/>
            <w:vAlign w:val="center"/>
          </w:tcPr>
          <w:p>
            <w:pPr>
              <w:spacing w:after="0"/>
              <w:jc w:val="center"/>
            </w:pPr>
            <w:r>
              <w:rPr>
                <w:rFonts w:ascii="Georgia" w:hAnsi="Georgia"/>
                <w:b w:val="0"/>
                <w:i w:val="0"/>
                <w:color w:val="FFFFFF"/>
                <w:sz w:val="28"/>
              </w:rPr>
              <w:t>Compliance leader. Global operator. Original thinker.</w:t>
            </w:r>
          </w:p>
        </w:tc>
      </w:tr>
    </w:tbl>
    <w:p>
      <w:pPr>
        <w:spacing w:before="1680" w:after="0"/>
        <w:jc w:val="center"/>
      </w:pPr>
      <w:r>
        <w:rPr>
          <w:rFonts w:ascii="Calibri" w:hAnsi="Calibri"/>
          <w:b w:val="0"/>
          <w:i/>
          <w:color w:val="66716B"/>
          <w:sz w:val="20"/>
        </w:rPr>
        <w:t>Micheal Sheehy  ·  2026 edition  ·  Vendor-neutral</w:t>
      </w:r>
    </w:p>
    <w:p>
      <w:r>
        <w:br w:type="page"/>
      </w:r>
    </w:p>
    <w:p>
      <w:pPr>
        <w:spacing w:before="0" w:after="100"/>
      </w:pPr>
      <w:r>
        <w:rPr>
          <w:rFonts w:ascii="Calibri" w:hAnsi="Calibri"/>
          <w:b/>
          <w:i w:val="0"/>
          <w:color w:val="738125"/>
          <w:sz w:val="17"/>
        </w:rPr>
        <w:t>HOW TO USE THIS PACK</w:t>
      </w:r>
    </w:p>
    <w:p>
      <w:pPr>
        <w:pStyle w:val="Heading1"/>
      </w:pPr>
      <w:r>
        <w:t>A working document, not a maturity certificate</w:t>
      </w:r>
    </w:p>
    <w:p>
      <w:r>
        <w:t>These tools are designed to improve the quality of leadership conversations. They do not replace legal analysis, regulatory interpretation, validation or professional judgment. Use them to expose assumptions, name ownership and identify where evidence is too weak for the decision being made.</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A high score is less valuable than an honest disagreement about why the score exists.</w:t>
            </w:r>
          </w:p>
        </w:tc>
      </w:tr>
    </w:tbl>
    <w:p>
      <w:pPr>
        <w:spacing w:after="0"/>
      </w:pPr>
    </w:p>
    <w:p>
      <w:pPr>
        <w:pStyle w:val="ListNumber"/>
      </w:pPr>
      <w:r>
        <w:t>Choose one tool and one accountable facilitator.</w:t>
      </w:r>
    </w:p>
    <w:p>
      <w:pPr>
        <w:pStyle w:val="ListNumber"/>
      </w:pPr>
      <w:r>
        <w:t>Ask each participant to score independently before the discussion.</w:t>
      </w:r>
    </w:p>
    <w:p>
      <w:pPr>
        <w:pStyle w:val="ListNumber"/>
      </w:pPr>
      <w:r>
        <w:t>Require evidence for every green or “mature” answer.</w:t>
      </w:r>
    </w:p>
    <w:p>
      <w:pPr>
        <w:pStyle w:val="ListNumber"/>
      </w:pPr>
      <w:r>
        <w:t>Record the decision, owner, due date and trigger for reassessment.</w:t>
      </w:r>
    </w:p>
    <w:p>
      <w:pPr>
        <w:pStyle w:val="ListNumber"/>
      </w:pPr>
      <w:r>
        <w:t>Repeat after a material change in product, market, model, regulation or threat.</w:t>
      </w:r>
    </w:p>
    <w:p>
      <w:pPr>
        <w:spacing w:before="80" w:after="80"/>
      </w:pPr>
      <w:r>
        <w:rPr>
          <w:rFonts w:ascii="Calibri" w:hAnsi="Calibri"/>
          <w:b w:val="0"/>
          <w:i/>
          <w:color w:val="66716B"/>
          <w:sz w:val="17"/>
        </w:rPr>
        <w:t>Common five-point scale used throughout the toolkit.</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1 — Unclear</w:t>
            </w:r>
          </w:p>
        </w:tc>
        <w:tc>
          <w:tcPr>
            <w:tcW w:type="dxa" w:w="6660"/>
            <w:tcMar>
              <w:top w:w="80" w:type="dxa"/>
              <w:start w:w="120" w:type="dxa"/>
              <w:bottom w:w="80" w:type="dxa"/>
              <w:end w:w="120" w:type="dxa"/>
            </w:tcMar>
          </w:tcPr>
          <w:p>
            <w:pPr>
              <w:spacing w:after="0"/>
            </w:pPr>
            <w:r>
              <w:rPr>
                <w:rFonts w:ascii="Calibri" w:hAnsi="Calibri"/>
                <w:b w:val="0"/>
                <w:i w:val="0"/>
                <w:color w:val="66716B"/>
                <w:sz w:val="19"/>
              </w:rPr>
              <w:t>No shared standard, limited evidence or ownership not named.</w:t>
            </w:r>
          </w:p>
        </w:tc>
      </w:tr>
      <w:tr>
        <w:tc>
          <w:tcPr>
            <w:tcW w:type="dxa" w:w="2700"/>
            <w:tcMar>
              <w:top w:w="80" w:type="dxa"/>
              <w:start w:w="120" w:type="dxa"/>
              <w:bottom w:w="80" w:type="dxa"/>
              <w:end w:w="120" w:type="dxa"/>
            </w:tcMar>
          </w:tcPr>
          <w:p>
            <w:pPr>
              <w:spacing w:after="0"/>
            </w:pPr>
            <w:r>
              <w:rPr>
                <w:rFonts w:ascii="Calibri" w:hAnsi="Calibri"/>
                <w:b/>
                <w:i w:val="0"/>
                <w:color w:val="17211D"/>
                <w:sz w:val="19"/>
              </w:rPr>
              <w:t>2 — Emerging</w:t>
            </w:r>
          </w:p>
        </w:tc>
        <w:tc>
          <w:tcPr>
            <w:tcW w:type="dxa" w:w="6660"/>
            <w:tcMar>
              <w:top w:w="80" w:type="dxa"/>
              <w:start w:w="120" w:type="dxa"/>
              <w:bottom w:w="80" w:type="dxa"/>
              <w:end w:w="120" w:type="dxa"/>
            </w:tcMar>
          </w:tcPr>
          <w:p>
            <w:pPr>
              <w:spacing w:after="0"/>
            </w:pPr>
            <w:r>
              <w:rPr>
                <w:rFonts w:ascii="Calibri" w:hAnsi="Calibri"/>
                <w:b w:val="0"/>
                <w:i w:val="0"/>
                <w:color w:val="66716B"/>
                <w:sz w:val="19"/>
              </w:rPr>
              <w:t>Some practice exists but depends on individuals or manual interpretation.</w:t>
            </w:r>
          </w:p>
        </w:tc>
      </w:tr>
      <w:tr>
        <w:tc>
          <w:tcPr>
            <w:tcW w:type="dxa" w:w="2700"/>
            <w:tcMar>
              <w:top w:w="80" w:type="dxa"/>
              <w:start w:w="120" w:type="dxa"/>
              <w:bottom w:w="80" w:type="dxa"/>
              <w:end w:w="120" w:type="dxa"/>
            </w:tcMar>
          </w:tcPr>
          <w:p>
            <w:pPr>
              <w:spacing w:after="0"/>
            </w:pPr>
            <w:r>
              <w:rPr>
                <w:rFonts w:ascii="Calibri" w:hAnsi="Calibri"/>
                <w:b/>
                <w:i w:val="0"/>
                <w:color w:val="17211D"/>
                <w:sz w:val="19"/>
              </w:rPr>
              <w:t>3 — Defined</w:t>
            </w:r>
          </w:p>
        </w:tc>
        <w:tc>
          <w:tcPr>
            <w:tcW w:type="dxa" w:w="6660"/>
            <w:tcMar>
              <w:top w:w="80" w:type="dxa"/>
              <w:start w:w="120" w:type="dxa"/>
              <w:bottom w:w="80" w:type="dxa"/>
              <w:end w:w="120" w:type="dxa"/>
            </w:tcMar>
          </w:tcPr>
          <w:p>
            <w:pPr>
              <w:spacing w:after="0"/>
            </w:pPr>
            <w:r>
              <w:rPr>
                <w:rFonts w:ascii="Calibri" w:hAnsi="Calibri"/>
                <w:b w:val="0"/>
                <w:i w:val="0"/>
                <w:color w:val="66716B"/>
                <w:sz w:val="19"/>
              </w:rPr>
              <w:t>Documented standard and owner; application is reasonably consistent.</w:t>
            </w:r>
          </w:p>
        </w:tc>
      </w:tr>
      <w:tr>
        <w:tc>
          <w:tcPr>
            <w:tcW w:type="dxa" w:w="2700"/>
            <w:tcMar>
              <w:top w:w="80" w:type="dxa"/>
              <w:start w:w="120" w:type="dxa"/>
              <w:bottom w:w="80" w:type="dxa"/>
              <w:end w:w="120" w:type="dxa"/>
            </w:tcMar>
          </w:tcPr>
          <w:p>
            <w:pPr>
              <w:spacing w:after="0"/>
            </w:pPr>
            <w:r>
              <w:rPr>
                <w:rFonts w:ascii="Calibri" w:hAnsi="Calibri"/>
                <w:b/>
                <w:i w:val="0"/>
                <w:color w:val="17211D"/>
                <w:sz w:val="19"/>
              </w:rPr>
              <w:t>4 — Monitored</w:t>
            </w:r>
          </w:p>
        </w:tc>
        <w:tc>
          <w:tcPr>
            <w:tcW w:type="dxa" w:w="6660"/>
            <w:tcMar>
              <w:top w:w="80" w:type="dxa"/>
              <w:start w:w="120" w:type="dxa"/>
              <w:bottom w:w="80" w:type="dxa"/>
              <w:end w:w="120" w:type="dxa"/>
            </w:tcMar>
          </w:tcPr>
          <w:p>
            <w:pPr>
              <w:spacing w:after="0"/>
            </w:pPr>
            <w:r>
              <w:rPr>
                <w:rFonts w:ascii="Calibri" w:hAnsi="Calibri"/>
                <w:b w:val="0"/>
                <w:i w:val="0"/>
                <w:color w:val="66716B"/>
                <w:sz w:val="19"/>
              </w:rPr>
              <w:t>Performance and exceptions are visible; thresholds trigger action.</w:t>
            </w:r>
          </w:p>
        </w:tc>
      </w:tr>
      <w:tr>
        <w:tc>
          <w:tcPr>
            <w:tcW w:type="dxa" w:w="2700"/>
            <w:tcMar>
              <w:top w:w="80" w:type="dxa"/>
              <w:start w:w="120" w:type="dxa"/>
              <w:bottom w:w="80" w:type="dxa"/>
              <w:end w:w="120" w:type="dxa"/>
            </w:tcMar>
          </w:tcPr>
          <w:p>
            <w:pPr>
              <w:spacing w:after="0"/>
            </w:pPr>
            <w:r>
              <w:rPr>
                <w:rFonts w:ascii="Calibri" w:hAnsi="Calibri"/>
                <w:b/>
                <w:i w:val="0"/>
                <w:color w:val="17211D"/>
                <w:sz w:val="19"/>
              </w:rPr>
              <w:t>5 — Adaptive</w:t>
            </w:r>
          </w:p>
        </w:tc>
        <w:tc>
          <w:tcPr>
            <w:tcW w:type="dxa" w:w="6660"/>
            <w:tcMar>
              <w:top w:w="80" w:type="dxa"/>
              <w:start w:w="120" w:type="dxa"/>
              <w:bottom w:w="80" w:type="dxa"/>
              <w:end w:w="120" w:type="dxa"/>
            </w:tcMar>
          </w:tcPr>
          <w:p>
            <w:pPr>
              <w:spacing w:after="0"/>
            </w:pPr>
            <w:r>
              <w:rPr>
                <w:rFonts w:ascii="Calibri" w:hAnsi="Calibri"/>
                <w:b w:val="0"/>
                <w:i w:val="0"/>
                <w:color w:val="66716B"/>
                <w:sz w:val="19"/>
              </w:rPr>
              <w:t>The control learns from evidence and changes through governed feedback.</w:t>
            </w:r>
          </w:p>
        </w:tc>
      </w:tr>
    </w:tbl>
    <w:p>
      <w:pPr>
        <w:spacing w:after="0"/>
      </w:pPr>
    </w:p>
    <w:p>
      <w:r>
        <w:br w:type="page"/>
      </w:r>
    </w:p>
    <w:p>
      <w:pPr>
        <w:spacing w:before="0" w:after="100"/>
      </w:pPr>
      <w:r>
        <w:rPr>
          <w:rFonts w:ascii="Calibri" w:hAnsi="Calibri"/>
          <w:b/>
          <w:i w:val="0"/>
          <w:color w:val="738125"/>
          <w:sz w:val="17"/>
        </w:rPr>
        <w:t>TOOL 01</w:t>
      </w:r>
    </w:p>
    <w:p>
      <w:pPr>
        <w:pStyle w:val="Heading1"/>
      </w:pPr>
      <w:r>
        <w:t>Payment Transparency Readiness Assessment</w:t>
      </w:r>
    </w:p>
    <w:p>
      <w:r>
        <w:t>Test whether payment data can support enforceable transparency and earlier financial-crime decisions.</w:t>
      </w:r>
    </w:p>
    <w:p>
      <w:r>
        <w:rPr>
          <w:rFonts w:ascii="Calibri" w:hAnsi="Calibri"/>
          <w:b/>
          <w:i w:val="0"/>
          <w:color w:val="738125"/>
          <w:sz w:val="20"/>
        </w:rPr>
        <w:t xml:space="preserve">Use when: </w:t>
      </w:r>
      <w:r>
        <w:rPr>
          <w:rFonts w:ascii="Calibri" w:hAnsi="Calibri"/>
          <w:b w:val="0"/>
          <w:i w:val="0"/>
          <w:color w:val="66716B"/>
          <w:sz w:val="20"/>
        </w:rPr>
        <w:t>Preparing for richer structured messages, ISO 20022, virtual-account complexity or cross-border payment growth.</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Identity integrity</w:t>
            </w:r>
          </w:p>
        </w:tc>
        <w:tc>
          <w:tcPr>
            <w:tcW w:type="dxa" w:w="6660"/>
            <w:tcMar>
              <w:top w:w="80" w:type="dxa"/>
              <w:start w:w="120" w:type="dxa"/>
              <w:bottom w:w="80" w:type="dxa"/>
              <w:end w:w="120" w:type="dxa"/>
            </w:tcMar>
          </w:tcPr>
          <w:p>
            <w:pPr>
              <w:spacing w:after="0"/>
            </w:pPr>
            <w:r>
              <w:rPr>
                <w:rFonts w:ascii="Calibri" w:hAnsi="Calibri"/>
                <w:b w:val="0"/>
                <w:i w:val="0"/>
                <w:color w:val="66716B"/>
                <w:sz w:val="19"/>
              </w:rPr>
              <w:t>Are originator, beneficiary and relevant intermediaries represented as structured, attributable data rather than free text?  Score: ___  Evidence: 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Purpose</w:t>
            </w:r>
          </w:p>
        </w:tc>
        <w:tc>
          <w:tcPr>
            <w:tcW w:type="dxa" w:w="6660"/>
            <w:tcMar>
              <w:top w:w="80" w:type="dxa"/>
              <w:start w:w="120" w:type="dxa"/>
              <w:bottom w:w="80" w:type="dxa"/>
              <w:end w:w="120" w:type="dxa"/>
            </w:tcMar>
          </w:tcPr>
          <w:p>
            <w:pPr>
              <w:spacing w:after="0"/>
            </w:pPr>
            <w:r>
              <w:rPr>
                <w:rFonts w:ascii="Calibri" w:hAnsi="Calibri"/>
                <w:b w:val="0"/>
                <w:i w:val="0"/>
                <w:color w:val="66716B"/>
                <w:sz w:val="19"/>
              </w:rPr>
              <w:t>Can the institution explain the commercial or personal purpose of the payment and identify when the narrative conflicts with behavior?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Context</w:t>
            </w:r>
          </w:p>
        </w:tc>
        <w:tc>
          <w:tcPr>
            <w:tcW w:type="dxa" w:w="6660"/>
            <w:tcMar>
              <w:top w:w="80" w:type="dxa"/>
              <w:start w:w="120" w:type="dxa"/>
              <w:bottom w:w="80" w:type="dxa"/>
              <w:end w:w="120" w:type="dxa"/>
            </w:tcMar>
          </w:tcPr>
          <w:p>
            <w:pPr>
              <w:spacing w:after="0"/>
            </w:pPr>
            <w:r>
              <w:rPr>
                <w:rFonts w:ascii="Calibri" w:hAnsi="Calibri"/>
                <w:b w:val="0"/>
                <w:i w:val="0"/>
                <w:color w:val="66716B"/>
                <w:sz w:val="19"/>
              </w:rPr>
              <w:t>Do customer, account, corridor, counterparty and historical signals travel into the decision?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Data continuity</w:t>
            </w:r>
          </w:p>
        </w:tc>
        <w:tc>
          <w:tcPr>
            <w:tcW w:type="dxa" w:w="6660"/>
            <w:tcMar>
              <w:top w:w="80" w:type="dxa"/>
              <w:start w:w="120" w:type="dxa"/>
              <w:bottom w:w="80" w:type="dxa"/>
              <w:end w:w="120" w:type="dxa"/>
            </w:tcMar>
          </w:tcPr>
          <w:p>
            <w:pPr>
              <w:spacing w:after="0"/>
            </w:pPr>
            <w:r>
              <w:rPr>
                <w:rFonts w:ascii="Calibri" w:hAnsi="Calibri"/>
                <w:b w:val="0"/>
                <w:i w:val="0"/>
                <w:color w:val="66716B"/>
                <w:sz w:val="19"/>
              </w:rPr>
              <w:t>What material information is lost, truncated or transformed between initiation, routing and settlement?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Virtual accounts</w:t>
            </w:r>
          </w:p>
        </w:tc>
        <w:tc>
          <w:tcPr>
            <w:tcW w:type="dxa" w:w="6660"/>
            <w:tcMar>
              <w:top w:w="80" w:type="dxa"/>
              <w:start w:w="120" w:type="dxa"/>
              <w:bottom w:w="80" w:type="dxa"/>
              <w:end w:w="120" w:type="dxa"/>
            </w:tcMar>
          </w:tcPr>
          <w:p>
            <w:pPr>
              <w:spacing w:after="0"/>
            </w:pPr>
            <w:r>
              <w:rPr>
                <w:rFonts w:ascii="Calibri" w:hAnsi="Calibri"/>
                <w:b w:val="0"/>
                <w:i w:val="0"/>
                <w:color w:val="66716B"/>
                <w:sz w:val="19"/>
              </w:rPr>
              <w:t>Can the issued identifier be reliably linked to the underlying customer, owner, use case and responsible institution?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Control placement</w:t>
            </w:r>
          </w:p>
        </w:tc>
        <w:tc>
          <w:tcPr>
            <w:tcW w:type="dxa" w:w="6660"/>
            <w:tcMar>
              <w:top w:w="80" w:type="dxa"/>
              <w:start w:w="120" w:type="dxa"/>
              <w:bottom w:w="80" w:type="dxa"/>
              <w:end w:w="120" w:type="dxa"/>
            </w:tcMar>
          </w:tcPr>
          <w:p>
            <w:pPr>
              <w:spacing w:after="0"/>
            </w:pPr>
            <w:r>
              <w:rPr>
                <w:rFonts w:ascii="Calibri" w:hAnsi="Calibri"/>
                <w:b w:val="0"/>
                <w:i w:val="0"/>
                <w:color w:val="66716B"/>
                <w:sz w:val="19"/>
              </w:rPr>
              <w:t>Which risks can be addressed before execution, and which still depend on downstream monitoring?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Exception governance</w:t>
            </w:r>
          </w:p>
        </w:tc>
        <w:tc>
          <w:tcPr>
            <w:tcW w:type="dxa" w:w="6660"/>
            <w:tcMar>
              <w:top w:w="80" w:type="dxa"/>
              <w:start w:w="120" w:type="dxa"/>
              <w:bottom w:w="80" w:type="dxa"/>
              <w:end w:w="120" w:type="dxa"/>
            </w:tcMar>
          </w:tcPr>
          <w:p>
            <w:pPr>
              <w:spacing w:after="0"/>
            </w:pPr>
            <w:r>
              <w:rPr>
                <w:rFonts w:ascii="Calibri" w:hAnsi="Calibri"/>
                <w:b w:val="0"/>
                <w:i w:val="0"/>
                <w:color w:val="66716B"/>
                <w:sz w:val="19"/>
              </w:rPr>
              <w:t>Are missing, malformed and inconsistent fields measured, assigned and remediated?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Regulatory traceability</w:t>
            </w:r>
          </w:p>
        </w:tc>
        <w:tc>
          <w:tcPr>
            <w:tcW w:type="dxa" w:w="6660"/>
            <w:tcMar>
              <w:top w:w="80" w:type="dxa"/>
              <w:start w:w="120" w:type="dxa"/>
              <w:bottom w:w="80" w:type="dxa"/>
              <w:end w:w="120" w:type="dxa"/>
            </w:tcMar>
          </w:tcPr>
          <w:p>
            <w:pPr>
              <w:spacing w:after="0"/>
            </w:pPr>
            <w:r>
              <w:rPr>
                <w:rFonts w:ascii="Calibri" w:hAnsi="Calibri"/>
                <w:b w:val="0"/>
                <w:i w:val="0"/>
                <w:color w:val="66716B"/>
                <w:sz w:val="19"/>
              </w:rPr>
              <w:t>Can the organization evidence how its data and controls meet applicable transparency requirements?  Score: ___</w:t>
            </w:r>
          </w:p>
        </w:tc>
      </w:tr>
    </w:tbl>
    <w:p>
      <w:pPr>
        <w:spacing w:after="0"/>
      </w:pPr>
    </w:p>
    <w:p>
      <w:pPr>
        <w:pStyle w:val="Heading2"/>
      </w:pPr>
      <w:r>
        <w:t>Decision</w:t>
      </w:r>
    </w:p>
    <w:p>
      <w:r>
        <w:t>Top three weaknesses: ____________________   Named owner: ____________________   Reassessment date: ____________________</w:t>
      </w:r>
    </w:p>
    <w:p>
      <w:r>
        <w:br w:type="page"/>
      </w:r>
    </w:p>
    <w:p>
      <w:pPr>
        <w:spacing w:before="0" w:after="100"/>
      </w:pPr>
      <w:r>
        <w:rPr>
          <w:rFonts w:ascii="Calibri" w:hAnsi="Calibri"/>
          <w:b/>
          <w:i w:val="0"/>
          <w:color w:val="738125"/>
          <w:sz w:val="17"/>
        </w:rPr>
        <w:t>TOOL 02</w:t>
      </w:r>
    </w:p>
    <w:p>
      <w:pPr>
        <w:pStyle w:val="Heading1"/>
      </w:pPr>
      <w:r>
        <w:t>AI Governance Checklist</w:t>
      </w:r>
    </w:p>
    <w:p>
      <w:r>
        <w:t>Put purpose, authority, evidence and accountability around AI before the system earns trust.</w:t>
      </w:r>
    </w:p>
    <w:p>
      <w:r>
        <w:rPr>
          <w:rFonts w:ascii="Calibri" w:hAnsi="Calibri"/>
          <w:b/>
          <w:i w:val="0"/>
          <w:color w:val="738125"/>
          <w:sz w:val="20"/>
        </w:rPr>
        <w:t xml:space="preserve">Use when: </w:t>
      </w:r>
      <w:r>
        <w:rPr>
          <w:rFonts w:ascii="Calibri" w:hAnsi="Calibri"/>
          <w:b w:val="0"/>
          <w:i w:val="0"/>
          <w:color w:val="66716B"/>
          <w:sz w:val="20"/>
        </w:rPr>
        <w:t>Approving copilots, decision-support models or agents that can call tools and affect regulated workflows.</w:t>
      </w:r>
    </w:p>
    <w:p>
      <w:pPr>
        <w:pStyle w:val="ListBullet"/>
      </w:pPr>
      <w:r>
        <w:t>Purpose is specific enough to test, and prohibited uses are explicit.</w:t>
      </w:r>
    </w:p>
    <w:p>
      <w:pPr>
        <w:pStyle w:val="ListBullet"/>
      </w:pPr>
      <w:r>
        <w:t>Training, retrieval and operational data have documented provenance and permitted use.</w:t>
      </w:r>
    </w:p>
    <w:p>
      <w:pPr>
        <w:pStyle w:val="ListBullet"/>
      </w:pPr>
      <w:r>
        <w:t>The model or agent has a named business owner and independent challenge appropriate to impact.</w:t>
      </w:r>
    </w:p>
    <w:p>
      <w:pPr>
        <w:pStyle w:val="ListBullet"/>
      </w:pPr>
      <w:r>
        <w:t>Authority is graduated: recommend, prepare, execute with approval, or execute autonomously.</w:t>
      </w:r>
    </w:p>
    <w:p>
      <w:pPr>
        <w:pStyle w:val="ListBullet"/>
      </w:pPr>
      <w:r>
        <w:t>Human review is meaningful, not a ceremonial click after the action is effectively complete.</w:t>
      </w:r>
    </w:p>
    <w:p>
      <w:pPr>
        <w:pStyle w:val="ListBullet"/>
      </w:pPr>
      <w:r>
        <w:t>Outputs, tool calls, prompts, versions and overrides produce reproducible evidence.</w:t>
      </w:r>
    </w:p>
    <w:p>
      <w:pPr>
        <w:pStyle w:val="ListBullet"/>
      </w:pPr>
      <w:r>
        <w:t>Testing covers accuracy, bias, hallucination, prompt injection, data leakage and adversarial manipulation.</w:t>
      </w:r>
    </w:p>
    <w:p>
      <w:pPr>
        <w:pStyle w:val="ListBullet"/>
      </w:pPr>
      <w:r>
        <w:t>Monitoring distinguishes model drift, workflow failure and changes in the population being assessed.</w:t>
      </w:r>
    </w:p>
    <w:p>
      <w:pPr>
        <w:pStyle w:val="ListBullet"/>
      </w:pPr>
      <w:r>
        <w:t>Incident response includes containment, rollback, notification and learning.</w:t>
      </w:r>
    </w:p>
    <w:p>
      <w:pPr>
        <w:pStyle w:val="ListBullet"/>
      </w:pPr>
      <w:r>
        <w:t>Third-party concentration, exit and model-change risk are understood.</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Highest-consequence action</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Human approval point</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Evidence retained</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Stop / rollback trigger</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Accountable executive</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bl>
    <w:p>
      <w:pPr>
        <w:spacing w:after="0"/>
      </w:pPr>
    </w:p>
    <w:p>
      <w:r>
        <w:br w:type="page"/>
      </w:r>
    </w:p>
    <w:p>
      <w:pPr>
        <w:spacing w:before="0" w:after="100"/>
      </w:pPr>
      <w:r>
        <w:rPr>
          <w:rFonts w:ascii="Calibri" w:hAnsi="Calibri"/>
          <w:b/>
          <w:i w:val="0"/>
          <w:color w:val="738125"/>
          <w:sz w:val="17"/>
        </w:rPr>
        <w:t>TOOL 03</w:t>
      </w:r>
    </w:p>
    <w:p>
      <w:pPr>
        <w:pStyle w:val="Heading1"/>
      </w:pPr>
      <w:r>
        <w:t>Model Drift Dashboard</w:t>
      </w:r>
    </w:p>
    <w:p>
      <w:r>
        <w:t>Make model health visible as a set of decisions, not a collection of interesting charts.</w:t>
      </w:r>
    </w:p>
    <w:p>
      <w:r>
        <w:rPr>
          <w:rFonts w:ascii="Calibri" w:hAnsi="Calibri"/>
          <w:b/>
          <w:i w:val="0"/>
          <w:color w:val="738125"/>
          <w:sz w:val="20"/>
        </w:rPr>
        <w:t xml:space="preserve">Use when: </w:t>
      </w:r>
      <w:r>
        <w:rPr>
          <w:rFonts w:ascii="Calibri" w:hAnsi="Calibri"/>
          <w:b w:val="0"/>
          <w:i w:val="0"/>
          <w:color w:val="66716B"/>
          <w:sz w:val="20"/>
        </w:rPr>
        <w:t>Governing transaction monitoring, fraud, screening, customer-risk or prioritization models.</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Data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Missingness, schema changes, field distributions, latency. Signal: ______ Threshold: ______ Action: ______ Owner: 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Population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Customer, product, geography, corridor and channel mix. Signal: ______ Threshold: ______ Action: 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Concept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Relationship between behavior and risk outcome. Evidence: typologies, cases, investigations, external intelligence.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Performance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Precision, recall proxies, coverage, stability, outcome quality and segment performance.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Operational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Backlog, aging, override rates, investigator behavior, quality findings and control workarounds.</w:t>
            </w:r>
          </w:p>
        </w:tc>
      </w:tr>
      <w:tr>
        <w:tc>
          <w:tcPr>
            <w:tcW w:type="dxa" w:w="2700"/>
            <w:tcMar>
              <w:top w:w="80" w:type="dxa"/>
              <w:start w:w="120" w:type="dxa"/>
              <w:bottom w:w="80" w:type="dxa"/>
              <w:end w:w="120" w:type="dxa"/>
            </w:tcMar>
          </w:tcPr>
          <w:p>
            <w:pPr>
              <w:spacing w:after="0"/>
            </w:pPr>
            <w:r>
              <w:rPr>
                <w:rFonts w:ascii="Calibri" w:hAnsi="Calibri"/>
                <w:b/>
                <w:i w:val="0"/>
                <w:color w:val="17211D"/>
                <w:sz w:val="19"/>
              </w:rPr>
              <w:t>Adversarial drift</w:t>
            </w:r>
          </w:p>
        </w:tc>
        <w:tc>
          <w:tcPr>
            <w:tcW w:type="dxa" w:w="6660"/>
            <w:tcMar>
              <w:top w:w="80" w:type="dxa"/>
              <w:start w:w="120" w:type="dxa"/>
              <w:bottom w:w="80" w:type="dxa"/>
              <w:end w:w="120" w:type="dxa"/>
            </w:tcMar>
          </w:tcPr>
          <w:p>
            <w:pPr>
              <w:spacing w:after="0"/>
            </w:pPr>
            <w:r>
              <w:rPr>
                <w:rFonts w:ascii="Calibri" w:hAnsi="Calibri"/>
                <w:b w:val="0"/>
                <w:i w:val="0"/>
                <w:color w:val="66716B"/>
                <w:sz w:val="19"/>
              </w:rPr>
              <w:t>Patterns suggesting probing, mimicry, coordinated evasion or synthetic evidence.</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Every metric should answer: what decision changes when this signal crosses its threshold?</w:t>
            </w:r>
          </w:p>
        </w:tc>
      </w:tr>
    </w:tbl>
    <w:p>
      <w:pPr>
        <w:spacing w:after="0"/>
      </w:pPr>
    </w:p>
    <w:p>
      <w:r>
        <w:br w:type="page"/>
      </w:r>
    </w:p>
    <w:p>
      <w:pPr>
        <w:spacing w:before="0" w:after="100"/>
      </w:pPr>
      <w:r>
        <w:rPr>
          <w:rFonts w:ascii="Calibri" w:hAnsi="Calibri"/>
          <w:b/>
          <w:i w:val="0"/>
          <w:color w:val="738125"/>
          <w:sz w:val="17"/>
        </w:rPr>
        <w:t>TOOL 04</w:t>
      </w:r>
    </w:p>
    <w:p>
      <w:pPr>
        <w:pStyle w:val="Heading1"/>
      </w:pPr>
      <w:r>
        <w:t>Compliance Transformation Scorecard</w:t>
      </w:r>
    </w:p>
    <w:p>
      <w:r>
        <w:t>Separate technology implementation from actual transformation.</w:t>
      </w:r>
    </w:p>
    <w:p>
      <w:r>
        <w:rPr>
          <w:rFonts w:ascii="Calibri" w:hAnsi="Calibri"/>
          <w:b/>
          <w:i w:val="0"/>
          <w:color w:val="738125"/>
          <w:sz w:val="20"/>
        </w:rPr>
        <w:t xml:space="preserve">Use when: </w:t>
      </w:r>
      <w:r>
        <w:rPr>
          <w:rFonts w:ascii="Calibri" w:hAnsi="Calibri"/>
          <w:b w:val="0"/>
          <w:i w:val="0"/>
          <w:color w:val="66716B"/>
          <w:sz w:val="20"/>
        </w:rPr>
        <w:t>Selecting a platform, planning a migration, assessing a troubled program or preparing for scale.</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Data readiness</w:t>
            </w:r>
          </w:p>
        </w:tc>
        <w:tc>
          <w:tcPr>
            <w:tcW w:type="dxa" w:w="6660"/>
            <w:tcMar>
              <w:top w:w="80" w:type="dxa"/>
              <w:start w:w="120" w:type="dxa"/>
              <w:bottom w:w="80" w:type="dxa"/>
              <w:end w:w="120" w:type="dxa"/>
            </w:tcMar>
          </w:tcPr>
          <w:p>
            <w:pPr>
              <w:spacing w:after="0"/>
            </w:pPr>
            <w:r>
              <w:rPr>
                <w:rFonts w:ascii="Calibri" w:hAnsi="Calibri"/>
                <w:b w:val="0"/>
                <w:i w:val="0"/>
                <w:color w:val="66716B"/>
                <w:sz w:val="19"/>
              </w:rPr>
              <w:t>Quality, lineage, access, ownership and suitability for intended decisions.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Process redesign</w:t>
            </w:r>
          </w:p>
        </w:tc>
        <w:tc>
          <w:tcPr>
            <w:tcW w:type="dxa" w:w="6660"/>
            <w:tcMar>
              <w:top w:w="80" w:type="dxa"/>
              <w:start w:w="120" w:type="dxa"/>
              <w:bottom w:w="80" w:type="dxa"/>
              <w:end w:w="120" w:type="dxa"/>
            </w:tcMar>
          </w:tcPr>
          <w:p>
            <w:pPr>
              <w:spacing w:after="0"/>
            </w:pPr>
            <w:r>
              <w:rPr>
                <w:rFonts w:ascii="Calibri" w:hAnsi="Calibri"/>
                <w:b w:val="0"/>
                <w:i w:val="0"/>
                <w:color w:val="66716B"/>
                <w:sz w:val="19"/>
              </w:rPr>
              <w:t>Legacy steps removed; handoffs, exceptions and controls designed end to end.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Model governance</w:t>
            </w:r>
          </w:p>
        </w:tc>
        <w:tc>
          <w:tcPr>
            <w:tcW w:type="dxa" w:w="6660"/>
            <w:tcMar>
              <w:top w:w="80" w:type="dxa"/>
              <w:start w:w="120" w:type="dxa"/>
              <w:bottom w:w="80" w:type="dxa"/>
              <w:end w:w="120" w:type="dxa"/>
            </w:tcMar>
          </w:tcPr>
          <w:p>
            <w:pPr>
              <w:spacing w:after="0"/>
            </w:pPr>
            <w:r>
              <w:rPr>
                <w:rFonts w:ascii="Calibri" w:hAnsi="Calibri"/>
                <w:b w:val="0"/>
                <w:i w:val="0"/>
                <w:color w:val="66716B"/>
                <w:sz w:val="19"/>
              </w:rPr>
              <w:t>Inventory, validation, monitoring, change control and evidence.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Adoption</w:t>
            </w:r>
          </w:p>
        </w:tc>
        <w:tc>
          <w:tcPr>
            <w:tcW w:type="dxa" w:w="6660"/>
            <w:tcMar>
              <w:top w:w="80" w:type="dxa"/>
              <w:start w:w="120" w:type="dxa"/>
              <w:bottom w:w="80" w:type="dxa"/>
              <w:end w:w="120" w:type="dxa"/>
            </w:tcMar>
          </w:tcPr>
          <w:p>
            <w:pPr>
              <w:spacing w:after="0"/>
            </w:pPr>
            <w:r>
              <w:rPr>
                <w:rFonts w:ascii="Calibri" w:hAnsi="Calibri"/>
                <w:b w:val="0"/>
                <w:i w:val="0"/>
                <w:color w:val="66716B"/>
                <w:sz w:val="19"/>
              </w:rPr>
              <w:t>Role-based training, workflow fit, behavior measures and feedback.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Operating ownership</w:t>
            </w:r>
          </w:p>
        </w:tc>
        <w:tc>
          <w:tcPr>
            <w:tcW w:type="dxa" w:w="6660"/>
            <w:tcMar>
              <w:top w:w="80" w:type="dxa"/>
              <w:start w:w="120" w:type="dxa"/>
              <w:bottom w:w="80" w:type="dxa"/>
              <w:end w:w="120" w:type="dxa"/>
            </w:tcMar>
          </w:tcPr>
          <w:p>
            <w:pPr>
              <w:spacing w:after="0"/>
            </w:pPr>
            <w:r>
              <w:rPr>
                <w:rFonts w:ascii="Calibri" w:hAnsi="Calibri"/>
                <w:b w:val="0"/>
                <w:i w:val="0"/>
                <w:color w:val="66716B"/>
                <w:sz w:val="19"/>
              </w:rPr>
              <w:t>Named permanent owner, decision rights and service model.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Coexistence</w:t>
            </w:r>
          </w:p>
        </w:tc>
        <w:tc>
          <w:tcPr>
            <w:tcW w:type="dxa" w:w="6660"/>
            <w:tcMar>
              <w:top w:w="80" w:type="dxa"/>
              <w:start w:w="120" w:type="dxa"/>
              <w:bottom w:w="80" w:type="dxa"/>
              <w:end w:w="120" w:type="dxa"/>
            </w:tcMar>
          </w:tcPr>
          <w:p>
            <w:pPr>
              <w:spacing w:after="0"/>
            </w:pPr>
            <w:r>
              <w:rPr>
                <w:rFonts w:ascii="Calibri" w:hAnsi="Calibri"/>
                <w:b w:val="0"/>
                <w:i w:val="0"/>
                <w:color w:val="66716B"/>
                <w:sz w:val="19"/>
              </w:rPr>
              <w:t>Old/new reconciliation, historical evidence, cutover and rollback controls.  Score: 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Outcome measures</w:t>
            </w:r>
          </w:p>
        </w:tc>
        <w:tc>
          <w:tcPr>
            <w:tcW w:type="dxa" w:w="6660"/>
            <w:tcMar>
              <w:top w:w="80" w:type="dxa"/>
              <w:start w:w="120" w:type="dxa"/>
              <w:bottom w:w="80" w:type="dxa"/>
              <w:end w:w="120" w:type="dxa"/>
            </w:tcMar>
          </w:tcPr>
          <w:p>
            <w:pPr>
              <w:spacing w:after="0"/>
            </w:pPr>
            <w:r>
              <w:rPr>
                <w:rFonts w:ascii="Calibri" w:hAnsi="Calibri"/>
                <w:b w:val="0"/>
                <w:i w:val="0"/>
                <w:color w:val="66716B"/>
                <w:sz w:val="19"/>
              </w:rPr>
              <w:t>Risk coverage, customer friction, time to adapt and decision quality.  Score: ___</w:t>
            </w:r>
          </w:p>
        </w:tc>
      </w:tr>
    </w:tbl>
    <w:p>
      <w:pPr>
        <w:spacing w:after="0"/>
      </w:pPr>
    </w:p>
    <w:p>
      <w:r>
        <w:t>Lowest-scoring dimension: ____________________   Decision required: ____________________   Owner: ____________________</w:t>
      </w:r>
    </w:p>
    <w:p>
      <w:r>
        <w:br w:type="page"/>
      </w:r>
    </w:p>
    <w:p>
      <w:pPr>
        <w:spacing w:before="0" w:after="100"/>
      </w:pPr>
      <w:r>
        <w:rPr>
          <w:rFonts w:ascii="Calibri" w:hAnsi="Calibri"/>
          <w:b/>
          <w:i w:val="0"/>
          <w:color w:val="738125"/>
          <w:sz w:val="17"/>
        </w:rPr>
        <w:t>TOOL 05</w:t>
      </w:r>
    </w:p>
    <w:p>
      <w:pPr>
        <w:pStyle w:val="Heading1"/>
      </w:pPr>
      <w:r>
        <w:t>Global Operating Model Diagnostic</w:t>
      </w:r>
    </w:p>
    <w:p>
      <w:r>
        <w:t>Place standards, capabilities and judgment where they create the strongest combination of consistency and speed.</w:t>
      </w:r>
    </w:p>
    <w:p>
      <w:r>
        <w:rPr>
          <w:rFonts w:ascii="Calibri" w:hAnsi="Calibri"/>
          <w:b/>
          <w:i w:val="0"/>
          <w:color w:val="738125"/>
          <w:sz w:val="20"/>
        </w:rPr>
        <w:t xml:space="preserve">Use when: </w:t>
      </w:r>
      <w:r>
        <w:rPr>
          <w:rFonts w:ascii="Calibri" w:hAnsi="Calibri"/>
          <w:b w:val="0"/>
          <w:i w:val="0"/>
          <w:color w:val="66716B"/>
          <w:sz w:val="20"/>
        </w:rPr>
        <w:t>Designing global hubs, follow-the-sun coverage or correcting excessive centralization.</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Standards</w:t>
            </w:r>
          </w:p>
        </w:tc>
        <w:tc>
          <w:tcPr>
            <w:tcW w:type="dxa" w:w="6660"/>
            <w:tcMar>
              <w:top w:w="80" w:type="dxa"/>
              <w:start w:w="120" w:type="dxa"/>
              <w:bottom w:w="80" w:type="dxa"/>
              <w:end w:w="120" w:type="dxa"/>
            </w:tcMar>
          </w:tcPr>
          <w:p>
            <w:pPr>
              <w:spacing w:after="0"/>
            </w:pPr>
            <w:r>
              <w:rPr>
                <w:rFonts w:ascii="Calibri" w:hAnsi="Calibri"/>
                <w:b w:val="0"/>
                <w:i w:val="0"/>
                <w:color w:val="66716B"/>
                <w:sz w:val="19"/>
              </w:rPr>
              <w:t>What must be globally consistent? Who owns the policy, data definitions and minimum outcome?</w:t>
            </w:r>
          </w:p>
        </w:tc>
      </w:tr>
      <w:tr>
        <w:tc>
          <w:tcPr>
            <w:tcW w:type="dxa" w:w="2700"/>
            <w:tcMar>
              <w:top w:w="80" w:type="dxa"/>
              <w:start w:w="120" w:type="dxa"/>
              <w:bottom w:w="80" w:type="dxa"/>
              <w:end w:w="120" w:type="dxa"/>
            </w:tcMar>
          </w:tcPr>
          <w:p>
            <w:pPr>
              <w:spacing w:after="0"/>
            </w:pPr>
            <w:r>
              <w:rPr>
                <w:rFonts w:ascii="Calibri" w:hAnsi="Calibri"/>
                <w:b/>
                <w:i w:val="0"/>
                <w:color w:val="17211D"/>
                <w:sz w:val="19"/>
              </w:rPr>
              <w:t>Local judgment</w:t>
            </w:r>
          </w:p>
        </w:tc>
        <w:tc>
          <w:tcPr>
            <w:tcW w:type="dxa" w:w="6660"/>
            <w:tcMar>
              <w:top w:w="80" w:type="dxa"/>
              <w:start w:w="120" w:type="dxa"/>
              <w:bottom w:w="80" w:type="dxa"/>
              <w:end w:w="120" w:type="dxa"/>
            </w:tcMar>
          </w:tcPr>
          <w:p>
            <w:pPr>
              <w:spacing w:after="0"/>
            </w:pPr>
            <w:r>
              <w:rPr>
                <w:rFonts w:ascii="Calibri" w:hAnsi="Calibri"/>
                <w:b w:val="0"/>
                <w:i w:val="0"/>
                <w:color w:val="66716B"/>
                <w:sz w:val="19"/>
              </w:rPr>
              <w:t>Which decisions require language, market, customer or regulatory proximity?</w:t>
            </w:r>
          </w:p>
        </w:tc>
      </w:tr>
      <w:tr>
        <w:tc>
          <w:tcPr>
            <w:tcW w:type="dxa" w:w="2700"/>
            <w:tcMar>
              <w:top w:w="80" w:type="dxa"/>
              <w:start w:w="120" w:type="dxa"/>
              <w:bottom w:w="80" w:type="dxa"/>
              <w:end w:w="120" w:type="dxa"/>
            </w:tcMar>
          </w:tcPr>
          <w:p>
            <w:pPr>
              <w:spacing w:after="0"/>
            </w:pPr>
            <w:r>
              <w:rPr>
                <w:rFonts w:ascii="Calibri" w:hAnsi="Calibri"/>
                <w:b/>
                <w:i w:val="0"/>
                <w:color w:val="17211D"/>
                <w:sz w:val="19"/>
              </w:rPr>
              <w:t>Shared capabilities</w:t>
            </w:r>
          </w:p>
        </w:tc>
        <w:tc>
          <w:tcPr>
            <w:tcW w:type="dxa" w:w="6660"/>
            <w:tcMar>
              <w:top w:w="80" w:type="dxa"/>
              <w:start w:w="120" w:type="dxa"/>
              <w:bottom w:w="80" w:type="dxa"/>
              <w:end w:w="120" w:type="dxa"/>
            </w:tcMar>
          </w:tcPr>
          <w:p>
            <w:pPr>
              <w:spacing w:after="0"/>
            </w:pPr>
            <w:r>
              <w:rPr>
                <w:rFonts w:ascii="Calibri" w:hAnsi="Calibri"/>
                <w:b w:val="0"/>
                <w:i w:val="0"/>
                <w:color w:val="66716B"/>
                <w:sz w:val="19"/>
              </w:rPr>
              <w:t>Which specialist skills should be global centers of excellence rather than duplicated everywhere?</w:t>
            </w:r>
          </w:p>
        </w:tc>
      </w:tr>
      <w:tr>
        <w:tc>
          <w:tcPr>
            <w:tcW w:type="dxa" w:w="2700"/>
            <w:tcMar>
              <w:top w:w="80" w:type="dxa"/>
              <w:start w:w="120" w:type="dxa"/>
              <w:bottom w:w="80" w:type="dxa"/>
              <w:end w:w="120" w:type="dxa"/>
            </w:tcMar>
          </w:tcPr>
          <w:p>
            <w:pPr>
              <w:spacing w:after="0"/>
            </w:pPr>
            <w:r>
              <w:rPr>
                <w:rFonts w:ascii="Calibri" w:hAnsi="Calibri"/>
                <w:b/>
                <w:i w:val="0"/>
                <w:color w:val="17211D"/>
                <w:sz w:val="19"/>
              </w:rPr>
              <w:t>Decision rights</w:t>
            </w:r>
          </w:p>
        </w:tc>
        <w:tc>
          <w:tcPr>
            <w:tcW w:type="dxa" w:w="6660"/>
            <w:tcMar>
              <w:top w:w="80" w:type="dxa"/>
              <w:start w:w="120" w:type="dxa"/>
              <w:bottom w:w="80" w:type="dxa"/>
              <w:end w:w="120" w:type="dxa"/>
            </w:tcMar>
          </w:tcPr>
          <w:p>
            <w:pPr>
              <w:spacing w:after="0"/>
            </w:pPr>
            <w:r>
              <w:rPr>
                <w:rFonts w:ascii="Calibri" w:hAnsi="Calibri"/>
                <w:b w:val="0"/>
                <w:i w:val="0"/>
                <w:color w:val="66716B"/>
                <w:sz w:val="19"/>
              </w:rPr>
              <w:t>Where can regions decide, where must they consult and what must escalate?</w:t>
            </w:r>
          </w:p>
        </w:tc>
      </w:tr>
      <w:tr>
        <w:tc>
          <w:tcPr>
            <w:tcW w:type="dxa" w:w="2700"/>
            <w:tcMar>
              <w:top w:w="80" w:type="dxa"/>
              <w:start w:w="120" w:type="dxa"/>
              <w:bottom w:w="80" w:type="dxa"/>
              <w:end w:w="120" w:type="dxa"/>
            </w:tcMar>
          </w:tcPr>
          <w:p>
            <w:pPr>
              <w:spacing w:after="0"/>
            </w:pPr>
            <w:r>
              <w:rPr>
                <w:rFonts w:ascii="Calibri" w:hAnsi="Calibri"/>
                <w:b/>
                <w:i w:val="0"/>
                <w:color w:val="17211D"/>
                <w:sz w:val="19"/>
              </w:rPr>
              <w:t>Handoffs</w:t>
            </w:r>
          </w:p>
        </w:tc>
        <w:tc>
          <w:tcPr>
            <w:tcW w:type="dxa" w:w="6660"/>
            <w:tcMar>
              <w:top w:w="80" w:type="dxa"/>
              <w:start w:w="120" w:type="dxa"/>
              <w:bottom w:w="80" w:type="dxa"/>
              <w:end w:w="120" w:type="dxa"/>
            </w:tcMar>
          </w:tcPr>
          <w:p>
            <w:pPr>
              <w:spacing w:after="0"/>
            </w:pPr>
            <w:r>
              <w:rPr>
                <w:rFonts w:ascii="Calibri" w:hAnsi="Calibri"/>
                <w:b w:val="0"/>
                <w:i w:val="0"/>
                <w:color w:val="66716B"/>
                <w:sz w:val="19"/>
              </w:rPr>
              <w:t>What evidence must travel with work across time zones, and who owns it during transition?</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Concentration</w:t>
            </w:r>
          </w:p>
        </w:tc>
        <w:tc>
          <w:tcPr>
            <w:tcW w:type="dxa" w:w="6660"/>
            <w:tcMar>
              <w:top w:w="80" w:type="dxa"/>
              <w:start w:w="120" w:type="dxa"/>
              <w:bottom w:w="80" w:type="dxa"/>
              <w:end w:w="120" w:type="dxa"/>
            </w:tcMar>
          </w:tcPr>
          <w:p>
            <w:pPr>
              <w:spacing w:after="0"/>
            </w:pPr>
            <w:r>
              <w:rPr>
                <w:rFonts w:ascii="Calibri" w:hAnsi="Calibri"/>
                <w:b w:val="0"/>
                <w:i w:val="0"/>
                <w:color w:val="66716B"/>
                <w:sz w:val="19"/>
              </w:rPr>
              <w:t>Which people, locations, vendors or datasets create single points of failure?</w:t>
            </w:r>
          </w:p>
        </w:tc>
      </w:tr>
      <w:tr>
        <w:tc>
          <w:tcPr>
            <w:tcW w:type="dxa" w:w="2700"/>
            <w:tcMar>
              <w:top w:w="80" w:type="dxa"/>
              <w:start w:w="120" w:type="dxa"/>
              <w:bottom w:w="80" w:type="dxa"/>
              <w:end w:w="120" w:type="dxa"/>
            </w:tcMar>
          </w:tcPr>
          <w:p>
            <w:pPr>
              <w:spacing w:after="0"/>
            </w:pPr>
            <w:r>
              <w:rPr>
                <w:rFonts w:ascii="Calibri" w:hAnsi="Calibri"/>
                <w:b/>
                <w:i w:val="0"/>
                <w:color w:val="17211D"/>
                <w:sz w:val="19"/>
              </w:rPr>
              <w:t>Calibration</w:t>
            </w:r>
          </w:p>
        </w:tc>
        <w:tc>
          <w:tcPr>
            <w:tcW w:type="dxa" w:w="6660"/>
            <w:tcMar>
              <w:top w:w="80" w:type="dxa"/>
              <w:start w:w="120" w:type="dxa"/>
              <w:bottom w:w="80" w:type="dxa"/>
              <w:end w:w="120" w:type="dxa"/>
            </w:tcMar>
          </w:tcPr>
          <w:p>
            <w:pPr>
              <w:spacing w:after="0"/>
            </w:pPr>
            <w:r>
              <w:rPr>
                <w:rFonts w:ascii="Calibri" w:hAnsi="Calibri"/>
                <w:b w:val="0"/>
                <w:i w:val="0"/>
                <w:color w:val="66716B"/>
                <w:sz w:val="19"/>
              </w:rPr>
              <w:t>How are differences detected, debated and converted into shared learning?</w:t>
            </w:r>
          </w:p>
        </w:tc>
      </w:tr>
      <w:tr>
        <w:tc>
          <w:tcPr>
            <w:tcW w:type="dxa" w:w="2700"/>
            <w:tcMar>
              <w:top w:w="80" w:type="dxa"/>
              <w:start w:w="120" w:type="dxa"/>
              <w:bottom w:w="80" w:type="dxa"/>
              <w:end w:w="120" w:type="dxa"/>
            </w:tcMar>
          </w:tcPr>
          <w:p>
            <w:pPr>
              <w:spacing w:after="0"/>
            </w:pPr>
            <w:r>
              <w:rPr>
                <w:rFonts w:ascii="Calibri" w:hAnsi="Calibri"/>
                <w:b/>
                <w:i w:val="0"/>
                <w:color w:val="17211D"/>
                <w:sz w:val="19"/>
              </w:rPr>
              <w:t>Leadership depth</w:t>
            </w:r>
          </w:p>
        </w:tc>
        <w:tc>
          <w:tcPr>
            <w:tcW w:type="dxa" w:w="6660"/>
            <w:tcMar>
              <w:top w:w="80" w:type="dxa"/>
              <w:start w:w="120" w:type="dxa"/>
              <w:bottom w:w="80" w:type="dxa"/>
              <w:end w:w="120" w:type="dxa"/>
            </w:tcMar>
          </w:tcPr>
          <w:p>
            <w:pPr>
              <w:spacing w:after="0"/>
            </w:pPr>
            <w:r>
              <w:rPr>
                <w:rFonts w:ascii="Calibri" w:hAnsi="Calibri"/>
                <w:b w:val="0"/>
                <w:i w:val="0"/>
                <w:color w:val="66716B"/>
                <w:sz w:val="19"/>
              </w:rPr>
              <w:t>Can each hub lead and challenge, or is it only an execution location?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Centralize the standard. Distribute informed judgment. Connect the system through evidence.</w:t>
            </w:r>
          </w:p>
        </w:tc>
      </w:tr>
    </w:tbl>
    <w:p>
      <w:pPr>
        <w:spacing w:after="0"/>
      </w:pPr>
    </w:p>
    <w:p>
      <w:r>
        <w:br w:type="page"/>
      </w:r>
    </w:p>
    <w:p>
      <w:pPr>
        <w:spacing w:before="0" w:after="100"/>
      </w:pPr>
      <w:r>
        <w:rPr>
          <w:rFonts w:ascii="Calibri" w:hAnsi="Calibri"/>
          <w:b/>
          <w:i w:val="0"/>
          <w:color w:val="738125"/>
          <w:sz w:val="17"/>
        </w:rPr>
        <w:t>TOOL 06</w:t>
      </w:r>
    </w:p>
    <w:p>
      <w:pPr>
        <w:pStyle w:val="Heading1"/>
      </w:pPr>
      <w:r>
        <w:t>Board Questions for AI Agents</w:t>
      </w:r>
    </w:p>
    <w:p>
      <w:r>
        <w:t>Help directors challenge agentic systems at the level of consequence and accountability.</w:t>
      </w:r>
    </w:p>
    <w:p>
      <w:r>
        <w:rPr>
          <w:rFonts w:ascii="Calibri" w:hAnsi="Calibri"/>
          <w:b/>
          <w:i w:val="0"/>
          <w:color w:val="738125"/>
          <w:sz w:val="20"/>
        </w:rPr>
        <w:t xml:space="preserve">Use when: </w:t>
      </w:r>
      <w:r>
        <w:rPr>
          <w:rFonts w:ascii="Calibri" w:hAnsi="Calibri"/>
          <w:b w:val="0"/>
          <w:i w:val="0"/>
          <w:color w:val="66716B"/>
          <w:sz w:val="20"/>
        </w:rPr>
        <w:t>Board approval, risk committee oversight or a material expansion of agent authority.</w:t>
      </w:r>
    </w:p>
    <w:p>
      <w:pPr>
        <w:pStyle w:val="ListNumber"/>
      </w:pPr>
      <w:r>
        <w:t>What can the agent do—not merely recommend—and what is the highest-consequence action available to it?</w:t>
      </w:r>
    </w:p>
    <w:p>
      <w:pPr>
        <w:pStyle w:val="ListNumber"/>
      </w:pPr>
      <w:r>
        <w:t>Which decisions are reversible, and how quickly can the organization stop or roll back the system?</w:t>
      </w:r>
    </w:p>
    <w:p>
      <w:pPr>
        <w:pStyle w:val="ListNumber"/>
      </w:pPr>
      <w:r>
        <w:t>What evidence allows an independent reviewer to reproduce the agent’s reasoning, tool calls and actions?</w:t>
      </w:r>
    </w:p>
    <w:p>
      <w:pPr>
        <w:pStyle w:val="ListNumber"/>
      </w:pPr>
      <w:r>
        <w:t>Where does human approval occur, and is the reviewer given enough time and information to disagree?</w:t>
      </w:r>
    </w:p>
    <w:p>
      <w:pPr>
        <w:pStyle w:val="ListNumber"/>
      </w:pPr>
      <w:r>
        <w:t>How is the agent tested against manipulation, unexpected tool behavior, compromised data and adversarial users?</w:t>
      </w:r>
    </w:p>
    <w:p>
      <w:pPr>
        <w:pStyle w:val="ListNumber"/>
      </w:pPr>
      <w:r>
        <w:t>What changes would require reapproval: model, data source, tool, purpose, authority or market?</w:t>
      </w:r>
    </w:p>
    <w:p>
      <w:pPr>
        <w:pStyle w:val="ListNumber"/>
      </w:pPr>
      <w:r>
        <w:t>How will the board distinguish productivity gains from risk merely moved elsewhere?</w:t>
      </w:r>
    </w:p>
    <w:p>
      <w:pPr>
        <w:pStyle w:val="ListNumber"/>
      </w:pPr>
      <w:r>
        <w:t>Who is personally accountable when the agent follows its instructions and still causes harm?</w:t>
      </w:r>
    </w:p>
    <w:p>
      <w:pPr>
        <w:pStyle w:val="ListNumber"/>
      </w:pPr>
      <w:r>
        <w:t>What third parties or foundation models could create concentration, continuity or exit risk?</w:t>
      </w:r>
    </w:p>
    <w:p>
      <w:pPr>
        <w:pStyle w:val="ListNumber"/>
      </w:pPr>
      <w:r>
        <w:t>What incident would cause management to notify the board immediately?</w:t>
      </w:r>
    </w:p>
    <w:p>
      <w:r>
        <w:t>Board action / challenge: __________________________________________________________________________</w:t>
      </w:r>
    </w:p>
    <w:p>
      <w:r>
        <w:br w:type="page"/>
      </w:r>
    </w:p>
    <w:p>
      <w:pPr>
        <w:spacing w:before="0" w:after="100"/>
      </w:pPr>
      <w:r>
        <w:rPr>
          <w:rFonts w:ascii="Calibri" w:hAnsi="Calibri"/>
          <w:b/>
          <w:i w:val="0"/>
          <w:color w:val="738125"/>
          <w:sz w:val="17"/>
        </w:rPr>
        <w:t>TOOL 07</w:t>
      </w:r>
    </w:p>
    <w:p>
      <w:pPr>
        <w:pStyle w:val="Heading1"/>
      </w:pPr>
      <w:r>
        <w:t>30/60/90-Day Transformation Plan</w:t>
      </w:r>
    </w:p>
    <w:p>
      <w:r>
        <w:t>Create momentum without confusing speed with ungoverned activity.</w:t>
      </w:r>
    </w:p>
    <w:p>
      <w:r>
        <w:rPr>
          <w:rFonts w:ascii="Calibri" w:hAnsi="Calibri"/>
          <w:b/>
          <w:i w:val="0"/>
          <w:color w:val="738125"/>
          <w:sz w:val="20"/>
        </w:rPr>
        <w:t xml:space="preserve">Use when: </w:t>
      </w:r>
      <w:r>
        <w:rPr>
          <w:rFonts w:ascii="Calibri" w:hAnsi="Calibri"/>
          <w:b w:val="0"/>
          <w:i w:val="0"/>
          <w:color w:val="66716B"/>
          <w:sz w:val="20"/>
        </w:rPr>
        <w:t>Starting or resetting a compliance transformation.</w:t>
      </w:r>
    </w:p>
    <w:p>
      <w:pPr>
        <w:pStyle w:val="Heading2"/>
      </w:pPr>
      <w:r>
        <w:t>Days 1–30 · Establish the truth</w:t>
      </w:r>
    </w:p>
    <w:p>
      <w:pPr>
        <w:pStyle w:val="ListBullet"/>
      </w:pPr>
      <w:r>
        <w:t>Name the accountable executive, business owner and decision forum.</w:t>
      </w:r>
    </w:p>
    <w:p>
      <w:pPr>
        <w:pStyle w:val="ListBullet"/>
      </w:pPr>
      <w:r>
        <w:t>Baseline risk coverage, data quality, process performance, customer friction and operating pain.</w:t>
      </w:r>
    </w:p>
    <w:p>
      <w:pPr>
        <w:pStyle w:val="ListBullet"/>
      </w:pPr>
      <w:r>
        <w:t>Map material dependencies, legacy systems, manual work and current exceptions.</w:t>
      </w:r>
    </w:p>
    <w:p>
      <w:pPr>
        <w:pStyle w:val="ListBullet"/>
      </w:pPr>
      <w:r>
        <w:t>Choose one outcome that can be improved and evidenced within 90 days.</w:t>
      </w:r>
    </w:p>
    <w:p>
      <w:pPr>
        <w:pStyle w:val="Heading2"/>
      </w:pPr>
      <w:r>
        <w:t>Days 31–60 · Prove the change</w:t>
      </w:r>
    </w:p>
    <w:p>
      <w:pPr>
        <w:pStyle w:val="ListBullet"/>
      </w:pPr>
      <w:r>
        <w:t>Redesign the target process before automating it.</w:t>
      </w:r>
    </w:p>
    <w:p>
      <w:pPr>
        <w:pStyle w:val="ListBullet"/>
      </w:pPr>
      <w:r>
        <w:t>Test data, model and workflow assumptions with real users and representative cases.</w:t>
      </w:r>
    </w:p>
    <w:p>
      <w:pPr>
        <w:pStyle w:val="ListBullet"/>
      </w:pPr>
      <w:r>
        <w:t>Define coexistence, rollback, quality and incident controls.</w:t>
      </w:r>
    </w:p>
    <w:p>
      <w:pPr>
        <w:pStyle w:val="ListBullet"/>
      </w:pPr>
      <w:r>
        <w:t>Train the people who will own the capability—not only the implementation team.</w:t>
      </w:r>
    </w:p>
    <w:p>
      <w:pPr>
        <w:pStyle w:val="Heading2"/>
      </w:pPr>
      <w:r>
        <w:t>Days 61–90 · Govern the scale</w:t>
      </w:r>
    </w:p>
    <w:p>
      <w:pPr>
        <w:pStyle w:val="ListBullet"/>
      </w:pPr>
      <w:r>
        <w:t>Compare outcome evidence to the baseline and challenge unintended consequences.</w:t>
      </w:r>
    </w:p>
    <w:p>
      <w:pPr>
        <w:pStyle w:val="ListBullet"/>
      </w:pPr>
      <w:r>
        <w:t>Move ownership into the permanent operating model.</w:t>
      </w:r>
    </w:p>
    <w:p>
      <w:pPr>
        <w:pStyle w:val="ListBullet"/>
      </w:pPr>
      <w:r>
        <w:t>Approve the next scale decision with explicit thresholds and stop conditions.</w:t>
      </w:r>
    </w:p>
    <w:p>
      <w:pPr>
        <w:pStyle w:val="ListBullet"/>
      </w:pPr>
      <w:r>
        <w:t>Publish the learning: what changed, what did not and what the next review must test.</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90-day outcome</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Executive owner</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Evidence of improvement</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r>
        <w:tc>
          <w:tcPr>
            <w:tcW w:type="dxa" w:w="2700"/>
            <w:tcMar>
              <w:top w:w="80" w:type="dxa"/>
              <w:start w:w="120" w:type="dxa"/>
              <w:bottom w:w="80" w:type="dxa"/>
              <w:end w:w="120" w:type="dxa"/>
            </w:tcMar>
          </w:tcPr>
          <w:p>
            <w:pPr>
              <w:spacing w:after="0"/>
            </w:pPr>
            <w:r>
              <w:rPr>
                <w:rFonts w:ascii="Calibri" w:hAnsi="Calibri"/>
                <w:b/>
                <w:i w:val="0"/>
                <w:color w:val="17211D"/>
                <w:sz w:val="19"/>
              </w:rPr>
              <w:t>Scale / stop decision date</w:t>
            </w:r>
          </w:p>
        </w:tc>
        <w:tc>
          <w:tcPr>
            <w:tcW w:type="dxa" w:w="6660"/>
            <w:tcMar>
              <w:top w:w="80" w:type="dxa"/>
              <w:start w:w="120" w:type="dxa"/>
              <w:bottom w:w="80" w:type="dxa"/>
              <w:end w:w="120" w:type="dxa"/>
            </w:tcMar>
          </w:tcPr>
          <w:p>
            <w:pPr>
              <w:spacing w:after="0"/>
            </w:pPr>
            <w:r>
              <w:rPr>
                <w:rFonts w:ascii="Calibri" w:hAnsi="Calibri"/>
                <w:b w:val="0"/>
                <w:i w:val="0"/>
                <w:color w:val="66716B"/>
                <w:sz w:val="19"/>
              </w:rPr>
              <w:t>____________________________________________________________</w:t>
            </w:r>
          </w:p>
        </w:tc>
      </w:tr>
    </w:tbl>
    <w:p>
      <w:pPr>
        <w:spacing w:after="0"/>
      </w:pPr>
    </w:p>
    <w:p>
      <w:r>
        <w:br w:type="page"/>
      </w:r>
    </w:p>
    <w:p>
      <w:pPr>
        <w:spacing w:before="0" w:after="100"/>
      </w:pPr>
      <w:r>
        <w:rPr>
          <w:rFonts w:ascii="Calibri" w:hAnsi="Calibri"/>
          <w:b/>
          <w:i w:val="0"/>
          <w:color w:val="738125"/>
          <w:sz w:val="17"/>
        </w:rPr>
        <w:t>CLOSE</w:t>
      </w:r>
    </w:p>
    <w:p>
      <w:pPr>
        <w:pStyle w:val="Heading1"/>
      </w:pPr>
      <w:r>
        <w:t>The tool is the conversation it makes possible</w:t>
      </w:r>
    </w:p>
    <w:p>
      <w:r>
        <w:t>Adaptive compliance is not a product or a finish line. It is the capability to see change, interpret evidence, make accountable decisions and improve the control environment while risk is still moving.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Better compliance begins when the organization can change its mind for the right reason—and show its work.</w:t>
            </w:r>
          </w:p>
        </w:tc>
      </w:tr>
    </w:tbl>
    <w:p>
      <w:pPr>
        <w:spacing w:after="0"/>
      </w:pPr>
    </w:p>
    <w:p>
      <w:r>
        <w:t>More writing, tools and the eight-volume series: www.michealsheehy.com</w:t>
      </w:r>
    </w:p>
    <w:p>
      <w:r>
        <w:t>Contact: micheal@michealsheehy.com  ·  +1 (818) 397-8890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i w:val="0"/>
        <w:color w:val="66716B"/>
        <w:sz w:val="17"/>
      </w:rPr>
      <w:t xml:space="preserve">MICHEAL SHEEHY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16B"/>
        <w:sz w:val="17"/>
      </w:rPr>
      <w:t>ADAPTIVE COMPLIANCE PRACTICAL TOOLKIT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1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9272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9272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3812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