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17B2A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23.7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7ED375A9" w:rsidR="00CA00E1" w:rsidRDefault="000C3A65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 xml:space="preserve">Une suite est une liste infinie de nombres :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="00CA00E1" w:rsidRPr="00797D9C">
              <w:rPr>
                <w:rFonts w:eastAsiaTheme="minorEastAsia"/>
                <w:b/>
                <w:color w:val="002060"/>
              </w:rPr>
              <w:t>Définition</w:t>
            </w:r>
            <w:r w:rsidR="00CA00E1"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="00CA00E1"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CA00E1" w:rsidRPr="00797D9C">
              <w:rPr>
                <w:rFonts w:cs="Arial"/>
                <w:color w:val="002060"/>
              </w:rPr>
              <w:t xml:space="preserve">Une </w:t>
            </w:r>
            <w:r w:rsidR="00CA00E1"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="00CA00E1"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="00CA00E1"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="00CA00E1"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="00CA00E1"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5A027DED" w:rsidR="00C77059" w:rsidRPr="00797D9C" w:rsidRDefault="000D727F" w:rsidP="00025C9E">
      <w:pPr>
        <w:rPr>
          <w:rFonts w:eastAsiaTheme="minorEastAsia" w:cs="Arial"/>
          <w:color w:val="002060"/>
        </w:rPr>
      </w:pPr>
      <w:r w:rsidRPr="00797D9C">
        <w:rPr>
          <w:rFonts w:cs="Arial"/>
          <w:color w:val="002060"/>
        </w:rPr>
        <w:t>Une suite</w:t>
      </w:r>
      <w:r w:rsidR="005B2D37" w:rsidRPr="00797D9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u</m:t>
        </m:r>
      </m:oMath>
      <w:r w:rsidRPr="00797D9C">
        <w:rPr>
          <w:rFonts w:cs="Arial"/>
          <w:color w:val="002060"/>
        </w:rPr>
        <w:t xml:space="preserve"> associe </w:t>
      </w:r>
      <w:r w:rsidR="00025C9E" w:rsidRPr="00797D9C">
        <w:rPr>
          <w:rFonts w:cs="Arial"/>
          <w:color w:val="002060"/>
        </w:rPr>
        <w:t xml:space="preserve">à tout entier </w:t>
      </w:r>
      <m:oMath>
        <m:r>
          <w:rPr>
            <w:rFonts w:ascii="Cambria Math" w:hAnsi="Cambria Math" w:cs="Arial"/>
            <w:color w:val="002060"/>
          </w:rPr>
          <m:t>n</m:t>
        </m:r>
      </m:oMath>
      <w:r w:rsidR="00043B93" w:rsidRPr="00797D9C">
        <w:rPr>
          <w:rFonts w:cs="Arial"/>
          <w:color w:val="002060"/>
        </w:rPr>
        <w:t xml:space="preserve">, </w:t>
      </w:r>
      <w:r w:rsidR="009F58EF" w:rsidRPr="00797D9C">
        <w:rPr>
          <w:rFonts w:cs="Arial"/>
          <w:color w:val="002060"/>
        </w:rPr>
        <w:t xml:space="preserve">un réel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r w:rsidR="005F37FD" w:rsidRPr="00797D9C">
        <w:rPr>
          <w:rFonts w:eastAsiaTheme="minorEastAsia" w:cs="Arial"/>
          <w:color w:val="002060"/>
        </w:rPr>
        <w:t xml:space="preserve"> (au lieu de l’écriture</w:t>
      </w:r>
      <w:r w:rsidR="00DE79DB" w:rsidRPr="00797D9C">
        <w:rPr>
          <w:rFonts w:eastAsiaTheme="minorEastAsia" w:cs="Arial"/>
          <w:color w:val="002060"/>
        </w:rPr>
        <w:t xml:space="preserve"> habituelle</w:t>
      </w:r>
      <w:r w:rsidR="005F37FD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1018E" w:rsidRPr="00797D9C">
        <w:rPr>
          <w:rFonts w:eastAsiaTheme="minorEastAsia" w:cs="Arial"/>
          <w:color w:val="002060"/>
        </w:rPr>
        <w:br/>
        <w:t xml:space="preserve">On note la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parfois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ou juste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>.</w:t>
      </w:r>
      <w:r w:rsidR="008239AC">
        <w:rPr>
          <w:rFonts w:eastAsiaTheme="minorEastAsia" w:cs="Arial"/>
          <w:color w:val="002060"/>
        </w:rPr>
        <w:t xml:space="preserve"> Pour tout </w:t>
      </w:r>
      <m:oMath>
        <m:r>
          <w:rPr>
            <w:rFonts w:ascii="Cambria Math" w:eastAsiaTheme="minorEastAsia" w:hAnsi="Cambria Math" w:cs="Arial"/>
            <w:color w:val="002060"/>
          </w:rPr>
          <m:t>n</m:t>
        </m:r>
      </m:oMath>
      <w:r w:rsidR="008239AC">
        <w:rPr>
          <w:rFonts w:eastAsiaTheme="minorEastAsia" w:cs="Arial"/>
          <w:color w:val="00206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025C9E" w:rsidRPr="00797D9C">
        <w:rPr>
          <w:rFonts w:eastAsiaTheme="minorEastAsia" w:cs="Arial"/>
          <w:color w:val="002060"/>
        </w:rPr>
        <w:t xml:space="preserve"> est </w:t>
      </w:r>
      <w:r w:rsidR="004E49E8" w:rsidRPr="004E49E8">
        <w:rPr>
          <w:rFonts w:eastAsiaTheme="minorEastAsia" w:cs="Arial"/>
          <w:b/>
          <w:color w:val="002060"/>
        </w:rPr>
        <w:t>le</w:t>
      </w:r>
      <w:r w:rsidR="00025C9E" w:rsidRPr="00797D9C">
        <w:rPr>
          <w:rFonts w:eastAsiaTheme="minorEastAsia" w:cs="Arial"/>
          <w:color w:val="002060"/>
        </w:rPr>
        <w:t xml:space="preserve"> </w:t>
      </w:r>
      <w:r w:rsidR="00025C9E" w:rsidRPr="00797D9C">
        <w:rPr>
          <w:rFonts w:eastAsiaTheme="minorEastAsia" w:cs="Arial"/>
          <w:b/>
          <w:color w:val="002060"/>
        </w:rPr>
        <w:t xml:space="preserve">terme général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025C9E" w:rsidRPr="00797D9C">
        <w:rPr>
          <w:rFonts w:eastAsiaTheme="minorEastAsia" w:cs="Arial"/>
          <w:color w:val="002060"/>
        </w:rPr>
        <w:t xml:space="preserve"> de la suite.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</w:t>
      </w:r>
      <w:r w:rsidR="007C7B9A" w:rsidRPr="00797D9C">
        <w:rPr>
          <w:rFonts w:eastAsiaTheme="minorEastAsia" w:cs="Arial"/>
          <w:color w:val="002060"/>
        </w:rPr>
        <w:t xml:space="preserve">en général </w:t>
      </w:r>
      <w:r w:rsidR="0021018E" w:rsidRPr="00797D9C">
        <w:rPr>
          <w:rFonts w:eastAsiaTheme="minorEastAsia" w:cs="Arial"/>
          <w:color w:val="002060"/>
        </w:rPr>
        <w:t xml:space="preserve">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21018E" w:rsidRPr="00797D9C">
        <w:rPr>
          <w:rFonts w:eastAsiaTheme="minorEastAsia" w:cs="Arial"/>
          <w:color w:val="002060"/>
        </w:rPr>
        <w:t>fonction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p w14:paraId="421CC24D" w14:textId="22BB0026" w:rsidR="00025C9E" w:rsidRPr="00805A1C" w:rsidRDefault="001737B0" w:rsidP="00A77C40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(1;2;3;4;…</m:t>
        </m:r>
      </m:oMath>
      <w:r w:rsidR="006E4C9C">
        <w:rPr>
          <w:rFonts w:eastAsiaTheme="minorEastAsia" w:cs="Arial"/>
          <w:color w:val="E36C0A" w:themeColor="accent6" w:themeShade="BF"/>
        </w:rPr>
        <w:t xml:space="preserve">) est une suite.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-3;-4;-5;…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est une suite.  </w:t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n’est pas une suite.</w:t>
      </w:r>
      <w:r w:rsidR="00805A1C">
        <w:rPr>
          <w:rFonts w:eastAsiaTheme="minorEastAsia"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>
        <w:rPr>
          <w:rFonts w:cs="Arial"/>
          <w:color w:val="E36C0A" w:themeColor="accent6" w:themeShade="BF"/>
        </w:rPr>
        <w:t xml:space="preserve"> </w:t>
      </w:r>
      <w:r w:rsidR="00805A1C" w:rsidRPr="00797D9C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805A1C" w:rsidRPr="00797D9C">
        <w:rPr>
          <w:rFonts w:cs="Arial"/>
          <w:color w:val="E36C0A" w:themeColor="accent6" w:themeShade="BF"/>
        </w:rPr>
        <w:t xml:space="preserve"> définie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805A1C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805A1C" w:rsidRPr="00797D9C">
        <w:rPr>
          <w:rFonts w:cs="Arial"/>
          <w:color w:val="E36C0A" w:themeColor="accent6" w:themeShade="BF"/>
        </w:rPr>
        <w:t xml:space="preserve">. </w:t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805A1C" w:rsidRPr="00797D9C">
        <w:rPr>
          <w:rFonts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 w:rsidRPr="00797D9C">
        <w:rPr>
          <w:rFonts w:cs="Arial"/>
          <w:color w:val="E36C0A" w:themeColor="accent6" w:themeShade="BF"/>
        </w:rPr>
        <w:t xml:space="preserve">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805A1C" w:rsidRPr="00797D9C">
        <w:rPr>
          <w:rFonts w:cs="Arial"/>
          <w:color w:val="E36C0A" w:themeColor="accent6" w:themeShade="BF"/>
        </w:rPr>
        <w:t xml:space="preserve"> définie pour tout entier </w:t>
      </w:r>
      <m:oMath>
        <m:r>
          <w:rPr>
            <w:rFonts w:ascii="Cambria Math" w:hAnsi="Cambria Math" w:cs="Arial"/>
            <w:color w:val="E36C0A" w:themeColor="accent6" w:themeShade="BF"/>
          </w:rPr>
          <m:t>n≥6</m:t>
        </m:r>
      </m:oMath>
      <w:r w:rsidR="00805A1C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805A1C" w:rsidRPr="00797D9C">
        <w:rPr>
          <w:rFonts w:eastAsiaTheme="minorEastAsia" w:cs="Arial"/>
          <w:color w:val="E36C0A" w:themeColor="accent6" w:themeShade="BF"/>
        </w:rPr>
        <w:t>.</w:t>
      </w:r>
      <w:r w:rsidR="00805A1C" w:rsidRPr="00797D9C">
        <w:rPr>
          <w:rFonts w:cs="Arial"/>
          <w:color w:val="E36C0A" w:themeColor="accent6" w:themeShade="BF"/>
        </w:rPr>
        <w:t xml:space="preserve"> </w:t>
      </w:r>
      <w:r w:rsidR="00805A1C">
        <w:rPr>
          <w:rFonts w:cs="Arial"/>
          <w:color w:val="E36C0A" w:themeColor="accent6" w:themeShade="BF"/>
        </w:rPr>
        <w:t xml:space="preserve"> 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</m:oMath>
      <w:r w:rsidR="00A77C40">
        <w:rPr>
          <w:rFonts w:cs="Arial"/>
          <w:b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A77C40">
        <w:rPr>
          <w:rFonts w:cs="Arial"/>
          <w:b/>
          <w:color w:val="E36C0A" w:themeColor="accent6" w:themeShade="BF"/>
        </w:rPr>
        <w:t xml:space="preserve"> </w:t>
      </w:r>
      <w:r w:rsidR="00802CD0" w:rsidRPr="00797D9C">
        <w:rPr>
          <w:rFonts w:cs="Arial"/>
          <w:color w:val="E36C0A" w:themeColor="accent6" w:themeShade="BF"/>
        </w:rPr>
        <w:t xml:space="preserve">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et,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∈N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,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>.</w:t>
      </w:r>
      <w:r w:rsidR="00805A1C">
        <w:rPr>
          <w:rFonts w:eastAsiaTheme="minorEastAsia" w:cs="Arial"/>
          <w:color w:val="E36C0A" w:themeColor="accent6" w:themeShade="BF"/>
        </w:rPr>
        <w:br/>
      </w:r>
      <w:r w:rsidR="00805A1C" w:rsidRPr="00797D9C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n=0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c’est-à-dire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+15=-3</m:t>
        </m:r>
      </m:oMath>
      <w:r w:rsidR="00805A1C" w:rsidRPr="00797D9C">
        <w:rPr>
          <w:rFonts w:eastAsiaTheme="minorEastAsia" w:cs="Arial"/>
          <w:color w:val="E36C0A" w:themeColor="accent6" w:themeShade="BF"/>
        </w:rPr>
        <w:br/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n=1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c’est-à-dire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br/>
      </w:r>
      <w:r w:rsidR="00805A1C" w:rsidRPr="00B0006E">
        <w:rPr>
          <w:rFonts w:eastAsiaTheme="minorEastAsia" w:cs="Arial"/>
          <w:color w:val="E36C0A" w:themeColor="accent6" w:themeShade="BF"/>
        </w:rPr>
        <w:t xml:space="preserve">Pour calculer un terme, on doit connaître le précédent. </w:t>
      </w:r>
      <w:r w:rsidR="00805A1C">
        <w:rPr>
          <w:rFonts w:eastAsiaTheme="minorEastAsia" w:cs="Arial"/>
          <w:color w:val="E36C0A" w:themeColor="accent6" w:themeShade="BF"/>
        </w:rPr>
        <w:t xml:space="preserve">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-6;-3;6;33;…</m:t>
            </m:r>
          </m:e>
        </m:d>
      </m:oMath>
      <w:r w:rsidR="002F1B2A" w:rsidRPr="00617B2A">
        <w:rPr>
          <w:rFonts w:eastAsiaTheme="minorEastAsia" w:cs="Arial"/>
        </w:rPr>
        <w:br/>
      </w:r>
      <w:r w:rsidR="00805A1C" w:rsidRPr="006F3392">
        <w:rPr>
          <w:rFonts w:cs="Arial"/>
          <w:b/>
          <w:color w:val="E36C0A" w:themeColor="accent6" w:themeShade="BF"/>
        </w:rPr>
        <w:t xml:space="preserve">Remarque. </w:t>
      </w:r>
      <w:r w:rsidR="00805A1C" w:rsidRPr="00925CC0">
        <w:rPr>
          <w:rFonts w:cs="Arial"/>
          <w:color w:val="E36C0A" w:themeColor="accent6" w:themeShade="BF"/>
          <w:u w:val="single"/>
        </w:rPr>
        <w:t>Attention</w:t>
      </w:r>
      <w:r w:rsidR="00805A1C">
        <w:rPr>
          <w:rFonts w:cs="Arial"/>
          <w:color w:val="E36C0A" w:themeColor="accent6" w:themeShade="BF"/>
        </w:rPr>
        <w:t xml:space="preserve"> à ne </w:t>
      </w:r>
      <w:r w:rsidR="00805A1C" w:rsidRPr="006F3392">
        <w:rPr>
          <w:rFonts w:cs="Arial"/>
          <w:color w:val="E36C0A" w:themeColor="accent6" w:themeShade="BF"/>
        </w:rPr>
        <w:t xml:space="preserve">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805A1C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0C386245" w:rsidR="003772F3" w:rsidRDefault="009572AB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Pour représenter une suite d</w:t>
            </w:r>
            <w:r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(voir 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7FDFC8D4" w:rsidR="00FC177D" w:rsidRPr="00024D10" w:rsidRDefault="009572AB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 xml:space="preserve">(voir 2.) </w:t>
      </w:r>
      <w:r w:rsidRPr="006F3392">
        <w:rPr>
          <w:rFonts w:cs="Arial"/>
          <w:color w:val="C00000"/>
        </w:rPr>
        <w:t xml:space="preserve">on </w:t>
      </w:r>
      <w:r>
        <w:rPr>
          <w:rFonts w:cs="Arial"/>
          <w:color w:val="C00000"/>
        </w:rPr>
        <w:t xml:space="preserve">peut </w:t>
      </w:r>
      <w:r w:rsidRPr="006F3392">
        <w:rPr>
          <w:rFonts w:cs="Arial"/>
          <w:color w:val="C00000"/>
        </w:rPr>
        <w:t>construi</w:t>
      </w:r>
      <w:r>
        <w:rPr>
          <w:rFonts w:cs="Arial"/>
          <w:color w:val="C00000"/>
        </w:rPr>
        <w:t>re</w:t>
      </w:r>
      <w:r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4511D3">
        <w:rPr>
          <w:rFonts w:eastAsiaTheme="minorEastAsia" w:cs="Arial"/>
          <w:color w:val="C00000"/>
        </w:rPr>
        <w:br/>
      </w:r>
      <w:r w:rsidR="004511D3">
        <w:rPr>
          <w:rFonts w:eastAsiaTheme="minorEastAsia" w:cs="Arial"/>
          <w:noProof/>
        </w:rPr>
        <w:drawing>
          <wp:inline distT="0" distB="0" distL="0" distR="0" wp14:anchorId="32216AE5" wp14:editId="470E91E8">
            <wp:extent cx="6187627" cy="2153247"/>
            <wp:effectExtent l="0" t="0" r="0" b="0"/>
            <wp:docPr id="1362258492" name="Image 136225849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8492" name="Image 136225849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12" cy="21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002D018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monotone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elle est soit croissante, soit décroissante.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77777777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Définition.</w:t>
      </w:r>
      <w:r w:rsidRPr="00DD3108">
        <w:rPr>
          <w:rFonts w:cs="Arial"/>
          <w:color w:val="002060"/>
          <w:sz w:val="23"/>
          <w:szCs w:val="23"/>
        </w:rPr>
        <w:t xml:space="preserve"> Comme pour les fonctions, si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 xml:space="preserve">, ou </w:t>
      </w:r>
      <w:r w:rsidRPr="00DD3108">
        <w:rPr>
          <w:rFonts w:cs="Arial"/>
          <w:b/>
          <w:color w:val="002060"/>
          <w:sz w:val="23"/>
          <w:szCs w:val="23"/>
        </w:rPr>
        <w:t>strictement monotone</w:t>
      </w:r>
      <w:r w:rsidRPr="00DD3108">
        <w:rPr>
          <w:rFonts w:cs="Arial"/>
          <w:color w:val="002060"/>
          <w:sz w:val="23"/>
          <w:szCs w:val="23"/>
        </w:rPr>
        <w:t>.</w:t>
      </w:r>
    </w:p>
    <w:p w14:paraId="7A643745" w14:textId="190B1D1C" w:rsidR="00DE45CC" w:rsidRDefault="00091B7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>s</w:t>
      </w:r>
      <w:r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 xml:space="preserve"> </w:t>
      </w:r>
      <w:r w:rsidR="002E1C86" w:rsidRPr="00CB4E3E">
        <w:rPr>
          <w:rFonts w:cs="Arial"/>
          <w:color w:val="E36C0A" w:themeColor="accent6" w:themeShade="BF"/>
        </w:rPr>
        <w:t>•</w:t>
      </w:r>
      <w:r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) est une suite croissante (strictement).</w:t>
      </w:r>
      <w:r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1;3;5;5;5;6;8;8;10;11;…</m:t>
            </m:r>
          </m:e>
        </m:d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 xml:space="preserve"> est une suite croissante mais pas strictement croissante.</w:t>
      </w:r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(1;0;-1;-3;-10;…</m:t>
        </m:r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>) est une suite décroissante.</w:t>
      </w:r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(3;3;3;3;3;3;3;3;…</m:t>
        </m:r>
      </m:oMath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t>) est une suite constante.</w:t>
      </w:r>
      <w:r w:rsidR="00DE45CC" w:rsidRPr="00617B2A">
        <w:rPr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="00DE45CC"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br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+1&gt;0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, d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5F6FB670" w14:textId="1E8A53B2" w:rsidR="00025C9E" w:rsidRPr="000017F4" w:rsidRDefault="00332BAD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lastRenderedPageBreak/>
        <w:drawing>
          <wp:anchor distT="0" distB="0" distL="114300" distR="114300" simplePos="0" relativeHeight="251654144" behindDoc="1" locked="0" layoutInCell="1" allowOverlap="1" wp14:anchorId="57561A3C" wp14:editId="57C1FAC5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1568450" cy="2064385"/>
            <wp:effectExtent l="0" t="0" r="0" b="0"/>
            <wp:wrapTight wrapText="bothSides">
              <wp:wrapPolygon edited="0">
                <wp:start x="0" y="0"/>
                <wp:lineTo x="0" y="21328"/>
                <wp:lineTo x="21250" y="21328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7216" behindDoc="1" locked="0" layoutInCell="1" allowOverlap="1" wp14:anchorId="65C80BBA" wp14:editId="454360FD">
            <wp:simplePos x="0" y="0"/>
            <wp:positionH relativeFrom="column">
              <wp:posOffset>1860550</wp:posOffset>
            </wp:positionH>
            <wp:positionV relativeFrom="paragraph">
              <wp:posOffset>184150</wp:posOffset>
            </wp:positionV>
            <wp:extent cx="1849755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B6"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2336" behindDoc="1" locked="0" layoutInCell="1" allowOverlap="1" wp14:anchorId="3A7FCC46" wp14:editId="74B53A02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22371476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monotones,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0E8F26A0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proofErr w:type="spellStart"/>
            <w:r w:rsidRPr="000017F4">
              <w:rPr>
                <w:rFonts w:cs="Arial"/>
                <w:color w:val="002060"/>
                <w:szCs w:val="24"/>
              </w:rPr>
              <w:t>ssi</w:t>
            </w:r>
            <w:proofErr w:type="spellEnd"/>
            <w:r w:rsidRPr="000017F4">
              <w:rPr>
                <w:rFonts w:cs="Arial"/>
                <w:color w:val="002060"/>
                <w:szCs w:val="24"/>
              </w:rPr>
              <w:t xml:space="preserve">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arithmétique ssi </w:t>
            </w:r>
            <w:r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+r</m:t>
              </m:r>
            </m:oMath>
            <w:r w:rsidRPr="000017F4">
              <w:rPr>
                <w:rFonts w:cs="Arial"/>
                <w:color w:val="002060"/>
                <w:szCs w:val="24"/>
              </w:rPr>
              <w:t xml:space="preserve">.  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>
              <w:rPr>
                <w:rFonts w:eastAsiaTheme="minorEastAsia" w:cs="Arial"/>
                <w:color w:val="002060"/>
                <w:szCs w:val="24"/>
              </w:rPr>
              <w:t>est</w:t>
            </w:r>
            <w:proofErr w:type="gramEnd"/>
            <w:r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2E045216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4E5429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</w:t>
            </w:r>
            <w:proofErr w:type="gramStart"/>
            <w:r w:rsidR="00502AB4" w:rsidRPr="00135D0E">
              <w:rPr>
                <w:rFonts w:cs="Arial"/>
                <w:color w:val="C00000"/>
                <w:szCs w:val="24"/>
              </w:rPr>
              <w:t xml:space="preserve">   (</w:t>
            </w:r>
            <w:proofErr w:type="gramEnd"/>
            <w:r w:rsidR="00502AB4" w:rsidRPr="00135D0E">
              <w:rPr>
                <w:rFonts w:cs="Arial"/>
                <w:color w:val="C00000"/>
                <w:szCs w:val="24"/>
              </w:rPr>
              <w:t xml:space="preserve">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23F3408" w14:textId="244B48F5" w:rsidR="00025C9E" w:rsidRPr="00A77C40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08ED590C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proofErr w:type="spellStart"/>
            <w:r w:rsidRPr="000017F4">
              <w:rPr>
                <w:rFonts w:cs="Arial"/>
                <w:color w:val="002060"/>
                <w:szCs w:val="24"/>
              </w:rPr>
              <w:t>ssi</w:t>
            </w:r>
            <w:proofErr w:type="spellEnd"/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105D27">
              <w:rPr>
                <w:rFonts w:cs="Arial"/>
                <w:b/>
                <w:color w:val="002060"/>
              </w:rPr>
              <w:br/>
            </w:r>
            <w:r w:rsidR="00C90BEA">
              <w:rPr>
                <w:rFonts w:cs="Arial"/>
                <w:color w:val="002060"/>
                <w:szCs w:val="24"/>
              </w:rPr>
              <w:t xml:space="preserve">Plus précisément,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C90BEA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C90BEA" w:rsidRPr="00C90BEA">
              <w:rPr>
                <w:rFonts w:eastAsiaTheme="minorEastAsia" w:cs="Arial"/>
                <w:color w:val="002060"/>
                <w:szCs w:val="24"/>
              </w:rPr>
              <w:t>est</w:t>
            </w:r>
            <w:r w:rsidR="00105D27" w:rsidRPr="00C90BEA">
              <w:rPr>
                <w:rFonts w:cs="Arial"/>
                <w:color w:val="002060"/>
              </w:rPr>
              <w:t xml:space="preserve"> 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on ait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.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3F84ECD5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7A22D62A" w:rsidR="00025C9E" w:rsidRPr="00A77838" w:rsidRDefault="007D4433" w:rsidP="00906E0B">
      <w:pPr>
        <w:tabs>
          <w:tab w:val="left" w:pos="1140"/>
        </w:tabs>
        <w:rPr>
          <w:color w:val="E36C0A" w:themeColor="accent6" w:themeShade="BF"/>
        </w:rPr>
      </w:pPr>
      <w:r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Pr="00A77838">
        <w:rPr>
          <w:rFonts w:cs="Arial"/>
          <w:color w:val="C00000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3D5CAB19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8F39E4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2ECAF422" w:rsidR="00C57957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 xml:space="preserve">Exemple.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4D18B20E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="008F39E4" w:rsidRPr="00DB0EB2">
              <w:rPr>
                <w:rFonts w:eastAsiaTheme="minorEastAsia"/>
                <w:color w:val="C00000"/>
              </w:rPr>
              <w:t xml:space="preserve"> = 1</w:t>
            </w:r>
            <w:r w:rsidR="008F39E4"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="008F39E4"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="008F39E4"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3C54D226" w14:textId="1D0EDFB0" w:rsidR="00A77C40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>Exemple.</w:t>
      </w:r>
      <w:r w:rsidRPr="00A77C40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A77C40">
        <w:rPr>
          <w:rFonts w:eastAsiaTheme="minorEastAsia"/>
          <w:color w:val="E36C0A" w:themeColor="accent6" w:themeShade="BF"/>
        </w:rPr>
        <w:t xml:space="preserve"> </w:t>
      </w:r>
      <w:r w:rsidRPr="00A77C40">
        <w:rPr>
          <w:rFonts w:eastAsiaTheme="minorEastAsia"/>
          <w:color w:val="E36C0A" w:themeColor="accent6" w:themeShade="BF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E36C0A" w:themeColor="accent6" w:themeShade="BF"/>
            <w:u w:val="single"/>
          </w:rPr>
          <m:t>≠1</m:t>
        </m:r>
      </m:oMath>
      <w:r w:rsidRPr="00A77C40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1-q</m:t>
            </m:r>
          </m:den>
        </m:f>
      </m:oMath>
    </w:p>
    <w:sectPr w:rsidR="00A77C40" w:rsidRPr="00A77C40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324F" w14:textId="77777777" w:rsidR="00C538CB" w:rsidRDefault="00C538CB" w:rsidP="007F5512">
      <w:pPr>
        <w:spacing w:after="0" w:line="240" w:lineRule="auto"/>
      </w:pPr>
      <w:r>
        <w:separator/>
      </w:r>
    </w:p>
  </w:endnote>
  <w:endnote w:type="continuationSeparator" w:id="0">
    <w:p w14:paraId="6EBF6C5F" w14:textId="77777777" w:rsidR="00C538CB" w:rsidRDefault="00C538C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E55C" w14:textId="77777777" w:rsidR="00C538CB" w:rsidRDefault="00C538CB" w:rsidP="007F5512">
      <w:pPr>
        <w:spacing w:after="0" w:line="240" w:lineRule="auto"/>
      </w:pPr>
      <w:r>
        <w:separator/>
      </w:r>
    </w:p>
  </w:footnote>
  <w:footnote w:type="continuationSeparator" w:id="0">
    <w:p w14:paraId="3F416173" w14:textId="77777777" w:rsidR="00C538CB" w:rsidRDefault="00C538C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B7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65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AF8"/>
    <w:rsid w:val="000D727F"/>
    <w:rsid w:val="000D75FE"/>
    <w:rsid w:val="000D7B8A"/>
    <w:rsid w:val="000D7C9B"/>
    <w:rsid w:val="000E0178"/>
    <w:rsid w:val="000E02FE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A00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155F"/>
    <w:rsid w:val="00201846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C86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2BAD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1D3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29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5CAB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6C2"/>
    <w:rsid w:val="005A2D53"/>
    <w:rsid w:val="005A2D88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252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2E1E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5F1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6E7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4C9C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1DC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58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5F0C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1C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08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013D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143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9E4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91F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572AB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9BA"/>
    <w:rsid w:val="00A76B47"/>
    <w:rsid w:val="00A76BDE"/>
    <w:rsid w:val="00A77724"/>
    <w:rsid w:val="00A77838"/>
    <w:rsid w:val="00A77C40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1D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840"/>
    <w:rsid w:val="00B13E8C"/>
    <w:rsid w:val="00B13FE7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8CB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059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5FFF"/>
    <w:rsid w:val="00C9644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682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E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15C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20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B5E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E01"/>
    <w:rsid w:val="00FB17B7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407E"/>
    <w:rsid w:val="00FC4F35"/>
    <w:rsid w:val="00FC51FB"/>
    <w:rsid w:val="00FC5260"/>
    <w:rsid w:val="00FC5572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2</Pages>
  <Words>768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7492</cp:revision>
  <cp:lastPrinted>2023-06-22T15:15:00Z</cp:lastPrinted>
  <dcterms:created xsi:type="dcterms:W3CDTF">2021-10-24T12:44:00Z</dcterms:created>
  <dcterms:modified xsi:type="dcterms:W3CDTF">2023-08-18T20:33:00Z</dcterms:modified>
</cp:coreProperties>
</file>