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Deux terrains me vont particulièrement bien : les architectures serverless sur AWS en TypeScript, et la modernisation de monolithes PHP/Symfony, que je fais évoluer par étapes plutôt que par réécriture complète.</w:t>
      </w:r>
      <w:r>
        <w:br/>
      </w:r>
      <w:r>
        <w:t xml:space="preserve">Ce qui a changé depuis un an, c'est ma façon de produire. Je pilote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 C'est ainsi qu'en binôme avec le directeur technique de GoTombola, nous avons livré en neuf mois une application desktop, un daemon d'agents et un pipeline de déploiement multi-tenant complet.</w:t>
      </w:r>
      <w:r>
        <w:br/>
      </w:r>
      <w:r>
        <w:t xml:space="preserve">Concrètement, 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t xml:space="preserve">En télétravail depuis Strasbourg avec des déplacements réguliers chez le client.</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à 6,</w:t>
      </w:r>
      <w:r>
        <w:t xml:space="preserve"> </w:t>
      </w:r>
      <w:r>
        <w:t xml:space="preserve">Modernisation de legacy,</w:t>
      </w:r>
      <w:r>
        <w:t xml:space="preserve"> </w:t>
      </w:r>
      <w:r>
        <w:t xml:space="preserve">Extraction de logique métier,</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01/2026 - 09/2026</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s'est fait en binôme avec lui sur un monorepo de plus d'une centaine de paquets, avec un usage intensif de Claude Code encadré par la revue et par l'exigence de couverture de tests du dépôt. À deux, nous avons livré en neuf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Lille,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Schiltigheim,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454e494e9964aed816bffa949f96e71c58134da"/>
    <w:p>
      <w:pPr>
        <w:pStyle w:val="Heading4"/>
      </w:pPr>
      <w:r>
        <w:t xml:space="preserve">Bac+5, titre RNCP niveau 7 -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2026-10-08T07:56:55Z</dcterms:created>
  <dcterms:modified xsi:type="dcterms:W3CDTF">2026-10-08T07:56:55Z</dcterms:modified>
</cp:coreProperties>
</file>

<file path=docProps/custom.xml><?xml version="1.0" encoding="utf-8"?>
<Properties xmlns="http://schemas.openxmlformats.org/officeDocument/2006/custom-properties" xmlns:vt="http://schemas.openxmlformats.org/officeDocument/2006/docPropsVTypes"/>
</file>