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avec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Dans un premier temps, j'ai été intégré à une feature team en tant que développeur fullstack afin de participer à l’évolution fonctionnelle de l’outil existant. Celui-ci implémente deux cas d’usage de génération de documents par IA, pour des besoins distincts. Il a été décidé de faire évoluer cette solution vers un outil générique et extensible, configurable sans recourir à des développements spécifiques. La seconde partie de ma mission s'est concentrée sur le refactoring du backend et le découpage progressif du monolithe. Ce monolithe, basé sur NestJS et déployé dans un container ECS, est en cours de démantèlement : le code est progressivement extrait vers des microservices serverless (AWS Lambda).</w:t>
      </w:r>
    </w:p>
    <w:p>
      <w:pPr>
        <w:pStyle w:val="Compact"/>
        <w:numPr>
          <w:ilvl w:val="0"/>
          <w:numId w:val="1001"/>
        </w:numPr>
      </w:pPr>
      <w:r>
        <w:t xml:space="preserve">Développement fullstack de nouvelles fonctionnalités : backend (NestJS) / frontend (React).</w:t>
      </w:r>
    </w:p>
    <w:p>
      <w:pPr>
        <w:pStyle w:val="Compact"/>
        <w:numPr>
          <w:ilvl w:val="0"/>
          <w:numId w:val="1001"/>
        </w:numPr>
      </w:pPr>
      <w:r>
        <w:t xml:space="preserve">Conception et implémentation d’un système d’événements pour automatiser et généraliser certains post-traitements.</w:t>
      </w:r>
    </w:p>
    <w:p>
      <w:pPr>
        <w:pStyle w:val="Compact"/>
        <w:numPr>
          <w:ilvl w:val="0"/>
          <w:numId w:val="1001"/>
        </w:numPr>
      </w:pPr>
      <w:r>
        <w:t xml:space="preserve">Analyse et identification de développements spécifiques ayant divergé, en vue de leur généralisation.</w:t>
      </w:r>
    </w:p>
    <w:p>
      <w:pPr>
        <w:pStyle w:val="Compact"/>
        <w:numPr>
          <w:ilvl w:val="0"/>
          <w:numId w:val="1001"/>
        </w:numPr>
      </w:pPr>
      <w:r>
        <w:t xml:space="preserve">Extraction de fonctionnalités vers des microservices serverless dans le respect des principes d’architecture logicielle (architecture hexagonale, tests automatisés).</w:t>
      </w:r>
    </w:p>
    <w:p>
      <w:pPr>
        <w:pStyle w:val="Compact"/>
        <w:numPr>
          <w:ilvl w:val="0"/>
          <w:numId w:val="1001"/>
        </w:numPr>
      </w:pPr>
      <w:r>
        <w:t xml:space="preserve">Utilisation intensive des services AWS : DynamoDB, S3, Step Functions, etc.</w:t>
      </w:r>
    </w:p>
    <w:p>
      <w:pPr>
        <w:pStyle w:val="Compact"/>
        <w:numPr>
          <w:ilvl w:val="0"/>
          <w:numId w:val="1001"/>
        </w:numPr>
      </w:pPr>
      <w:r>
        <w:t xml:space="preserve">Infrastructure as Code : paramétrage de l’infrastructure AWS via Terraform.</w:t>
      </w:r>
    </w:p>
    <w:p>
      <w:pPr>
        <w:pStyle w:val="Compact"/>
        <w:numPr>
          <w:ilvl w:val="0"/>
          <w:numId w:val="1001"/>
        </w:numPr>
      </w:pPr>
      <w:r>
        <w:rPr>
          <w:b/>
          <w:bCs/>
        </w:rPr>
        <w:t xml:space="preserve">Contexte :</w:t>
      </w:r>
      <w:r>
        <w:t xml:space="preserve"> </w:t>
      </w:r>
      <w:r>
        <w:t xml:space="preserve">Node.js, TypeScript, ReactJS, NestJS, GraphQL, Docker, ECS, Lambda, Step Function, DynamoDB, Scrum, Kanban, Terraform, LLMs</w:t>
      </w:r>
    </w:p>
    <w:p>
      <w:pPr>
        <w:pStyle w:val="FirstParagraph"/>
      </w:pPr>
      <w:r>
        <w:t xml:space="preserve">12/2022 - 10/2024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 un point d’entrée unique pour gérer les critères des acquéreurs et assurer le suivi des biens proposés (notes, visites, baisses de prix, etc.).</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Leboncoin est un acteur majeur des sites d'annonces en ligne, bien connu du grand public.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 et migration des comptes professionnels du multi-diffuseur (prestataire historique) vers le nouvel 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(télétravail)</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dans le cadre d’une preuve de concept..</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 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Eric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2025-07-18T16:32:33Z</dcterms:created>
  <dcterms:modified xsi:type="dcterms:W3CDTF">2025-07-18T16:32:33Z</dcterms:modified>
</cp:coreProperties>
</file>

<file path=docProps/custom.xml><?xml version="1.0" encoding="utf-8"?>
<Properties xmlns="http://schemas.openxmlformats.org/officeDocument/2006/custom-properties" xmlns:vt="http://schemas.openxmlformats.org/officeDocument/2006/docPropsVTypes"/>
</file>