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 - Ao escolher entre interfaces e classes abstratas, considero os objetivos do projeto.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566.9291338582675" w:hanging="360"/>
      </w:pPr>
      <w:r w:rsidDel="00000000" w:rsidR="00000000" w:rsidRPr="00000000">
        <w:rPr>
          <w:rtl w:val="0"/>
        </w:rPr>
        <w:t xml:space="preserve">Interfaces são ideais para definir contratos sem implementações específicas, promovendo interoperabilidade; por exemplo, em sistemas de e-commerce, elas garantem que diferentes processadores de pagamento sigam o mesmo padrão.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566.9291338582675" w:hanging="360"/>
      </w:pPr>
      <w:r w:rsidDel="00000000" w:rsidR="00000000" w:rsidRPr="00000000">
        <w:rPr>
          <w:rtl w:val="0"/>
        </w:rPr>
        <w:t xml:space="preserve">Por outro lado, classes abstratas oferecem uma base comum de implementação, permitindo customizações específicas, como diferentes tipos de personagens em um jogo.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Em resumo, use interfaces para flexibilidade e contratos padronizados, e classes    abstratas para compartilhar implementações e permitir especializações.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 - Na programação C#, a escolha entre herança e delegação baseia-se nas necessidades específicas do seu design. De um modo geral,  use herança para relações diretas "é-um" e deseja reutilizar e estender o comportamento de uma classe existente, e delegação para promover flexibilidade e desacoplamento por meio de composição. A escolha que dependerá das especificidades e requisitos de sistema.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566.9291338582675" w:hanging="360"/>
      </w:pPr>
      <w:r w:rsidDel="00000000" w:rsidR="00000000" w:rsidRPr="00000000">
        <w:rPr>
          <w:rtl w:val="0"/>
        </w:rPr>
        <w:t xml:space="preserve">Herança, caracterizada pela relação "é-um", permite que subclasses reutilizem e ampliem funcionalidades de uma superclasse, facilitando a organização em hierarquias de classes. Por exemplo, uma classe Animal pode ser estendida por subclasses como Cachorro e Gato, herdando métodos como Andar() e Comer(), e adicionando comportamentos únicos Latir() e Miado(), respectivamente.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566.9291338582675" w:hanging="360"/>
      </w:pPr>
      <w:r w:rsidDel="00000000" w:rsidR="00000000" w:rsidRPr="00000000">
        <w:rPr>
          <w:rtl w:val="0"/>
        </w:rPr>
        <w:t xml:space="preserve">Delegação, por sua vez, segue a relação "tem-um", onde uma classe usa instâncias de outras classes para realizar determinadas funções, encaminhando chamadas de método a essas instâncias. Essa abordagem, favorecendo composição em detrimento de herança, propicia maior flexibilidade e desacoplamento, exemplificado por uma classe Veiculo que delega funcionalidades como motorização e frenagem a instâncias de classes específicas para esses componentes.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83.46456692913375" w:hanging="285"/>
        <w:rPr/>
      </w:pPr>
      <w:r w:rsidDel="00000000" w:rsidR="00000000" w:rsidRPr="00000000">
        <w:rPr>
          <w:rtl w:val="0"/>
        </w:rPr>
        <w:t xml:space="preserve">     4. a - Definir tipos específicos de exceção melhora a clareza e eficácia no tratamento de erros, permitindo uma identificação precisa de problemas. Isso é útil especialmente para representar erros únicos ou organizar erros em categorias, como “PagamentoException” ou erros de banco de dados. Além disso, torna o código mais legível e facilita a manutenção, com o uso de exceções específicas como FileNotFoundException, o que permite um tratamento mais adequado para cada tipo de erro, aumentando a robustez do código.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 - Eu utilizaria em ações propensas a falhas devido a circunstâncias imprevisíveis, como leitura de arquivos, comunicações de rede ou interações com bancos de dados. Por exemplo, ao tentar acessar um arquivo inexistente, uma `FileNotFoundException` poderia ser lançada e capturada para tratamento adequado.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 - Quando ocorrer uma situação excepcional que não possa ser tratada de forma adequada no contexto atual e que exija uma ação especial ou notificação para ser corrigida. Como por exemplo: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Validação de Entrada: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566.9291338582675" w:hanging="360"/>
      </w:pPr>
      <w:r w:rsidDel="00000000" w:rsidR="00000000" w:rsidRPr="00000000">
        <w:rPr>
          <w:rtl w:val="0"/>
        </w:rPr>
        <w:t xml:space="preserve">Quando os dados fornecidos como entrada para uma função ou método são inválidos. Exemplo: Uma função que espera um número positivo como argumento lança uma exceção se um número negativo for fornecido.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83.46456692913375"/>
        <w:rPr/>
      </w:pPr>
      <w:r w:rsidDel="00000000" w:rsidR="00000000" w:rsidRPr="00000000">
        <w:rPr>
          <w:rtl w:val="0"/>
        </w:rPr>
        <w:t xml:space="preserve">5. Garantir a integridade dos dados e a estabilidade do sistema em um ambiente de transações concorrentes, exige a adoção de práticas de transações atômicas, bloqueio de recursos, tratamento cuidadoso de exceções, validações robustas, testes de concorrência e uma boa estratégia de monitoramento: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Assegurar que as ações de débito e crédito ocorram de forma completa ou não ocorram, utilizando transações de banco de dados para manter a consistência dos dados.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Gerenciar exceções de forma eficaz para manter o estado consistente da conta, mesmo em falhas. Implementar verificações para impedir valores negativos ou nulos e outros tipos de dados inválidos.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Conduzir testes detalhados para assegurar o funcionamento adequado do sistema sob carga concorrente, stabelecer mecanismos para acompanhamento e registro das operações, facilitando a identificação e correção de problemas.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PL.nome AS nome_produto_limpeza,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A.nome AS nome_alimento,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(EE.preco * E.quantidade) * 0.85 AS preco_kit,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preco_kit - EE.custo AS lucro_kit,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A.data_validade AS data_validade_kit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Produto_Limpeza PL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Elemento_Estoque EE ON PL.id_elemento_estoque = EE.id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Pesquisa_Mercado PM ON PL.id = PM.id_produto_limpeza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Alimento A ON A.id_elemento_estoque = EE.id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Estoque E ON E.id_elemento_estoque = EE.id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02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PM.satisfacao &gt; 0.7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AND DATEPART(GETDATE(), A.data_validade) &lt;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ORDER BY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lucro_kit DESC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409.251968503939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