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>Il sistema sarà sviluppato tramite utilizzo di: Java, Html, JavaScript, JQuery, CSS, Gson, XML e Ajax.</w:t>
      </w:r>
    </w:p>
    <w:p w14:paraId="4718CC8A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151FA8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151FA8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cap,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151FA8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151FA8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77777777" w:rsidR="00D77101" w:rsidRDefault="00FE6A4B" w:rsidP="0027791D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  <w:r w:rsidR="0093273A">
              <w:rPr>
                <w:rFonts w:eastAsia="Arial Unicode MS" w:cs="Arial Unicode MS"/>
              </w:rPr>
              <w:t>/gestore del catalogo</w:t>
            </w:r>
          </w:p>
        </w:tc>
      </w:tr>
      <w:tr w:rsidR="00D77101" w:rsidRPr="00151FA8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77777777" w:rsidR="00D77101" w:rsidRDefault="00C95E28" w:rsidP="0093273A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si trova nella pagina di accesso</w:t>
            </w:r>
          </w:p>
        </w:tc>
      </w:tr>
      <w:tr w:rsidR="00D77101" w:rsidRPr="00151FA8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77777777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77777777" w:rsidR="00D77101" w:rsidRDefault="00C95E28" w:rsidP="003F1C6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151FA8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77777777" w:rsidR="00D77101" w:rsidRDefault="003F1C64" w:rsidP="00B873FB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B22F37">
              <w:rPr>
                <w:rFonts w:eastAsia="Arial Unicode MS" w:cs="Arial Unicode MS"/>
              </w:rPr>
              <w:t xml:space="preserve"> viene reindirizzato nella propria area riservata</w:t>
            </w:r>
          </w:p>
        </w:tc>
      </w:tr>
      <w:tr w:rsidR="00D77101" w:rsidRPr="00151FA8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7777777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 w:rsidR="0093273A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77777777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77777777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77777777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7A75D" w14:textId="77777777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7777777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77777777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7777777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C692C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</w:p>
          <w:p w14:paraId="7A9D4128" w14:textId="77777777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/gestore del catalogo 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77777777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77777777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151FA8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151FA8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151FA8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151FA8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151FA8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151FA8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151FA8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151FA8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151FA8" w14:paraId="3E829691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151FA8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151FA8" w14:paraId="5F2900C0" w14:textId="77777777" w:rsidTr="00882A88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151FA8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151FA8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151FA8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151FA8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151FA8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151FA8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  <w:rPr>
          <w:rFonts w:hint="eastAsia"/>
        </w:rPr>
      </w:pPr>
    </w:p>
    <w:p w14:paraId="022F1C9F" w14:textId="77777777" w:rsidR="008E6A79" w:rsidRDefault="008E6A79" w:rsidP="008E6A79">
      <w:pPr>
        <w:pStyle w:val="Corpo"/>
        <w:rPr>
          <w:rFonts w:hint="eastAsia"/>
        </w:rPr>
      </w:pPr>
    </w:p>
    <w:p w14:paraId="6469B003" w14:textId="77777777" w:rsidR="00996319" w:rsidRDefault="00996319" w:rsidP="008E6A79">
      <w:pPr>
        <w:pStyle w:val="Corpo"/>
        <w:rPr>
          <w:rFonts w:hint="eastAsia"/>
        </w:rPr>
      </w:pPr>
    </w:p>
    <w:p w14:paraId="45926265" w14:textId="77777777" w:rsidR="00996319" w:rsidRDefault="00996319" w:rsidP="008E6A79">
      <w:pPr>
        <w:pStyle w:val="Corpo"/>
        <w:rPr>
          <w:rFonts w:hint="eastAsia"/>
        </w:rPr>
      </w:pPr>
    </w:p>
    <w:p w14:paraId="1BD59E7A" w14:textId="77777777" w:rsidR="00996319" w:rsidRDefault="00996319" w:rsidP="008E6A79">
      <w:pPr>
        <w:pStyle w:val="Corpo"/>
        <w:rPr>
          <w:rFonts w:hint="eastAsia"/>
        </w:rPr>
      </w:pPr>
    </w:p>
    <w:p w14:paraId="6D2D635E" w14:textId="77777777" w:rsidR="00996319" w:rsidRDefault="00996319" w:rsidP="008E6A79">
      <w:pPr>
        <w:pStyle w:val="Corpo"/>
        <w:rPr>
          <w:rFonts w:hint="eastAsia"/>
        </w:rPr>
      </w:pPr>
    </w:p>
    <w:p w14:paraId="0149FE12" w14:textId="77777777" w:rsidR="00996319" w:rsidRDefault="00996319" w:rsidP="008E6A79">
      <w:pPr>
        <w:pStyle w:val="Corpo"/>
        <w:rPr>
          <w:rFonts w:hint="eastAsia"/>
        </w:rPr>
      </w:pPr>
    </w:p>
    <w:p w14:paraId="0EA4A1D4" w14:textId="77777777" w:rsidR="00996319" w:rsidRDefault="00996319" w:rsidP="008E6A79">
      <w:pPr>
        <w:pStyle w:val="Corpo"/>
        <w:rPr>
          <w:rFonts w:hint="eastAsia"/>
        </w:rPr>
      </w:pPr>
    </w:p>
    <w:p w14:paraId="5CE0F8B7" w14:textId="77777777" w:rsidR="00996319" w:rsidRDefault="00996319" w:rsidP="008E6A79">
      <w:pPr>
        <w:pStyle w:val="Corpo"/>
        <w:rPr>
          <w:rFonts w:hint="eastAsia"/>
        </w:rPr>
      </w:pPr>
    </w:p>
    <w:p w14:paraId="3DB25A63" w14:textId="77777777" w:rsidR="00996319" w:rsidRDefault="00996319" w:rsidP="008E6A79">
      <w:pPr>
        <w:pStyle w:val="Corpo"/>
        <w:rPr>
          <w:rFonts w:hint="eastAsia"/>
        </w:rPr>
      </w:pPr>
    </w:p>
    <w:p w14:paraId="7E425849" w14:textId="77777777" w:rsidR="00996319" w:rsidRDefault="00996319" w:rsidP="008E6A79">
      <w:pPr>
        <w:pStyle w:val="Corpo"/>
        <w:rPr>
          <w:rFonts w:hint="eastAsia"/>
        </w:rPr>
      </w:pPr>
    </w:p>
    <w:p w14:paraId="5241DDEE" w14:textId="77777777" w:rsidR="00996319" w:rsidRDefault="00996319" w:rsidP="008E6A79">
      <w:pPr>
        <w:pStyle w:val="Corpo"/>
        <w:rPr>
          <w:rFonts w:hint="eastAsia"/>
        </w:rPr>
      </w:pPr>
    </w:p>
    <w:p w14:paraId="43EBE594" w14:textId="77777777" w:rsidR="00996319" w:rsidRDefault="0099631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151FA8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151FA8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151FA8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151FA8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151FA8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151FA8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151FA8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151FA8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151FA8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151FA8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151FA8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151FA8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151FA8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151FA8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151FA8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151FA8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151FA8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151FA8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  <w:rPr>
          <w:rFonts w:hint="eastAsia"/>
        </w:rPr>
      </w:pPr>
    </w:p>
    <w:p w14:paraId="3505DD37" w14:textId="77777777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151FA8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151FA8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151FA8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151FA8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  <w:rPr>
          <w:rFonts w:hint="eastAsia"/>
        </w:rPr>
      </w:pP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151FA8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151FA8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151FA8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151FA8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151FA8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151FA8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  <w:rPr>
          <w:rFonts w:hint="eastAsia"/>
        </w:rPr>
      </w:pPr>
    </w:p>
    <w:p w14:paraId="499D13C7" w14:textId="77777777" w:rsidR="00F44110" w:rsidRDefault="00F44110">
      <w:pPr>
        <w:pStyle w:val="Corpo"/>
        <w:rPr>
          <w:rFonts w:hint="eastAsia"/>
        </w:rPr>
      </w:pPr>
    </w:p>
    <w:p w14:paraId="2A0C95C2" w14:textId="77777777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4BD3A25C" w14:textId="77777777" w:rsidR="008E6A79" w:rsidRDefault="008E6A79">
      <w:pPr>
        <w:pStyle w:val="Corpo"/>
        <w:rPr>
          <w:rFonts w:hint="eastAsia"/>
        </w:rPr>
      </w:pPr>
    </w:p>
    <w:p w14:paraId="11088D60" w14:textId="77777777" w:rsidR="008E6A79" w:rsidRDefault="008E6A79">
      <w:pPr>
        <w:pStyle w:val="Corpo"/>
        <w:rPr>
          <w:rFonts w:hint="eastAsia"/>
        </w:rPr>
      </w:pPr>
    </w:p>
    <w:p w14:paraId="10244936" w14:textId="77777777" w:rsidR="008E6A79" w:rsidRDefault="008E6A79">
      <w:pPr>
        <w:pStyle w:val="Corpo"/>
        <w:rPr>
          <w:rFonts w:hint="eastAsia"/>
        </w:rPr>
      </w:pPr>
    </w:p>
    <w:p w14:paraId="5B194BF8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151FA8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151FA8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151FA8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151FA8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151FA8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151FA8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151FA8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151FA8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151FA8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lastRenderedPageBreak/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 w:hint="eastAsia"/>
          <w:lang w:val="it-IT" w:eastAsia="it-IT"/>
        </w:rPr>
      </w:pPr>
    </w:p>
    <w:p w14:paraId="66FA5C13" w14:textId="7121F6CC" w:rsidR="00272AA8" w:rsidRPr="00272AA8" w:rsidRDefault="00151FA8" w:rsidP="00272AA8">
      <w:pPr>
        <w:rPr>
          <w:rFonts w:asciiTheme="minorHAnsi" w:hAnsiTheme="minorHAnsi" w:hint="eastAsia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1B707481" wp14:editId="1A19F6E9">
            <wp:extent cx="6115050" cy="7086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DFEF" w14:textId="77777777" w:rsidR="00FA68FA" w:rsidRDefault="00FA68FA">
      <w:r>
        <w:separator/>
      </w:r>
    </w:p>
  </w:endnote>
  <w:endnote w:type="continuationSeparator" w:id="0">
    <w:p w14:paraId="061FAD49" w14:textId="77777777" w:rsidR="00FA68FA" w:rsidRDefault="00FA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B2436" w14:textId="77777777" w:rsidR="00FA68FA" w:rsidRDefault="00FA68FA">
      <w:r>
        <w:separator/>
      </w:r>
    </w:p>
  </w:footnote>
  <w:footnote w:type="continuationSeparator" w:id="0">
    <w:p w14:paraId="4CB8A65A" w14:textId="77777777" w:rsidR="00FA68FA" w:rsidRDefault="00FA6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50DD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F6A3A"/>
    <w:rsid w:val="00A017B5"/>
    <w:rsid w:val="00A01E16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A68FA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56</cp:revision>
  <dcterms:created xsi:type="dcterms:W3CDTF">2020-11-04T10:26:00Z</dcterms:created>
  <dcterms:modified xsi:type="dcterms:W3CDTF">2020-11-13T21:31:00Z</dcterms:modified>
</cp:coreProperties>
</file>