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Michele Gabrieli </w:t>
        <w:tab/>
        <w:tab/>
        <w:tab/>
        <w:tab/>
        <w:t xml:space="preserve">5F</w:t>
        <w:tab/>
        <w:tab/>
        <w:tab/>
        <w:tab/>
        <w:tab/>
        <w:t xml:space="preserve">14/09/2022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funzionale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funzionalità di questo software consiste nel darci in output la tipologia di generatore di calore che sarebbe maggiormente conveniente per la famiglia in esame; identificata dal loro cognome ed indirizzo di residenza.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Una volta che l’utente ha dato in input la tipologia di generatore di calore della quale si dispone e in base al tipo i kwh o gli SMC che vengono consumati, verranno effettuati i calcoli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calcoli saranno diversi in base al generatore di calore adoperato.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somma dei prezzi costanti delle bollette elencati nella precedente analisi sono di: 213 euro.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Tutti i calcoli delle bollette saranno effettuati su base annuale.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Seguentemente verranno stampati a video gli anni che occorreranno per ammortizzare l’investimento.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Seguentemente verrà mostrato il generatore di calore che avrà una bolletta più bassa.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