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Prompt per Codex — Saldi progressivi (Step 1) e Coefficienti adattivi (Step 2)</w:t>
      </w:r>
    </w:p>
    <w:p>
      <w:r>
        <w:t>Questo documento unisce i due step del PoC: (1) calcolo del saldo progressivo finale a fine orizzonte; (2) coefficienti adattivi e penalità sulle ore, mantenendo il modello lineare (CP-SAT-friendly).</w:t>
      </w:r>
    </w:p>
    <w:p>
      <w:pPr>
        <w:pStyle w:val="Heading2"/>
      </w:pPr>
      <w:r>
        <w:t>Step 1 — Calcolo del saldo progressivo finale</w:t>
      </w:r>
    </w:p>
    <w:p>
      <w:r>
        <w:t>Definizioni: H_hist,e indica le ore effettive (turni + assenze accreditate) dal 1° del mese fino al giorno precedente l’inizio dell’orizzonte; H_plan,e le ore pianificate nell’orizzonte; H_eff,e la somma delle due.</w:t>
      </w:r>
    </w:p>
    <w:p>
      <w:r>
        <w:drawing>
          <wp:inline xmlns:a="http://schemas.openxmlformats.org/drawingml/2006/main" xmlns:pic="http://schemas.openxmlformats.org/drawingml/2006/picture">
            <wp:extent cx="5669280" cy="16145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hours_h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145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69280" cy="15349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hours_pl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534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20640" cy="1463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hours_ef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Ore dovute to-date: se l’orizzonte termina prima della fine del mese, si usa la pro-rata sui giorni di calendario del mese (rapporto tra i giorni dal 1° del mese a horizon_end e i giorni dell’intero mese). Se l’orizzonte termina a fine mese, il dovuto è semplicemente quello mensile intero.</w:t>
      </w:r>
    </w:p>
    <w:p>
      <w:r>
        <w:drawing>
          <wp:inline xmlns:a="http://schemas.openxmlformats.org/drawingml/2006/main" xmlns:pic="http://schemas.openxmlformats.org/drawingml/2006/picture">
            <wp:extent cx="5120640" cy="14630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_rati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206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_hours_due_parti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Saldo finale a fine orizzonte (con B_start,e saldo a fine mese precedente dal CSV):</w:t>
      </w:r>
    </w:p>
    <w:p>
      <w:r>
        <w:drawing>
          <wp:inline xmlns:a="http://schemas.openxmlformats.org/drawingml/2006/main" xmlns:pic="http://schemas.openxmlformats.org/drawingml/2006/picture">
            <wp:extent cx="5303520" cy="142732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_balance_en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427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2 — Coefficienti adattivi e penalità sulle ore</w:t>
      </w:r>
    </w:p>
    <w:p>
      <w:r>
        <w:t>Slack orarie: u_e (ore in meno), o_e (ore in più). Vincolo di equilibrio ore nel periodo (H_e è il dovuto del periodo):</w:t>
      </w:r>
    </w:p>
    <w:p>
      <w:r>
        <w:drawing>
          <wp:inline xmlns:a="http://schemas.openxmlformats.org/drawingml/2006/main" xmlns:pic="http://schemas.openxmlformats.org/drawingml/2006/picture">
            <wp:extent cx="5303520" cy="1325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vincolo_equilibri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325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Calcolo dei coefficienti adattivi (normalizzazione robusta del saldo iniziale e mappatura su [1,2]):</w:t>
      </w:r>
    </w:p>
    <w:p>
      <w:r>
        <w:drawing>
          <wp:inline xmlns:a="http://schemas.openxmlformats.org/drawingml/2006/main" xmlns:pic="http://schemas.openxmlformats.org/drawingml/2006/picture">
            <wp:extent cx="5120640" cy="12801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normalizzazione_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017520" cy="7543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c_und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754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017520" cy="7543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_c_ov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754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Dead-band (tolleranza) opzionale sulle slack:</w:t>
      </w:r>
    </w:p>
    <w:p>
      <w:r>
        <w:drawing>
          <wp:inline xmlns:a="http://schemas.openxmlformats.org/drawingml/2006/main" xmlns:pic="http://schemas.openxmlformats.org/drawingml/2006/picture">
            <wp:extent cx="2926080" cy="7315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_deadband_u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926080" cy="731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_deadband_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Termine di funzione obiettivo con pesi base e coefficienti adattivi:</w:t>
      </w:r>
    </w:p>
    <w:p>
      <w:r>
        <w:drawing>
          <wp:inline xmlns:a="http://schemas.openxmlformats.org/drawingml/2006/main" xmlns:pic="http://schemas.openxmlformats.org/drawingml/2006/picture">
            <wp:extent cx="5852160" cy="128697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_obj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2869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