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A6CA" w14:textId="0BF1F882" w:rsidR="00E76E9B" w:rsidRPr="00B80537" w:rsidRDefault="0044230A" w:rsidP="00C82240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B80537">
        <w:rPr>
          <w:rFonts w:ascii="Aptos Narrow" w:hAnsi="Aptos Narrow"/>
          <w:b/>
          <w:bCs/>
          <w:sz w:val="24"/>
          <w:szCs w:val="24"/>
        </w:rPr>
        <w:t>Crowdfunding Analysis</w:t>
      </w:r>
    </w:p>
    <w:p w14:paraId="22E44809" w14:textId="77777777" w:rsidR="0044230A" w:rsidRPr="00B80537" w:rsidRDefault="0044230A" w:rsidP="002E5082">
      <w:pPr>
        <w:jc w:val="both"/>
        <w:rPr>
          <w:rFonts w:ascii="Aptos Narrow" w:hAnsi="Aptos Narrow"/>
        </w:rPr>
      </w:pPr>
    </w:p>
    <w:p w14:paraId="2C170D8F" w14:textId="05968C54" w:rsidR="0044230A" w:rsidRPr="00B80537" w:rsidRDefault="0044230A" w:rsidP="00ED49DC">
      <w:pPr>
        <w:ind w:left="360"/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 xml:space="preserve">Analyzing </w:t>
      </w:r>
      <w:r w:rsidR="00177016" w:rsidRPr="00B80537">
        <w:rPr>
          <w:rFonts w:ascii="Aptos Narrow" w:hAnsi="Aptos Narrow"/>
        </w:rPr>
        <w:t>the given</w:t>
      </w:r>
      <w:r w:rsidRPr="00B80537">
        <w:rPr>
          <w:rFonts w:ascii="Aptos Narrow" w:hAnsi="Aptos Narrow"/>
        </w:rPr>
        <w:t xml:space="preserve"> crowdfunding database of 1000 values from 2010 to 2020 it is possible to conclude:</w:t>
      </w:r>
    </w:p>
    <w:p w14:paraId="7045DEC5" w14:textId="77777777" w:rsidR="00177016" w:rsidRPr="00B80537" w:rsidRDefault="00177016" w:rsidP="00ED49DC">
      <w:pPr>
        <w:jc w:val="both"/>
        <w:rPr>
          <w:rFonts w:ascii="Aptos Narrow" w:hAnsi="Aptos Narrow"/>
        </w:rPr>
      </w:pPr>
    </w:p>
    <w:p w14:paraId="65CD23A2" w14:textId="2B460D39" w:rsidR="004064B9" w:rsidRPr="00B80537" w:rsidRDefault="00177016" w:rsidP="00ED49DC">
      <w:pPr>
        <w:pStyle w:val="ListParagraph"/>
        <w:numPr>
          <w:ilvl w:val="0"/>
          <w:numId w:val="1"/>
        </w:numPr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 xml:space="preserve">57% of the projects were successful, and 36% </w:t>
      </w:r>
      <w:r w:rsidR="004064B9" w:rsidRPr="00B80537">
        <w:rPr>
          <w:rFonts w:ascii="Aptos Narrow" w:hAnsi="Aptos Narrow"/>
        </w:rPr>
        <w:t xml:space="preserve">have </w:t>
      </w:r>
      <w:r w:rsidRPr="00B80537">
        <w:rPr>
          <w:rFonts w:ascii="Aptos Narrow" w:hAnsi="Aptos Narrow"/>
        </w:rPr>
        <w:t>failed</w:t>
      </w:r>
      <w:r w:rsidR="00754847" w:rsidRPr="00B80537">
        <w:rPr>
          <w:rFonts w:ascii="Aptos Narrow" w:hAnsi="Aptos Narrow"/>
        </w:rPr>
        <w:t xml:space="preserve">. </w:t>
      </w:r>
      <w:r w:rsidR="00200CB0" w:rsidRPr="00B80537">
        <w:rPr>
          <w:rFonts w:ascii="Aptos Narrow" w:hAnsi="Aptos Narrow"/>
        </w:rPr>
        <w:t>Considering these numbers, it would be interesting to combine other ways to receive funding for projects. The failure risk is relatively high.</w:t>
      </w:r>
    </w:p>
    <w:p w14:paraId="26A0B688" w14:textId="1129B498" w:rsidR="00CB3EAF" w:rsidRPr="00B80537" w:rsidRDefault="00CB3EAF" w:rsidP="00ED49DC">
      <w:pPr>
        <w:pStyle w:val="ListParagraph"/>
        <w:numPr>
          <w:ilvl w:val="0"/>
          <w:numId w:val="1"/>
        </w:numPr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 xml:space="preserve">Crowdfunding is </w:t>
      </w:r>
      <w:r w:rsidR="00D35CAA">
        <w:rPr>
          <w:rFonts w:ascii="Aptos Narrow" w:hAnsi="Aptos Narrow"/>
        </w:rPr>
        <w:t>mainly</w:t>
      </w:r>
      <w:r w:rsidRPr="00B80537">
        <w:rPr>
          <w:rFonts w:ascii="Aptos Narrow" w:hAnsi="Aptos Narrow"/>
        </w:rPr>
        <w:t xml:space="preserve"> used to obtain funding for projects whose goals are less than 9999 or more than 50000.</w:t>
      </w:r>
    </w:p>
    <w:p w14:paraId="51DD0948" w14:textId="32FB17CF" w:rsidR="0044230A" w:rsidRPr="00B80537" w:rsidRDefault="00754847" w:rsidP="00ED49DC">
      <w:pPr>
        <w:pStyle w:val="ListParagraph"/>
        <w:numPr>
          <w:ilvl w:val="0"/>
          <w:numId w:val="1"/>
        </w:numPr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 xml:space="preserve">Technology and </w:t>
      </w:r>
      <w:r w:rsidR="00594A57" w:rsidRPr="00B80537">
        <w:rPr>
          <w:rFonts w:ascii="Aptos Narrow" w:hAnsi="Aptos Narrow"/>
        </w:rPr>
        <w:t>photography had the highest success percentages, 66.7%, and 61.9%, respectively.</w:t>
      </w:r>
    </w:p>
    <w:p w14:paraId="3A883765" w14:textId="585794FA" w:rsidR="004064B9" w:rsidRPr="00B80537" w:rsidRDefault="004064B9" w:rsidP="00ED49DC">
      <w:pPr>
        <w:pStyle w:val="ListParagraph"/>
        <w:numPr>
          <w:ilvl w:val="0"/>
          <w:numId w:val="1"/>
        </w:numPr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>Theater is the most relevant category, representing 34% of all categories, followed by film &amp; video and music, representing 18% of the projects each.</w:t>
      </w:r>
    </w:p>
    <w:p w14:paraId="71B9624A" w14:textId="37757F9F" w:rsidR="00594A57" w:rsidRPr="00B80537" w:rsidRDefault="00594A57" w:rsidP="00ED49DC">
      <w:pPr>
        <w:pStyle w:val="ListParagraph"/>
        <w:numPr>
          <w:ilvl w:val="0"/>
          <w:numId w:val="1"/>
        </w:numPr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 xml:space="preserve">Journalism is the least expressive category, </w:t>
      </w:r>
      <w:r w:rsidR="00200CB0" w:rsidRPr="00B80537">
        <w:rPr>
          <w:rFonts w:ascii="Aptos Narrow" w:hAnsi="Aptos Narrow"/>
        </w:rPr>
        <w:t>totaling</w:t>
      </w:r>
      <w:r w:rsidRPr="00B80537">
        <w:rPr>
          <w:rFonts w:ascii="Aptos Narrow" w:hAnsi="Aptos Narrow"/>
        </w:rPr>
        <w:t xml:space="preserve"> only 4 projects in 10 years.</w:t>
      </w:r>
    </w:p>
    <w:p w14:paraId="6358E484" w14:textId="2291ED67" w:rsidR="00200CB0" w:rsidRPr="00B80537" w:rsidRDefault="005A3891" w:rsidP="00ED49DC">
      <w:pPr>
        <w:pStyle w:val="ListParagraph"/>
        <w:numPr>
          <w:ilvl w:val="0"/>
          <w:numId w:val="1"/>
        </w:numPr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>In general, i</w:t>
      </w:r>
      <w:r w:rsidR="00200CB0" w:rsidRPr="00B80537">
        <w:rPr>
          <w:rFonts w:ascii="Aptos Narrow" w:hAnsi="Aptos Narrow"/>
        </w:rPr>
        <w:t xml:space="preserve">t is possible to identify a successful seasonality in June and July, </w:t>
      </w:r>
      <w:r w:rsidR="00710954" w:rsidRPr="00B80537">
        <w:rPr>
          <w:rFonts w:ascii="Aptos Narrow" w:hAnsi="Aptos Narrow"/>
        </w:rPr>
        <w:t>however,</w:t>
      </w:r>
      <w:r w:rsidR="00200CB0" w:rsidRPr="00B80537">
        <w:rPr>
          <w:rFonts w:ascii="Aptos Narrow" w:hAnsi="Aptos Narrow"/>
        </w:rPr>
        <w:t xml:space="preserve"> it is followed by a decrease in August.</w:t>
      </w:r>
    </w:p>
    <w:p w14:paraId="716430B5" w14:textId="77777777" w:rsidR="00ED49DC" w:rsidRPr="00B80537" w:rsidRDefault="00ED49DC" w:rsidP="00ED49DC">
      <w:pPr>
        <w:ind w:left="360"/>
        <w:jc w:val="both"/>
        <w:rPr>
          <w:rFonts w:ascii="Aptos Narrow" w:hAnsi="Aptos Narrow"/>
        </w:rPr>
      </w:pPr>
    </w:p>
    <w:p w14:paraId="34F0B89F" w14:textId="649C7D76" w:rsidR="00573F41" w:rsidRPr="00B80537" w:rsidRDefault="00CB3EAF" w:rsidP="00ED49DC">
      <w:pPr>
        <w:ind w:left="360"/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 xml:space="preserve">There are some limitations on the dataset. </w:t>
      </w:r>
      <w:r w:rsidR="00573F41" w:rsidRPr="00B80537">
        <w:rPr>
          <w:rFonts w:ascii="Aptos Narrow" w:hAnsi="Aptos Narrow"/>
        </w:rPr>
        <w:t xml:space="preserve">It could collect more information regarding the backers since they are the ones responsible for the success or failure of the projects. </w:t>
      </w:r>
    </w:p>
    <w:p w14:paraId="49F50323" w14:textId="0B8CE68E" w:rsidR="00573F41" w:rsidRPr="00B80537" w:rsidRDefault="00573F41" w:rsidP="00ED49DC">
      <w:pPr>
        <w:ind w:left="360"/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 xml:space="preserve">Adding to this topic, there are data that are hard to </w:t>
      </w:r>
      <w:r w:rsidR="00ED49DC" w:rsidRPr="00B80537">
        <w:rPr>
          <w:rFonts w:ascii="Aptos Narrow" w:hAnsi="Aptos Narrow"/>
        </w:rPr>
        <w:t>work with</w:t>
      </w:r>
      <w:r w:rsidRPr="00B80537">
        <w:rPr>
          <w:rFonts w:ascii="Aptos Narrow" w:hAnsi="Aptos Narrow"/>
        </w:rPr>
        <w:t xml:space="preserve">, like staff_pick, and spotlight. They need to be better </w:t>
      </w:r>
      <w:r w:rsidR="00ED49DC" w:rsidRPr="00B80537">
        <w:rPr>
          <w:rFonts w:ascii="Aptos Narrow" w:hAnsi="Aptos Narrow"/>
        </w:rPr>
        <w:t>collected, then it would be possible to use them to quantify the variables that they represent.</w:t>
      </w:r>
    </w:p>
    <w:p w14:paraId="41A2F08C" w14:textId="77777777" w:rsidR="002E5082" w:rsidRPr="00B80537" w:rsidRDefault="002E5082" w:rsidP="00ED49DC">
      <w:pPr>
        <w:ind w:left="360"/>
        <w:jc w:val="both"/>
        <w:rPr>
          <w:rFonts w:ascii="Aptos Narrow" w:hAnsi="Aptos Narrow"/>
        </w:rPr>
      </w:pPr>
    </w:p>
    <w:p w14:paraId="2EA6539D" w14:textId="38C08DA7" w:rsidR="002E5082" w:rsidRPr="00B80537" w:rsidRDefault="00ED49DC" w:rsidP="00ED49DC">
      <w:pPr>
        <w:ind w:left="360"/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>Other possible analyses can</w:t>
      </w:r>
      <w:r w:rsidR="002E5082" w:rsidRPr="00B80537">
        <w:rPr>
          <w:rFonts w:ascii="Aptos Narrow" w:hAnsi="Aptos Narrow"/>
        </w:rPr>
        <w:t xml:space="preserve"> be done </w:t>
      </w:r>
      <w:r w:rsidRPr="00B80537">
        <w:rPr>
          <w:rFonts w:ascii="Aptos Narrow" w:hAnsi="Aptos Narrow"/>
        </w:rPr>
        <w:t xml:space="preserve">using this dataset. For example, it would be interesting </w:t>
      </w:r>
      <w:r w:rsidR="002E5082" w:rsidRPr="00B80537">
        <w:rPr>
          <w:rFonts w:ascii="Aptos Narrow" w:hAnsi="Aptos Narrow"/>
        </w:rPr>
        <w:t>to understand the data per country, since most of the projects are related to culture, it could help to check if there are any other trends taking culture into consideration.</w:t>
      </w:r>
    </w:p>
    <w:p w14:paraId="48950CC3" w14:textId="6FB75795" w:rsidR="002E5082" w:rsidRPr="00B80537" w:rsidRDefault="002E5082" w:rsidP="00ED49DC">
      <w:pPr>
        <w:ind w:left="360"/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 xml:space="preserve">Checking the data against the total is very important also, this way it is possible to weigh the numbers in a better way. For example, when we analyze the outcomes per </w:t>
      </w:r>
      <w:r w:rsidR="00C82240" w:rsidRPr="00B80537">
        <w:rPr>
          <w:rFonts w:ascii="Aptos Narrow" w:hAnsi="Aptos Narrow"/>
        </w:rPr>
        <w:t>category,</w:t>
      </w:r>
      <w:r w:rsidRPr="00B80537">
        <w:rPr>
          <w:rFonts w:ascii="Aptos Narrow" w:hAnsi="Aptos Narrow"/>
        </w:rPr>
        <w:t xml:space="preserve"> I would create a table calculating the % of successful projects per category </w:t>
      </w:r>
      <w:r w:rsidR="00C82240" w:rsidRPr="00B80537">
        <w:rPr>
          <w:rFonts w:ascii="Aptos Narrow" w:hAnsi="Aptos Narrow"/>
        </w:rPr>
        <w:t>and</w:t>
      </w:r>
      <w:r w:rsidRPr="00B80537">
        <w:rPr>
          <w:rFonts w:ascii="Aptos Narrow" w:hAnsi="Aptos Narrow"/>
        </w:rPr>
        <w:t xml:space="preserve"> the % of failed projects per category so we can compare which categories would be the most successful and the most unsuccessful, like the following table:</w:t>
      </w:r>
    </w:p>
    <w:tbl>
      <w:tblPr>
        <w:tblW w:w="11120" w:type="dxa"/>
        <w:tblInd w:w="-5" w:type="dxa"/>
        <w:tblLook w:val="04A0" w:firstRow="1" w:lastRow="0" w:firstColumn="1" w:lastColumn="0" w:noHBand="0" w:noVBand="1"/>
      </w:tblPr>
      <w:tblGrid>
        <w:gridCol w:w="1337"/>
        <w:gridCol w:w="1057"/>
        <w:gridCol w:w="749"/>
        <w:gridCol w:w="841"/>
        <w:gridCol w:w="1198"/>
        <w:gridCol w:w="855"/>
        <w:gridCol w:w="1191"/>
        <w:gridCol w:w="2093"/>
        <w:gridCol w:w="1799"/>
      </w:tblGrid>
      <w:tr w:rsidR="00C82240" w:rsidRPr="00B80537" w14:paraId="634B7464" w14:textId="77777777" w:rsidTr="00C82240">
        <w:trPr>
          <w:trHeight w:val="266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4AA6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Row Labels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958D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canceled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5147E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failed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108C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live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9E8E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successful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834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Grand Total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1961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%Category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169A79" w14:textId="28A3AFE1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  <w:r w:rsidRPr="00B80537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Successful</w:t>
            </w: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/Category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30CD93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%Failed/Category</w:t>
            </w:r>
          </w:p>
        </w:tc>
      </w:tr>
      <w:tr w:rsidR="00C82240" w:rsidRPr="00B80537" w14:paraId="75047F68" w14:textId="77777777" w:rsidTr="00C82240">
        <w:trPr>
          <w:trHeight w:val="266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010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film &amp; video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8965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C593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8918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3EC0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12E35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74A8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18%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C61CDD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57.3%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4DF6D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33.7%</w:t>
            </w:r>
          </w:p>
        </w:tc>
      </w:tr>
      <w:tr w:rsidR="00C82240" w:rsidRPr="00B80537" w14:paraId="014E24E3" w14:textId="77777777" w:rsidTr="00C82240">
        <w:trPr>
          <w:trHeight w:val="266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B40A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food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B5D5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69D3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7507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8248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DDF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514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5%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241D17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47.8%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7CC99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43.5%</w:t>
            </w:r>
          </w:p>
        </w:tc>
      </w:tr>
      <w:tr w:rsidR="00C82240" w:rsidRPr="00B80537" w14:paraId="6112CD2C" w14:textId="77777777" w:rsidTr="00C82240">
        <w:trPr>
          <w:trHeight w:val="266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BE15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games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E625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1FD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C5FB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1058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B17E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3172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5%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DADA3A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43.8%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F2A78D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47.9%</w:t>
            </w:r>
          </w:p>
        </w:tc>
      </w:tr>
      <w:tr w:rsidR="00C82240" w:rsidRPr="00B80537" w14:paraId="7CF9E114" w14:textId="77777777" w:rsidTr="00C82240">
        <w:trPr>
          <w:trHeight w:val="266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020E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journalism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8A3B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EDA6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C89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B65A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358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16BC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0%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EEF3E0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100.0%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0EC07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0.0%</w:t>
            </w:r>
          </w:p>
        </w:tc>
      </w:tr>
      <w:tr w:rsidR="00C82240" w:rsidRPr="00B80537" w14:paraId="12C0DA41" w14:textId="77777777" w:rsidTr="00C82240">
        <w:trPr>
          <w:trHeight w:val="266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AC49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music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3546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A69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6809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0D2B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99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F3AD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175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1181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18%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EF840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56.6%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A8548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37.7%</w:t>
            </w:r>
          </w:p>
        </w:tc>
      </w:tr>
      <w:tr w:rsidR="00C82240" w:rsidRPr="00B80537" w14:paraId="02CDB8E1" w14:textId="77777777" w:rsidTr="00C82240">
        <w:trPr>
          <w:trHeight w:val="266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9D19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photography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8561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7DAE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52D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67F5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1ECC8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59923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4%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809D73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61.9%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24EE0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26.2%</w:t>
            </w:r>
          </w:p>
        </w:tc>
      </w:tr>
      <w:tr w:rsidR="00C82240" w:rsidRPr="00B80537" w14:paraId="63BC3CF0" w14:textId="77777777" w:rsidTr="00C82240">
        <w:trPr>
          <w:trHeight w:val="266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A33EE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publishing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010A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A35E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129C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ACC2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7042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6F6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7%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1A19E2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59.7%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5FC2AD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35.8%</w:t>
            </w:r>
          </w:p>
        </w:tc>
      </w:tr>
      <w:tr w:rsidR="00C82240" w:rsidRPr="00B80537" w14:paraId="0A0B90AA" w14:textId="77777777" w:rsidTr="00C82240">
        <w:trPr>
          <w:trHeight w:val="307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B813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technology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9887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54E6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DDE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C069E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6D1B6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05C2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10%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11F118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66.7%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5AE4E3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29.2%</w:t>
            </w:r>
          </w:p>
        </w:tc>
      </w:tr>
      <w:tr w:rsidR="00C82240" w:rsidRPr="00B80537" w14:paraId="0D16723F" w14:textId="77777777" w:rsidTr="00C82240">
        <w:trPr>
          <w:trHeight w:val="266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8612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theater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6936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FC16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132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85B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0499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187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F353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344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DAA3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34%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F89BB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54.4%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7BC3E2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color w:val="000000"/>
                <w:kern w:val="0"/>
                <w:sz w:val="18"/>
                <w:szCs w:val="18"/>
                <w14:ligatures w14:val="none"/>
              </w:rPr>
              <w:t>38.4%</w:t>
            </w:r>
          </w:p>
        </w:tc>
      </w:tr>
      <w:tr w:rsidR="00C82240" w:rsidRPr="00B80537" w14:paraId="131EEF3A" w14:textId="77777777" w:rsidTr="00C82240">
        <w:trPr>
          <w:trHeight w:val="266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2996C1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Grand Total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8948F9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C150A5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364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3FC220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072CF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565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54529F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F290A1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A33580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56.5%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482E24" w14:textId="77777777" w:rsidR="00C82240" w:rsidRPr="00C82240" w:rsidRDefault="00C82240" w:rsidP="00ED49DC">
            <w:pPr>
              <w:spacing w:after="0" w:line="240" w:lineRule="auto"/>
              <w:jc w:val="both"/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C82240">
              <w:rPr>
                <w:rFonts w:ascii="Aptos Narrow" w:eastAsia="Times New Roman" w:hAnsi="Aptos Narrow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36.4%</w:t>
            </w:r>
          </w:p>
        </w:tc>
      </w:tr>
    </w:tbl>
    <w:p w14:paraId="6F02F870" w14:textId="77777777" w:rsidR="002E5082" w:rsidRPr="00B80537" w:rsidRDefault="002E5082" w:rsidP="00ED49DC">
      <w:pPr>
        <w:ind w:left="360"/>
        <w:jc w:val="both"/>
        <w:rPr>
          <w:rFonts w:ascii="Aptos Narrow" w:hAnsi="Aptos Narrow"/>
        </w:rPr>
      </w:pPr>
    </w:p>
    <w:p w14:paraId="2EDD957D" w14:textId="77777777" w:rsidR="00C82240" w:rsidRPr="00B80537" w:rsidRDefault="00C82240" w:rsidP="00ED49DC">
      <w:pPr>
        <w:ind w:left="360"/>
        <w:jc w:val="both"/>
        <w:rPr>
          <w:rFonts w:ascii="Aptos Narrow" w:hAnsi="Aptos Narrow"/>
        </w:rPr>
      </w:pPr>
    </w:p>
    <w:p w14:paraId="0EE01154" w14:textId="77777777" w:rsidR="00C82240" w:rsidRPr="00B80537" w:rsidRDefault="00C82240" w:rsidP="00ED49DC">
      <w:pPr>
        <w:ind w:left="360"/>
        <w:jc w:val="both"/>
        <w:rPr>
          <w:rFonts w:ascii="Aptos Narrow" w:hAnsi="Aptos Narrow"/>
        </w:rPr>
      </w:pPr>
    </w:p>
    <w:p w14:paraId="7C48903D" w14:textId="2BC74F81" w:rsidR="00C82240" w:rsidRPr="00B80537" w:rsidRDefault="00C82240" w:rsidP="00ED49DC">
      <w:pPr>
        <w:ind w:left="360"/>
        <w:jc w:val="both"/>
        <w:rPr>
          <w:rFonts w:ascii="Aptos Narrow" w:hAnsi="Aptos Narrow"/>
        </w:rPr>
      </w:pPr>
      <w:r w:rsidRPr="00B80537">
        <w:rPr>
          <w:rFonts w:ascii="Aptos Narrow" w:hAnsi="Aptos Narrow"/>
        </w:rPr>
        <w:t xml:space="preserve">For a better understanding of the statistics, I would create </w:t>
      </w:r>
      <w:r w:rsidR="00C40B5A">
        <w:rPr>
          <w:rFonts w:ascii="Aptos Narrow" w:hAnsi="Aptos Narrow"/>
        </w:rPr>
        <w:t>boxplot</w:t>
      </w:r>
      <w:r w:rsidRPr="00B80537">
        <w:rPr>
          <w:rFonts w:ascii="Aptos Narrow" w:hAnsi="Aptos Narrow"/>
        </w:rPr>
        <w:t xml:space="preserve"> graphs to visualize the variation of the data, like the following:</w:t>
      </w:r>
    </w:p>
    <w:p w14:paraId="3954F91A" w14:textId="5D0928F7" w:rsidR="00C82240" w:rsidRPr="00B80537" w:rsidRDefault="00C82240" w:rsidP="00ED49DC">
      <w:pPr>
        <w:ind w:left="360"/>
        <w:jc w:val="both"/>
        <w:rPr>
          <w:rFonts w:ascii="Aptos Narrow" w:hAnsi="Aptos Narrow"/>
        </w:rPr>
      </w:pPr>
      <w:r w:rsidRPr="00B80537">
        <w:rPr>
          <w:rFonts w:ascii="Aptos Narrow" w:hAnsi="Aptos Narrow"/>
          <w:noProof/>
        </w:rPr>
        <mc:AlternateContent>
          <mc:Choice Requires="cx1">
            <w:drawing>
              <wp:inline distT="0" distB="0" distL="0" distR="0" wp14:anchorId="43756306" wp14:editId="55EF5E3E">
                <wp:extent cx="2743200" cy="3497580"/>
                <wp:effectExtent l="0" t="0" r="0" b="7620"/>
                <wp:docPr id="135821915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DDC585-CB42-4E66-8B9F-00442D950D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43756306" wp14:editId="55EF5E3E">
                <wp:extent cx="2743200" cy="3497580"/>
                <wp:effectExtent l="0" t="0" r="0" b="7620"/>
                <wp:docPr id="135821915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DDC585-CB42-4E66-8B9F-00442D950D4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8219150" name="Chart 1">
                          <a:extLst>
                            <a:ext uri="{FF2B5EF4-FFF2-40B4-BE49-F238E27FC236}">
                              <a16:creationId xmlns:a16="http://schemas.microsoft.com/office/drawing/2014/main" id="{72DDC585-CB42-4E66-8B9F-00442D950D4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497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B80537">
        <w:rPr>
          <w:rFonts w:ascii="Aptos Narrow" w:hAnsi="Aptos Narrow"/>
          <w:noProof/>
        </w:rPr>
        <mc:AlternateContent>
          <mc:Choice Requires="cx1">
            <w:drawing>
              <wp:inline distT="0" distB="0" distL="0" distR="0" wp14:anchorId="75920639" wp14:editId="09BD4E66">
                <wp:extent cx="2788920" cy="3498850"/>
                <wp:effectExtent l="0" t="0" r="11430" b="6350"/>
                <wp:docPr id="661342774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0C7B32-AB45-0C1A-9A28-2646589BF0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5920639" wp14:editId="09BD4E66">
                <wp:extent cx="2788920" cy="3498850"/>
                <wp:effectExtent l="0" t="0" r="11430" b="6350"/>
                <wp:docPr id="661342774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0C7B32-AB45-0C1A-9A28-2646589BF09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1342774" name="Chart 2">
                          <a:extLst>
                            <a:ext uri="{FF2B5EF4-FFF2-40B4-BE49-F238E27FC236}">
                              <a16:creationId xmlns:a16="http://schemas.microsoft.com/office/drawing/2014/main" id="{0C0C7B32-AB45-0C1A-9A28-2646589BF09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20" cy="349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4677D4C" w14:textId="77777777" w:rsidR="00C82240" w:rsidRPr="00B80537" w:rsidRDefault="00C82240" w:rsidP="00ED49DC">
      <w:pPr>
        <w:ind w:left="360"/>
        <w:jc w:val="both"/>
        <w:rPr>
          <w:rFonts w:ascii="Aptos Narrow" w:hAnsi="Aptos Narrow"/>
        </w:rPr>
      </w:pPr>
    </w:p>
    <w:sectPr w:rsidR="00C82240" w:rsidRPr="00B80537" w:rsidSect="00C82240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44F0"/>
    <w:multiLevelType w:val="hybridMultilevel"/>
    <w:tmpl w:val="9EB40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99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0A"/>
    <w:rsid w:val="00173E80"/>
    <w:rsid w:val="00177016"/>
    <w:rsid w:val="00200CB0"/>
    <w:rsid w:val="002E5082"/>
    <w:rsid w:val="004064B9"/>
    <w:rsid w:val="0044230A"/>
    <w:rsid w:val="00573F41"/>
    <w:rsid w:val="00594A57"/>
    <w:rsid w:val="005A3891"/>
    <w:rsid w:val="00710954"/>
    <w:rsid w:val="00754847"/>
    <w:rsid w:val="00932E5E"/>
    <w:rsid w:val="00B80537"/>
    <w:rsid w:val="00C40B5A"/>
    <w:rsid w:val="00C82240"/>
    <w:rsid w:val="00CB3EAF"/>
    <w:rsid w:val="00D35CAA"/>
    <w:rsid w:val="00DB0DFC"/>
    <w:rsid w:val="00E32DA2"/>
    <w:rsid w:val="00E76E9B"/>
    <w:rsid w:val="00ED49DC"/>
    <w:rsid w:val="00FE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139C6"/>
  <w15:chartTrackingRefBased/>
  <w15:docId w15:val="{B10B2EF7-83BB-41E3-B757-CA0937F1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4/relationships/chartEx" Target="charts/chart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iche\OneDrive\Documents\Michele\1%20-%20BOOTCAMP\1%20-%20Module\Starter_Code\Starter_Code\MICHELE\CrowdfundingBoo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miche\OneDrive\Documents\Michele\1%20-%20BOOTCAMP\1%20-%20Module\Starter_Code\Starter_Code\MICHELE\CrowdfundingBoo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Statistics!$B$2:$B$566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</cx:chartData>
  <cx:chart>
    <cx:title pos="t" align="ctr" overlay="0">
      <cx:tx>
        <cx:txData>
          <cx:v>Successful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1100" b="1">
              <a:latin typeface="Aptos Narrow" panose="020B0004020202020204" pitchFamily="34" charset="0"/>
              <a:ea typeface="Aptos Narrow" panose="020B0004020202020204" pitchFamily="34" charset="0"/>
              <a:cs typeface="Aptos Narrow" panose="020B0004020202020204" pitchFamily="34" charset="0"/>
            </a:defRPr>
          </a:pPr>
          <a:r>
            <a:rPr lang="en-US" sz="14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0B0004020202020204" pitchFamily="34" charset="0"/>
            </a:rPr>
            <a:t>Successful</a:t>
          </a:r>
        </a:p>
      </cx:txPr>
    </cx:title>
    <cx:plotArea>
      <cx:plotAreaRegion>
        <cx:series layoutId="boxWhisker" uniqueId="{44FDA3DF-D426-494A-BCF8-0AF25E78FF42}">
          <cx:tx>
            <cx:txData>
              <cx:f>Statistics!$B$1</cx:f>
              <cx:v>backers_count</cx:v>
            </cx:txData>
          </cx:tx>
          <cx:spPr>
            <a:solidFill>
              <a:srgbClr val="009999"/>
            </a:solidFill>
          </cx:spPr>
          <cx:dataId val="0"/>
          <cx:layoutPr>
            <cx:statistics quartileMethod="exclusive"/>
          </cx:layoutPr>
        </cx:series>
      </cx:plotAreaRegion>
      <cx:axis id="0">
        <cx:catScaling gapWidth="1.5"/>
        <cx:tickLabels/>
        <cx:txPr>
          <a:bodyPr vertOverflow="overflow" horzOverflow="overflow" wrap="square" lIns="0" tIns="0" rIns="0" bIns="0"/>
          <a:lstStyle/>
          <a:p>
            <a:pPr algn="ctr" rtl="0">
              <a:defRPr sz="1100" b="0" i="0">
                <a:solidFill>
                  <a:srgbClr val="595959"/>
                </a:solidFill>
                <a:latin typeface="Aptos Narrow" panose="020B0004020202020204" pitchFamily="34" charset="0"/>
                <a:ea typeface="Aptos Narrow" panose="020B0004020202020204" pitchFamily="34" charset="0"/>
                <a:cs typeface="Aptos Narrow" panose="020B0004020202020204" pitchFamily="34" charset="0"/>
              </a:defRPr>
            </a:pPr>
            <a:endParaRPr lang="en-US" sz="1100">
              <a:latin typeface="Aptos Narrow" panose="020B0004020202020204" pitchFamily="34" charset="0"/>
            </a:endParaRPr>
          </a:p>
        </cx:txPr>
      </cx:axis>
      <cx:axis id="1">
        <cx:valScaling/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100" b="0" i="0">
                <a:solidFill>
                  <a:srgbClr val="595959"/>
                </a:solidFill>
                <a:latin typeface="Aptos Narrow" panose="020B0004020202020204" pitchFamily="34" charset="0"/>
                <a:ea typeface="Aptos Narrow" panose="020B0004020202020204" pitchFamily="34" charset="0"/>
                <a:cs typeface="Aptos Narrow" panose="020B0004020202020204" pitchFamily="34" charset="0"/>
              </a:defRPr>
            </a:pPr>
            <a:endParaRPr lang="en-US" sz="1100">
              <a:latin typeface="Aptos Narrow" panose="020B0004020202020204" pitchFamily="34" charset="0"/>
            </a:endParaRPr>
          </a:p>
        </cx:txPr>
      </cx:axis>
    </cx:plotArea>
    <cx:legend pos="t" align="ctr" overlay="0">
      <cx:txPr>
        <a:bodyPr vertOverflow="overflow" horzOverflow="overflow" wrap="square" lIns="0" tIns="0" rIns="0" bIns="0"/>
        <a:lstStyle/>
        <a:p>
          <a:pPr algn="ctr" rtl="0">
            <a:defRPr sz="1100" b="0" i="0">
              <a:solidFill>
                <a:srgbClr val="595959"/>
              </a:solidFill>
              <a:latin typeface="Aptos Narrow" panose="020B0004020202020204" pitchFamily="34" charset="0"/>
              <a:ea typeface="Aptos Narrow" panose="020B0004020202020204" pitchFamily="34" charset="0"/>
              <a:cs typeface="Aptos Narrow" panose="020B0004020202020204" pitchFamily="34" charset="0"/>
            </a:defRPr>
          </a:pPr>
          <a:endParaRPr lang="en-US" sz="1100">
            <a:latin typeface="Aptos Narrow" panose="020B0004020202020204" pitchFamily="34" charset="0"/>
          </a:endParaRPr>
        </a:p>
      </cx:txPr>
    </cx:legend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Statistics!$E$2:$E$365</cx:f>
        <cx:lvl ptCount="364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>
      <cx:tx>
        <cx:txData>
          <cx:v>Failed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1100" b="1">
              <a:latin typeface="Aptos Narrow" panose="020B0004020202020204" pitchFamily="34" charset="0"/>
              <a:ea typeface="Aptos Narrow" panose="020B0004020202020204" pitchFamily="34" charset="0"/>
              <a:cs typeface="Aptos Narrow" panose="020B0004020202020204" pitchFamily="34" charset="0"/>
            </a:defRPr>
          </a:pPr>
          <a:r>
            <a:rPr lang="en-US" sz="14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ptos Narrow" panose="020B0004020202020204" pitchFamily="34" charset="0"/>
            </a:rPr>
            <a:t>Failed</a:t>
          </a:r>
        </a:p>
      </cx:txPr>
    </cx:title>
    <cx:plotArea>
      <cx:plotAreaRegion>
        <cx:series layoutId="boxWhisker" uniqueId="{366FA6E5-F7CE-4EA3-BB3B-AD1A16378BFB}">
          <cx:tx>
            <cx:txData>
              <cx:f>Statistics!$E$1</cx:f>
              <cx:v>backers_count</cx:v>
            </cx:txData>
          </cx:tx>
          <cx:spPr>
            <a:solidFill>
              <a:srgbClr val="009999"/>
            </a:solidFill>
          </cx:spPr>
          <cx:dataId val="0"/>
          <cx:layoutPr>
            <cx:statistics quartileMethod="exclusive"/>
          </cx:layoutPr>
        </cx:series>
      </cx:plotAreaRegion>
      <cx:axis id="0">
        <cx:catScaling gapWidth="1"/>
        <cx:tickLabels/>
        <cx:txPr>
          <a:bodyPr vertOverflow="overflow" horzOverflow="overflow" wrap="square" lIns="0" tIns="0" rIns="0" bIns="0"/>
          <a:lstStyle/>
          <a:p>
            <a:pPr algn="ctr" rtl="0">
              <a:defRPr sz="1100" b="0" i="0">
                <a:solidFill>
                  <a:srgbClr val="595959"/>
                </a:solidFill>
                <a:latin typeface="Aptos Narrow" panose="020B0004020202020204" pitchFamily="34" charset="0"/>
                <a:ea typeface="Aptos Narrow" panose="020B0004020202020204" pitchFamily="34" charset="0"/>
                <a:cs typeface="Aptos Narrow" panose="020B0004020202020204" pitchFamily="34" charset="0"/>
              </a:defRPr>
            </a:pPr>
            <a:endParaRPr lang="en-US" sz="1100">
              <a:latin typeface="Aptos Narrow" panose="020B0004020202020204" pitchFamily="34" charset="0"/>
            </a:endParaRPr>
          </a:p>
        </cx:txPr>
      </cx:axis>
      <cx:axis id="1">
        <cx:valScaling max="8000"/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100" b="0" i="0">
                <a:solidFill>
                  <a:srgbClr val="595959"/>
                </a:solidFill>
                <a:latin typeface="Aptos Narrow" panose="020B0004020202020204" pitchFamily="34" charset="0"/>
                <a:ea typeface="Aptos Narrow" panose="020B0004020202020204" pitchFamily="34" charset="0"/>
                <a:cs typeface="Aptos Narrow" panose="020B0004020202020204" pitchFamily="34" charset="0"/>
              </a:defRPr>
            </a:pPr>
            <a:endParaRPr lang="en-US" sz="1100">
              <a:latin typeface="Aptos Narrow" panose="020B0004020202020204" pitchFamily="34" charset="0"/>
            </a:endParaRPr>
          </a:p>
        </cx:txPr>
      </cx:axis>
    </cx:plotArea>
    <cx:legend pos="t" align="ctr" overlay="0">
      <cx:txPr>
        <a:bodyPr vertOverflow="overflow" horzOverflow="overflow" wrap="square" lIns="0" tIns="0" rIns="0" bIns="0"/>
        <a:lstStyle/>
        <a:p>
          <a:pPr algn="ctr" rtl="0">
            <a:defRPr sz="1100" b="0" i="0">
              <a:solidFill>
                <a:srgbClr val="595959"/>
              </a:solidFill>
              <a:latin typeface="Aptos Narrow" panose="020B0004020202020204" pitchFamily="34" charset="0"/>
              <a:ea typeface="Aptos Narrow" panose="020B0004020202020204" pitchFamily="34" charset="0"/>
              <a:cs typeface="Aptos Narrow" panose="020B0004020202020204" pitchFamily="34" charset="0"/>
            </a:defRPr>
          </a:pPr>
          <a:endParaRPr lang="en-US" sz="1100">
            <a:latin typeface="Aptos Narrow" panose="020B0004020202020204" pitchFamily="34" charset="0"/>
          </a:endParaRPr>
        </a:p>
      </cx:txPr>
    </cx:legend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7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lt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lumMod val="60000"/>
        </a:schemeClr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2857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25400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2857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455</Words>
  <Characters>2170</Characters>
  <Application>Microsoft Office Word</Application>
  <DocSecurity>0</DocSecurity>
  <Lines>135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di Sanctis</dc:creator>
  <cp:keywords/>
  <dc:description/>
  <cp:lastModifiedBy>Michele di Sanctis</cp:lastModifiedBy>
  <cp:revision>7</cp:revision>
  <dcterms:created xsi:type="dcterms:W3CDTF">2023-10-04T18:54:00Z</dcterms:created>
  <dcterms:modified xsi:type="dcterms:W3CDTF">2023-10-05T14:52:00Z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123824b9-0515-4a0b-81d0-5c3bca2212a2</vt:lpwstr>
  </property>
</Properties>
</file>