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61" w:rsidRDefault="00630F6A">
      <w:r>
        <w:t>Liens :</w:t>
      </w:r>
    </w:p>
    <w:p w:rsidR="00630F6A" w:rsidRDefault="00630F6A">
      <w:hyperlink r:id="rId4" w:history="1">
        <w:r>
          <w:rPr>
            <w:rStyle w:val="Lienhypertexte"/>
          </w:rPr>
          <w:t>http://catiadoc.free.fr/online/xomugpst_C2/xomugpstxm0103.htm</w:t>
        </w:r>
      </w:hyperlink>
    </w:p>
    <w:p w:rsidR="00630F6A" w:rsidRDefault="00630F6A">
      <w:hyperlink r:id="rId5" w:history="1">
        <w:r w:rsidRPr="00630F6A">
          <w:rPr>
            <w:rStyle w:val="Lienhypertexte"/>
          </w:rPr>
          <w:t>http://yvonet.florent.free.fr/SERVEUR/COURS%20CATIA/CATIA%20Mechanical/ASM_A/Student/EDU_CAT_EN_ASM_AF_V5R19_toprint.pdf</w:t>
        </w:r>
      </w:hyperlink>
    </w:p>
    <w:p w:rsidR="00630F6A" w:rsidRPr="00630F6A" w:rsidRDefault="00630F6A" w:rsidP="00630F6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COE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Administrator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p11470"/>
      <w:bookmarkEnd w:id="0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May 5, 2005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12: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>06 PM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As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from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about R10 a option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called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30F6A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use root </w:t>
      </w:r>
      <w:proofErr w:type="spellStart"/>
      <w:r w:rsidRPr="00630F6A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b/>
          <w:bCs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 has been in the Part section of Tools Options.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I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believe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function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constraints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rembered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at the parent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sub-product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left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assmebly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constraints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remebered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at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highest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within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structure.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remove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some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constraint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conflicts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anybody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know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anything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about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other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implications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setting </w:t>
      </w:r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has?</w:t>
      </w:r>
      <w:proofErr w:type="gramEnd"/>
    </w:p>
    <w:p w:rsidR="00630F6A" w:rsidRPr="00630F6A" w:rsidRDefault="00630F6A" w:rsidP="00630F6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Jim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Strawn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1" w:name="p30557"/>
      <w:bookmarkEnd w:id="1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May 5, 2005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03: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16 PM (in </w:t>
      </w: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response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to </w:t>
      </w:r>
      <w:hyperlink r:id="rId6" w:anchor="p11470" w:history="1"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Arial" w:eastAsia="Times New Roman" w:hAnsi="Arial" w:cs="Arial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You are correct,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 OFF CATIA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defines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as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Lowest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Common Product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Source and Target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belong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problem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additional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tie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into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different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Generally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best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the Top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Product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assemblies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0F6A" w:rsidRPr="00630F6A" w:rsidRDefault="00630F6A" w:rsidP="00630F6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COE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Administrator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2" w:name="p30566"/>
      <w:bookmarkEnd w:id="2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May 6, 2005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07: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06 AM (in </w:t>
      </w: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response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to </w:t>
      </w:r>
      <w:hyperlink r:id="rId7" w:anchor="p11470" w:history="1"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Arial" w:eastAsia="Times New Roman" w:hAnsi="Arial" w:cs="Arial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spellEnd"/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from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saying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KEEP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on. I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always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thought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stopped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alot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Design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conflicts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could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give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me 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example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benefit</w:t>
      </w:r>
      <w:proofErr w:type="spellEnd"/>
    </w:p>
    <w:p w:rsidR="00630F6A" w:rsidRPr="00630F6A" w:rsidRDefault="00630F6A" w:rsidP="00630F6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Jim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Strawn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3" w:name="p30572"/>
      <w:bookmarkEnd w:id="3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May 6, 2005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10: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46 AM (in </w:t>
      </w: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response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to </w:t>
      </w:r>
      <w:hyperlink r:id="rId8" w:anchor="p11470" w:history="1"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Arial" w:eastAsia="Times New Roman" w:hAnsi="Arial" w:cs="Arial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Whether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 or OFF,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need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take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should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really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planned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out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before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start, or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get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into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much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trouble.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While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may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seem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like a good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idea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start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another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rapidly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get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yourself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into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very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large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tangle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started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several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"Control" parts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contain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common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geometry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for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Each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elements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Published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turned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 the option to "Link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Published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Elements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Each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every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contains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"Control" parts,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those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parts (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although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several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at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same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time). This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clear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understanding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as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source of the links are,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don't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run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into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Circular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References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(Part A links to Part B,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to Part C,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back to Part A).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also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tell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users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Links,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always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open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their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from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Top Product.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the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turned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always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know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for the links,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don't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search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find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tricky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a VPM world).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That, at least,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theory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actual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fact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of course,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are all over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board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Determining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a part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very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difficult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loaded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from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VPM, Edit Links tells us the COID/COMPID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It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not tell us the Part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Number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At R13,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issue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Load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command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from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completely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wiped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out,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need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discard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re-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load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 A real pain.</w:t>
      </w:r>
    </w:p>
    <w:p w:rsidR="00630F6A" w:rsidRPr="00630F6A" w:rsidRDefault="00630F6A" w:rsidP="00630F6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COE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Administrator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4" w:name="p30573"/>
      <w:bookmarkEnd w:id="4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May 6, 2005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11: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09 AM (in </w:t>
      </w: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response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to </w:t>
      </w:r>
      <w:hyperlink r:id="rId9" w:anchor="p11470" w:history="1"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Arial" w:eastAsia="Times New Roman" w:hAnsi="Arial" w:cs="Arial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skeleton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approach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possible and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users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told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reference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published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elements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although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do not force the use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published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elements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found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design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Product open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open a part 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own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open </w:t>
      </w:r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 in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another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for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ever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re-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defining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very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annoying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after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second time.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users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forced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open the top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Product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every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time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not have an impact on the hardware.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I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currently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involved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Engine Design in V5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wherever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possible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not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load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whole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engine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because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strain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 the machines.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now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started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CCP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approach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spec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driven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(as per DS)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Anyway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ever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found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 solves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problems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or not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because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 suppose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open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highest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should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never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occur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t>---------------------------------------------------------------------------------------------------------------------------------</w:t>
      </w:r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Switching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on/off "root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" option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February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22, 2007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03: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>30 AM</w:t>
      </w:r>
    </w:p>
    <w:p w:rsidR="00630F6A" w:rsidRPr="00630F6A" w:rsidRDefault="00630F6A" w:rsidP="00630F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>Hello all,</w:t>
      </w:r>
    </w:p>
    <w:p w:rsidR="00630F6A" w:rsidRPr="00630F6A" w:rsidRDefault="00630F6A" w:rsidP="00630F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anybody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knows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exactly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impact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switching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off the "use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during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design </w:t>
      </w:r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process?</w:t>
      </w:r>
      <w:proofErr w:type="gramEnd"/>
    </w:p>
    <w:p w:rsidR="00630F6A" w:rsidRPr="00630F6A" w:rsidRDefault="00630F6A" w:rsidP="00630F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This option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by default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but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because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implementation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a new VPDM,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had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de-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activate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Apparently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won't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change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anything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since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always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kept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at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same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tree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2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), but by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experience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I've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seen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few times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models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been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started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option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switched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-on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comptletly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corrupted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after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de-activation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option. So I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wondering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hidden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option.</w:t>
      </w:r>
    </w:p>
    <w:p w:rsidR="00630F6A" w:rsidRPr="00630F6A" w:rsidRDefault="00630F6A" w:rsidP="00630F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So if,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anybody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knows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It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would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really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appreciated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0F6A" w:rsidRPr="00630F6A" w:rsidRDefault="00630F6A" w:rsidP="00630F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>Regards,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>Marc</w:t>
      </w:r>
    </w:p>
    <w:p w:rsidR="00630F6A" w:rsidRPr="00630F6A" w:rsidRDefault="00630F6A" w:rsidP="00630F6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Jim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Strawn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5" w:name="p43941"/>
      <w:bookmarkEnd w:id="5"/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RE:</w:t>
      </w:r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Switching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on/off "root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" option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February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27, 2007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09: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25 AM (in </w:t>
      </w: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response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to </w:t>
      </w:r>
      <w:hyperlink r:id="rId10" w:anchor="p15748" w:history="1"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Arial" w:eastAsia="Times New Roman" w:hAnsi="Arial" w:cs="Arial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controls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"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ON,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highest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tree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always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taken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as the "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OFF, CATIA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calculate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lowest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common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defined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as the "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This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works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fine if all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at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same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(or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lower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). But as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soon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a part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another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branch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tree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one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has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higher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common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CATIA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error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out and tell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in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wrong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I'm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not sure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CATIA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ever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gave us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option, as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very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confusing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someone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doesn't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understand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very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30F6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Contextual</w:t>
      </w:r>
      <w:proofErr w:type="spellEnd"/>
      <w:r w:rsidRPr="00630F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Links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October</w:t>
      </w:r>
      <w:proofErr w:type="spell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 xml:space="preserve"> 14, 2005 </w:t>
      </w:r>
      <w:proofErr w:type="gram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04:</w:t>
      </w:r>
      <w:proofErr w:type="gram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13 PM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6A">
        <w:rPr>
          <w:rFonts w:ascii="Times New Roman" w:eastAsia="Times New Roman" w:hAnsi="Times New Roman" w:cs="Times New Roman"/>
          <w:sz w:val="24"/>
          <w:szCs w:val="24"/>
        </w:rPr>
        <w:t>Hello,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  <w:t xml:space="preserve">To do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contextual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links, do i active or not the settings "Use Root as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" in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Infrastrcuture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Part settings ?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are the impacts if i use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active setting or inactive one ?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Thank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  <w:t>Best regards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Drz</w:t>
      </w:r>
      <w:proofErr w:type="spellEnd"/>
    </w:p>
    <w:p w:rsidR="00630F6A" w:rsidRPr="00630F6A" w:rsidRDefault="00630F6A" w:rsidP="00630F6A">
      <w:pPr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David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Siebenaler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6" w:name="p33614"/>
      <w:bookmarkEnd w:id="6"/>
      <w:proofErr w:type="spellStart"/>
      <w:r w:rsidRPr="00630F6A">
        <w:rPr>
          <w:rFonts w:ascii="Times New Roman" w:eastAsia="Times New Roman" w:hAnsi="Times New Roman" w:cs="Times New Roman"/>
          <w:color w:val="333333"/>
          <w:sz w:val="24"/>
          <w:szCs w:val="24"/>
        </w:rPr>
        <w:t>Contextual</w:t>
      </w:r>
      <w:proofErr w:type="spellEnd"/>
      <w:r w:rsidRPr="00630F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Links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October</w:t>
      </w:r>
      <w:proofErr w:type="spell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 xml:space="preserve"> 14, 2005 </w:t>
      </w:r>
      <w:proofErr w:type="gram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05:</w:t>
      </w:r>
      <w:proofErr w:type="gram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 xml:space="preserve">20 PM (in </w:t>
      </w:r>
      <w:proofErr w:type="spell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response</w:t>
      </w:r>
      <w:proofErr w:type="spell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 xml:space="preserve"> to </w:t>
      </w:r>
      <w:hyperlink r:id="rId11" w:anchor="p12460" w:history="1">
        <w:r w:rsidRPr="00630F6A">
          <w:rPr>
            <w:rFonts w:ascii="Times New Roman" w:eastAsia="Times New Roman" w:hAnsi="Times New Roman" w:cs="Times New Roman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Times New Roman" w:eastAsia="Times New Roman" w:hAnsi="Times New Roman" w:cs="Times New Roman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Use Root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Assembly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, the top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, the root, of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CATProduct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external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links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regardless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the location of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or the parent in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specification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CATProduct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Use Root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Assembly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external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links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lowest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possible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CATProduct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determined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by the location of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and the parent. So, if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parent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root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part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top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, the root, of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CATProduct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regardless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located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CATProduct’s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specification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0F6A" w:rsidRPr="00630F6A" w:rsidRDefault="00630F6A" w:rsidP="00630F6A">
      <w:pPr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COE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Administrator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7" w:name="p33627"/>
      <w:bookmarkEnd w:id="7"/>
      <w:proofErr w:type="spellStart"/>
      <w:r w:rsidRPr="00630F6A">
        <w:rPr>
          <w:rFonts w:ascii="Times New Roman" w:eastAsia="Times New Roman" w:hAnsi="Times New Roman" w:cs="Times New Roman"/>
          <w:color w:val="333333"/>
          <w:sz w:val="24"/>
          <w:szCs w:val="24"/>
        </w:rPr>
        <w:t>Contextual</w:t>
      </w:r>
      <w:proofErr w:type="spellEnd"/>
      <w:r w:rsidRPr="00630F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Links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October</w:t>
      </w:r>
      <w:proofErr w:type="spell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 xml:space="preserve"> 15, 2005 </w:t>
      </w:r>
      <w:proofErr w:type="gram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03:</w:t>
      </w:r>
      <w:proofErr w:type="gram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 xml:space="preserve">53 AM (in </w:t>
      </w:r>
      <w:proofErr w:type="spellStart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response</w:t>
      </w:r>
      <w:proofErr w:type="spellEnd"/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 xml:space="preserve"> to </w:t>
      </w:r>
      <w:hyperlink r:id="rId12" w:anchor="p12460" w:history="1">
        <w:r w:rsidRPr="00630F6A">
          <w:rPr>
            <w:rFonts w:ascii="Times New Roman" w:eastAsia="Times New Roman" w:hAnsi="Times New Roman" w:cs="Times New Roman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Times New Roman" w:eastAsia="Times New Roman" w:hAnsi="Times New Roman" w:cs="Times New Roman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Times New Roman" w:eastAsia="Times New Roman" w:hAnsi="Times New Roman" w:cs="Times New Roman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6A">
        <w:rPr>
          <w:rFonts w:ascii="Times New Roman" w:eastAsia="Times New Roman" w:hAnsi="Times New Roman" w:cs="Times New Roman"/>
          <w:sz w:val="24"/>
          <w:szCs w:val="24"/>
        </w:rPr>
        <w:t>Hello,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  <w:t xml:space="preserve">Ok. I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understang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Nevertheless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looking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restrictions in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cases :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"Root as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" or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"Root as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". For exemple, I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think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impossible to open a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sub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assembly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contextual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alone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root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design in the case of a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complex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CATProduct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  <w:t xml:space="preserve">Do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king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of information ?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Thank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630F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r w:rsidRPr="00630F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30F6A">
        <w:rPr>
          <w:rFonts w:ascii="Times New Roman" w:eastAsia="Times New Roman" w:hAnsi="Times New Roman" w:cs="Times New Roman"/>
          <w:sz w:val="24"/>
          <w:szCs w:val="24"/>
        </w:rPr>
        <w:t>Drz</w:t>
      </w:r>
      <w:proofErr w:type="spellEnd"/>
    </w:p>
    <w:p w:rsidR="00630F6A" w:rsidRPr="00630F6A" w:rsidRDefault="00630F6A" w:rsidP="00630F6A">
      <w:pPr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David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Siebenaler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8" w:name="p33655"/>
      <w:bookmarkEnd w:id="8"/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October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17, 2005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02: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00 PM (in </w:t>
      </w: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response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to </w:t>
      </w:r>
      <w:hyperlink r:id="rId13" w:anchor="p12460" w:history="1"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Arial" w:eastAsia="Times New Roman" w:hAnsi="Arial" w:cs="Arial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The key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behavior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not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option 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CATIA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establish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lowest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possible as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child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CATPart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This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determined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by the location of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child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the parent.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want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able to open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sub-assembly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all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instances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you’ll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need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all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common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parents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instanced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into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each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applicable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sub-assembly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This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result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a lot of duplicate instances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under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top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CATProduct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There are a lot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things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consider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weigh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using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common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parents – skeletons and </w:t>
      </w:r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loft?</w:t>
      </w:r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Size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sub-assembly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Distribution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work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– how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many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people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working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assemblies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There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isn’t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single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answer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You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need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find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right balance for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situation/team.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Trying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maintain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 as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built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structure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design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difficult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impossible. I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seen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situations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“Design”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assemblies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for System runs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instances are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structure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assemblies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structured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represent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as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built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Again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isn’t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single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answer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requirements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and process for </w:t>
      </w:r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toaster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different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commercial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airplane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Define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requirements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consider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options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find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right balance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Do I do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kind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work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?</w:t>
      </w:r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generally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work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an ENOVIA V5 LCA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environment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LCA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provides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virtual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Meaning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the ENOVIA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August 25, 2003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10: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>12 PM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>I have a question in /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tools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/options/Part Infrastructure/General.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"Use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mean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?</w:t>
      </w:r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I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cannot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understand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function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>Help me!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Author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: David</w:t>
      </w:r>
    </w:p>
    <w:p w:rsidR="00630F6A" w:rsidRPr="00630F6A" w:rsidRDefault="00630F6A" w:rsidP="00630F6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0082C8"/>
          <w:sz w:val="23"/>
          <w:szCs w:val="23"/>
        </w:rPr>
      </w:pPr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 xml:space="preserve">COE </w:t>
      </w:r>
      <w:proofErr w:type="spellStart"/>
      <w:r w:rsidRPr="00630F6A">
        <w:rPr>
          <w:rFonts w:ascii="Arial" w:eastAsia="Times New Roman" w:hAnsi="Arial" w:cs="Arial"/>
          <w:b/>
          <w:bCs/>
          <w:color w:val="0082C8"/>
          <w:sz w:val="23"/>
          <w:szCs w:val="23"/>
        </w:rPr>
        <w:t>Administrator</w:t>
      </w:r>
      <w:proofErr w:type="spellEnd"/>
    </w:p>
    <w:p w:rsidR="00630F6A" w:rsidRPr="00630F6A" w:rsidRDefault="00630F6A" w:rsidP="00630F6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9" w:name="p24455"/>
      <w:bookmarkEnd w:id="9"/>
      <w:r w:rsidRPr="00630F6A">
        <w:rPr>
          <w:rFonts w:ascii="Arial" w:eastAsia="Times New Roman" w:hAnsi="Arial" w:cs="Arial"/>
          <w:color w:val="333333"/>
          <w:sz w:val="21"/>
          <w:szCs w:val="21"/>
        </w:rPr>
        <w:t>-</w:t>
      </w:r>
    </w:p>
    <w:p w:rsidR="00630F6A" w:rsidRPr="00630F6A" w:rsidRDefault="00630F6A" w:rsidP="00630F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August 26, 2003 </w:t>
      </w:r>
      <w:proofErr w:type="gram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10:</w:t>
      </w:r>
      <w:proofErr w:type="gram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23 AM (in </w:t>
      </w:r>
      <w:proofErr w:type="spellStart"/>
      <w:r w:rsidRPr="00630F6A">
        <w:rPr>
          <w:rFonts w:ascii="Arial" w:eastAsia="Times New Roman" w:hAnsi="Arial" w:cs="Arial"/>
          <w:color w:val="777777"/>
          <w:sz w:val="17"/>
          <w:szCs w:val="17"/>
        </w:rPr>
        <w:t>response</w:t>
      </w:r>
      <w:proofErr w:type="spellEnd"/>
      <w:r w:rsidRPr="00630F6A">
        <w:rPr>
          <w:rFonts w:ascii="Arial" w:eastAsia="Times New Roman" w:hAnsi="Arial" w:cs="Arial"/>
          <w:color w:val="777777"/>
          <w:sz w:val="17"/>
          <w:szCs w:val="17"/>
        </w:rPr>
        <w:t xml:space="preserve"> to </w:t>
      </w:r>
      <w:hyperlink r:id="rId14" w:anchor="p6863" w:history="1"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 xml:space="preserve">COE </w:t>
        </w:r>
        <w:proofErr w:type="spellStart"/>
        <w:r w:rsidRPr="00630F6A">
          <w:rPr>
            <w:rFonts w:ascii="Arial" w:eastAsia="Times New Roman" w:hAnsi="Arial" w:cs="Arial"/>
            <w:color w:val="777777"/>
            <w:sz w:val="17"/>
            <w:szCs w:val="17"/>
            <w:u w:val="single"/>
          </w:rPr>
          <w:t>Administrator</w:t>
        </w:r>
        <w:proofErr w:type="spellEnd"/>
      </w:hyperlink>
      <w:r w:rsidRPr="00630F6A">
        <w:rPr>
          <w:rFonts w:ascii="Arial" w:eastAsia="Times New Roman" w:hAnsi="Arial" w:cs="Arial"/>
          <w:color w:val="777777"/>
          <w:sz w:val="17"/>
          <w:szCs w:val="17"/>
        </w:rPr>
        <w:t>)</w:t>
      </w:r>
    </w:p>
    <w:p w:rsidR="00630F6A" w:rsidRPr="00630F6A" w:rsidRDefault="00630F6A" w:rsidP="00630F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There are 2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primary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kinds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links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within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CATIA V5. The first,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easiest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understand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one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happens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use COPY/PASTE SPECIAL, AS RESULT WITH LINK. This one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doesn't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anything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about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structure. It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simply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between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two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parts.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The second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Link. This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select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geometry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from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other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models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while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working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gram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Product (and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have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turned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 on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under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Tools Options). This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includes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not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information about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reference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geometry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belongs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to, but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also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active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Instance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both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source and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target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parts.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order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make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any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modifications to Parts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must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read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them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same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links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were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>The "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of a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Product to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belongs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Parts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may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contain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 single "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for all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it's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contextual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links. Prior to R10, the "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" of all of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these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links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top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level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(Root Product)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read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up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link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was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created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leave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 on in R10 and up,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recieve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turn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option off,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will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highest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both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parts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common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to.</w:t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0F6A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This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handy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if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root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an Aircraft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but the parts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working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on are all in the Wing.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might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the Wing Installation,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regardless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Thus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make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modifications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whether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are in the Wing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Instl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, or the Aircraft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Assembly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. This can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also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30F6A">
        <w:rPr>
          <w:rFonts w:ascii="Arial" w:eastAsia="Times New Roman" w:hAnsi="Arial" w:cs="Arial"/>
          <w:color w:val="333333"/>
          <w:sz w:val="21"/>
          <w:szCs w:val="21"/>
        </w:rPr>
        <w:t>dangerous</w:t>
      </w:r>
      <w:proofErr w:type="spellEnd"/>
      <w:r w:rsidRPr="00630F6A">
        <w:rPr>
          <w:rFonts w:ascii="Arial" w:eastAsia="Times New Roman" w:hAnsi="Arial" w:cs="Arial"/>
          <w:color w:val="333333"/>
          <w:sz w:val="21"/>
          <w:szCs w:val="21"/>
        </w:rPr>
        <w:t xml:space="preserve"> i</w:t>
      </w:r>
    </w:p>
    <w:p w:rsidR="00630F6A" w:rsidRDefault="00630F6A">
      <w:bookmarkStart w:id="10" w:name="_GoBack"/>
      <w:bookmarkEnd w:id="10"/>
    </w:p>
    <w:sectPr w:rsidR="00630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A"/>
    <w:rsid w:val="001C5361"/>
    <w:rsid w:val="00437222"/>
    <w:rsid w:val="00630F6A"/>
    <w:rsid w:val="00DA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4B81"/>
  <w15:chartTrackingRefBased/>
  <w15:docId w15:val="{F5C9C598-3D8C-43F0-9B54-DA17BFDA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30F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0F6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0F6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630F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-fo-post-date">
    <w:name w:val="s-fo-post-date"/>
    <w:basedOn w:val="Policepardfaut"/>
    <w:rsid w:val="00630F6A"/>
  </w:style>
  <w:style w:type="character" w:customStyle="1" w:styleId="s-fo-post-refpost">
    <w:name w:val="s-fo-post-refpost"/>
    <w:basedOn w:val="Policepardfaut"/>
    <w:rsid w:val="0063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89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13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796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6035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90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6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33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05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047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0529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806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08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105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550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5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76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89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80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6834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93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56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94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055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3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127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29486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68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96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45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19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08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9062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102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56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31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5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3727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3718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30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29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860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39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051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8793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373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794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94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647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860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6236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05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82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85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866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0017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117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00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76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21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1841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21162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91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95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90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15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1662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13049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8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5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12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258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3690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DDDDDD"/>
                                <w:left w:val="none" w:sz="0" w:space="8" w:color="DDDDDD"/>
                                <w:bottom w:val="single" w:sz="6" w:space="4" w:color="DDDDDD"/>
                                <w:right w:val="none" w:sz="0" w:space="8" w:color="DDDDDD"/>
                              </w:divBdr>
                            </w:div>
                            <w:div w:id="4611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016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e.org/p/fo/et/thread=11464" TargetMode="External"/><Relationship Id="rId13" Type="http://schemas.openxmlformats.org/officeDocument/2006/relationships/hyperlink" Target="http://www.coe.org/p/fo/et/thread=124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e.org/p/fo/et/thread=11464" TargetMode="External"/><Relationship Id="rId12" Type="http://schemas.openxmlformats.org/officeDocument/2006/relationships/hyperlink" Target="http://www.coe.org/p/fo/et/thread=1245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oe.org/p/fo/et/thread=11464" TargetMode="External"/><Relationship Id="rId11" Type="http://schemas.openxmlformats.org/officeDocument/2006/relationships/hyperlink" Target="http://www.coe.org/p/fo/et/thread=12454" TargetMode="External"/><Relationship Id="rId5" Type="http://schemas.openxmlformats.org/officeDocument/2006/relationships/hyperlink" Target="http://yvonet.florent.free.fr/SERVEUR/COURS%20CATIA/CATIA%20Mechanical/ASM_A/Student/EDU_CAT_EN_ASM_AF_V5R19_toprin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e.org/p/fo/et/thread=15742" TargetMode="External"/><Relationship Id="rId4" Type="http://schemas.openxmlformats.org/officeDocument/2006/relationships/hyperlink" Target="http://catiadoc.free.fr/online/xomugpst_C2/xomugpstxm0103.htm" TargetMode="External"/><Relationship Id="rId9" Type="http://schemas.openxmlformats.org/officeDocument/2006/relationships/hyperlink" Target="http://www.coe.org/p/fo/et/thread=11464" TargetMode="External"/><Relationship Id="rId14" Type="http://schemas.openxmlformats.org/officeDocument/2006/relationships/hyperlink" Target="http://www.coe.org/p/fo/et/thread=685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1800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1</cp:revision>
  <dcterms:created xsi:type="dcterms:W3CDTF">2020-04-02T10:12:00Z</dcterms:created>
  <dcterms:modified xsi:type="dcterms:W3CDTF">2020-04-02T10:17:00Z</dcterms:modified>
</cp:coreProperties>
</file>