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RADAR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Inteligência Empresarial Brasileira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Documentação Técnica e Funcional — Versão Consolidada</w:t>
      </w:r>
    </w:p>
    <w:p>
      <w:pPr>
        <w:spacing w:after="180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Junho 2025</w:t>
      </w:r>
    </w:p>
    <w:p>
      <w:pPr>
        <w:spacing w:after="0" w:before="0"/>
        <w:ind w:left="720" w:right="72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Documento de referência para preservação de todas as decisões de produto, arquitetura de APIs, roadmap de fontes e especificações de análise desenvolvidas ao longo das sessões de design do sistema.</w:t>
      </w:r>
    </w:p>
    <w:p>
      <w:r>
        <w:br w:type="page"/>
      </w:r>
    </w:p>
    <w:p>
      <w:pPr>
        <w:pStyle w:val="Heading1"/>
        <w:pBdr>
          <w:bottom w:val="single" w:color="1F4E79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Visão Geral do Produto</w:t>
      </w:r>
    </w:p>
    <w:p>
      <w:pPr>
        <w:spacing w:after="80" w:before="60"/>
        <w:ind/>
      </w:pPr>
      <w:r>
        <w:rPr>
          <w:rFonts w:ascii="Arial" w:cs="Arial" w:eastAsia="Arial" w:hAnsi="Arial"/>
          <w:sz w:val="20"/>
          <w:szCs w:val="20"/>
        </w:rPr>
        <w:t xml:space="preserve">O RADAR é uma plataforma de inteligência empresarial brasileira que entrega análise de CNPJs, balanços financeiros e ações da bolsa em linguagem direta, com diagnóstico e ação — não dado bruto.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Posicionamento</w:t>
      </w:r>
    </w:p>
    <w:p>
      <w:pPr>
        <w:spacing w:after="80" w:before="60"/>
        <w:ind/>
      </w:pPr>
      <w:r>
        <w:rPr>
          <w:rFonts w:ascii="Arial" w:cs="Arial" w:eastAsia="Arial" w:hAnsi="Arial"/>
          <w:sz w:val="20"/>
          <w:szCs w:val="20"/>
        </w:rPr>
        <w:t xml:space="preserve">Concorrentes entregam dados. O RADAR entrega diagnóstico. A frase 'Você está trabalhando para pagar o banco — renegocie a dívida de 2,1% para 1,3%a.m. e libera R$80k/ano no lucro' é o que diferencia o produto.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Três Módulos Principais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600"/>
        <w:gridCol w:w="2200"/>
        <w:gridCol w:w="40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Módulo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Ícone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Público-alvo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Pergunta que responde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CNPJ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Verificações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Quem vende ou contrata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Posso confiar? Esse sócio tem histórico? Tem dívida oculta no grupo?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Balanço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Financeiro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Dono e contador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 que não sobra dinheiro? Estou no regime certo? Quanto vale meu negócio?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Bolsa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Mercado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Investidor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Está cara? Qual o risco real? O que os donos estão fazendo?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Canais e Planos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Free — 26 verificações CNPJ (fontes gratuitas), 3 indicadores básicos de balanço, cotação bolsa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Plus — R$79/mês: Serasa PJ, CENPROT, 5 CNPJs monitorados, PDF, alertas automáticos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 — R$149/mês: Serasa PF sócio, grafo societário BigDataCorp, benchmark setorial, phoenix sofisticado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Business/Escritório — R$49/empresa/mês, mín. 5: white label PDF, dashboard multi-empresa, API access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Análise de Grupo avulsa — R$49–69 por laudo (independente do nº de CNPJs do grupo)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Canal Contador</w:t>
      </w:r>
    </w:p>
    <w:p>
      <w:pPr>
        <w:spacing w:after="80" w:before="60"/>
        <w:ind/>
      </w:pPr>
      <w:r>
        <w:rPr>
          <w:rFonts w:ascii="Arial" w:cs="Arial" w:eastAsia="Arial" w:hAnsi="Arial"/>
          <w:sz w:val="20"/>
          <w:szCs w:val="20"/>
        </w:rPr>
        <w:t xml:space="preserve">Escritórios contábeis são o principal canal B2B. ROI de 308% explicitado: custo de R$980/mês (20 empresas × R$49) vs receita de R$4.000/mês cobrando R$200/empresa. White label no PDF — o contador entrega o relatório com sua marca.</w:t>
      </w:r>
    </w:p>
    <w:p>
      <w:r>
        <w:br w:type="page"/>
      </w:r>
    </w:p>
    <w:p>
      <w:pPr>
        <w:pStyle w:val="Heading1"/>
        <w:pBdr>
          <w:bottom w:val="single" w:color="1F4E79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Arquitetura Central da API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Princípio Fundamental</w:t>
      </w:r>
    </w:p>
    <w:p>
      <w:pPr>
        <w:spacing w:after="80" w:before="60"/>
        <w:ind/>
      </w:pPr>
      <w:r>
        <w:rPr>
          <w:rFonts w:ascii="Arial" w:cs="Arial" w:eastAsia="Arial" w:hAnsi="Arial"/>
          <w:sz w:val="20"/>
          <w:szCs w:val="20"/>
        </w:rPr>
        <w:t xml:space="preserve">Separar três camadas que nunca se misturam: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Contrato externo — o que o cliente vê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Orchestrator — como o sistema decide o que buscar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Adapters — como cada fonte específica é consultada</w:t>
      </w:r>
    </w:p>
    <w:p>
      <w:pPr>
        <w:spacing w:after="80" w:before="60"/>
        <w:ind/>
      </w:pPr>
      <w:r>
        <w:rPr>
          <w:rFonts w:ascii="Arial" w:cs="Arial" w:eastAsia="Arial" w:hAnsi="Arial"/>
          <w:sz w:val="20"/>
          <w:szCs w:val="20"/>
        </w:rPr>
        <w:t xml:space="preserve">Adicionar/remover/alterar uma fonte toca apenas no adapter daquela fonte. O contrato público e o orchestrator não mudam.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Camadas da Arquitetura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7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Camada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Componente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Responsabilidade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— Clientes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Web/App, ERP, API parceiro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Consome a API via JWT/OAuth2. Rate limiting por client.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— Gateway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 Gateway Central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Autenticação, rate limiting, versionamento (/v1/, /v2/), log de auditoria, throttle.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— Core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Resolver + Orchestrator + Cache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Resolver valida/normaliza CPF/CNPJ. Orchestrator decide quais adapters acionar. Cache Redis com TTL por fonte.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 — Adapters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Adapter Layer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Contrato único: query(doc, params) → AdapterResult. Cada fonte tem seu adapter. Plug-and-play.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 — Fontes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APIs externas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Receita, PGFN, Transparência, CVM, Serasa, BigDataCorp, etc. O adapter isola cada protocolo.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 — Cross-cutting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Audit log, Observabilidade, Quota, Schema registry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LGPD: log de acesso com hash SHA-256 do doc. Métricas por adapter. Controle de cota por plano. Versionamento de schemas.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Adapter Contract Padrão</w:t>
      </w:r>
    </w:p>
    <w:p>
      <w:pPr>
        <w:spacing w:after="80" w:before="60"/>
        <w:ind/>
      </w:pPr>
      <w:r>
        <w:rPr>
          <w:rFonts w:ascii="Arial" w:cs="Arial" w:eastAsia="Arial" w:hAnsi="Arial"/>
          <w:sz w:val="20"/>
          <w:szCs w:val="20"/>
        </w:rPr>
        <w:t xml:space="preserve">Todo adapter implementa a interface:</w:t>
      </w:r>
    </w:p>
    <w:p>
      <w:pPr>
        <w:shd w:fill="F0F0F0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interface Adapter {
  id: string
  version: string
  query(doc: string, params: QueryParams): Promise&lt;AdapterResult&gt;
  healthCheck(): Promise&lt;boolean&gt;
}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Schema de Response Extensível</w:t>
      </w:r>
    </w:p>
    <w:p>
      <w:pPr>
        <w:spacing w:after="80" w:before="60"/>
        <w:ind/>
      </w:pPr>
      <w:r>
        <w:rPr>
          <w:rFonts w:ascii="Arial" w:cs="Arial" w:eastAsia="Arial" w:hAnsi="Arial"/>
          <w:sz w:val="20"/>
          <w:szCs w:val="20"/>
        </w:rPr>
        <w:t xml:space="preserve">Campos novos sempre entram em data.{categoria} — softwares que não conhecem o bloco ignoram sem quebrar retrocompatibilidade.</w:t>
      </w:r>
    </w:p>
    <w:p>
      <w:pPr>
        <w:shd w:fill="F0F0F0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4E79"/>
          <w:sz w:val="17"/>
          <w:szCs w:val="17"/>
        </w:rPr>
        <w:t xml:space="preserve">{
  "doc": "12.345.678/0001-90",
  "doc_type": "cnpj",
  "timestamp": "2025-06-04T10:00:00Z",
  "sources": ["receita", "sintegra_sp"],
  "data": {
    "cadastral": { ... },
    "fiscal": { ... },
    "credit": null
  },
  "meta": {
    "cached": true,
    "latency_ms": 320,
    "missing_sources": ["serasa"]
  }
}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TTL de Cache por Fonte (Redis)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Fonte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TTL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Justificativa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Receita Federal (cadastral)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48h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Dado cadastral — muda raramente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PGFN / CND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Pode mudar com parcelamento, mas não diariamente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Habilitação NF-e / Sintegra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Pode mudar durante processo de regularização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CAGED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 dias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Publicação mensal — não muda intraday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Protestos CENPROT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Novo protesto pode aparecer a qualquer momento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Score Serasa PJ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6–12h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 por consulta — equilibrar frescor vs gasto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CVM (DFP/ITR)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Arquivo publicado periodicamente — ingerir em background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Análise LLM completa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Invalidar se novo fato relevante chegar no período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Roadmap de Fontes de Dados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Fase 1 — Custo Zero ou Mínimo (MVP)</w:t>
      </w:r>
    </w:p>
    <w:p>
      <w:pPr>
        <w:shd w:fill="FFF2CC" w:val="clear"/>
        <w:spacing w:after="80" w:before="80"/>
        <w:ind w:left="180" w:right="18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27 fontes. Tudo REST/JSON público ou motor interno. Adapter REST construído uma vez cobre ~20 fontes.</w:t>
      </w:r>
    </w:p>
    <w:p>
      <w:pPr>
        <w:spacing w:after="60" w:before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3.1.1 Núcleo Fiscal e Cadastral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Fonte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Custo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Dado entregue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Receita Federal (CNPJ.ws)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Zero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Cadastral, sócios com CPF, regime, endereço, MEI, filiais, histórico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PGFN + CND federal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Zero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Dívida ativa federal, parcelamento, certidão negativa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CADIN federal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Zero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Débitos reconhecidos não quitados com a União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CEIS / CNEP / CEPIM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Zero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Sanções, impedimentos, improbidade — mesmo endpoint Portal Transparência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Zero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Irregularidades contratos federais, acórdãos</w:t>
            </w:r>
          </w:p>
        </w:tc>
      </w:tr>
    </w:tbl>
    <w:p>
      <w:pPr>
        <w:spacing w:after="60" w:before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3.1.2 Transparência, Trabalho e Ambiental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Fonte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Custo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Dado entregue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Portal Transparência (lote)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Zero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SIAFI, servidores, lista MTE trabalho escravo, contratos gov — mesmo domínio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Bolsa Família / BPC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Zero*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Inconsistência de perfil societário. *Audit log LGPD obrigatório antes de ativar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CAGED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Zero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Emprego formal mensal, histórico 24m, salário médio, correlação com score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eSocial regularidade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Zero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Situação de regularidade trabalhista — crítico para transportadoras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IBAMA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Zero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Autos de infração ambiental, embargos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PNCP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Zero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Contratos públicos ativos — apresentar como 'receita futura garantida'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MDIC / Comex Stat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Zero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Exportações e importações por CNPJ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Zero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Marcas e patentes ativas</w:t>
            </w:r>
          </w:p>
        </w:tc>
      </w:tr>
    </w:tbl>
    <w:p>
      <w:pPr>
        <w:spacing w:after="60" w:before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3.1.3 Regulatórias Setoriais — Ativar Condicionalmente por CNAE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Fonte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Custo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CNAE alvo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ANTT / RNTRC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Zero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CNAE 4930 (transporte). Habilitação, frota, modalidade. Gap crítico identificado.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ANVISA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Zero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Saúde e alimentos. Autorização de funcionamento, produtos registrados.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Regulatórias (ANAC, ANEEL, ANCINE)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Zero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Adapter genérico com roteamento por CNAE. REST público.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Conselhos (OAB, CRM, CRC)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Zero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CNAE jurídico/saúde/contábil. Regularidade do profissional sócio.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Bacen (fintechs)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Zero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Autorização, ranking reclamações — ativar se CNAE for fintech.</w:t>
            </w:r>
          </w:p>
        </w:tc>
      </w:tr>
    </w:tbl>
    <w:p>
      <w:pPr>
        <w:spacing w:after="60" w:before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3.1.4 CVM e Mercado de Capitais (Fase 1 — ingestão diária)</w:t>
      </w:r>
    </w:p>
    <w:p>
      <w:pPr>
        <w:shd w:fill="FFF2CC" w:val="clear"/>
        <w:spacing w:after="80" w:before="80"/>
        <w:ind w:left="180" w:right="18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A CVM não tem API REST por CNPJ. Modelo: ingerir arquivos CSV diariamente em background e manter banco local consultável. Consulta por CNPJ &lt; 50ms, custo zero.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Conjunto CVM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Custo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Conteúdo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DFP — Demonstrações Anuais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Zero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BPA, BPP, DRE, DFC — histórico desde 2010. Base de valuation.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ITR — Informações Trimestrais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Zero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Mesmo formato do DFP, trimestral. Resultado mais recente.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FCA — Formulário Cadastral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Zero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Segmento B3, controladores, auditores, CNPJ. Identifica empresa listada.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 — Insiders e acionistas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Zero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Compra/venda de ações, acionistas &gt;5%, remuneração executivos, ESG.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IPE — Fatos Relevantes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Zero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Comunicados, atas, fatos relevantes desde 2003. Entrada do pipeline LLM.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Parecer do auditor (2024+)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Zero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CSV com texto do auditor. LLM detecta ressalvas e going concern.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Brapi / HG Brasil Finance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Quase zero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Cotação com delay 15min, histórico de preços B3.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Fundamentus (scraping)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Zero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Fundamentos históricos B3. Proxy rotativo necessário.</w:t>
            </w:r>
          </w:p>
        </w:tc>
      </w:tr>
    </w:tbl>
    <w:p>
      <w:pPr>
        <w:spacing w:after="60" w:before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3.1.5 Motores Internos — Custo Zero, Diferencial Máximo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Motor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Função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Motor de score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Cruzamento ponderado CNAE/porte/região. Calibrado por padrões históricos de risco.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Motor de grupo econômico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CPF → grafo de empresas vinculadas. Banco de grafos (Neo4j ou pgGraph). Score consolidado do grupo.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Motor heurístico (laranja/phoenix)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Phoenix simples (RF), endereço compartilhado, CNAE incompatível com faturamento, inconsistências.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Web search CNPJ + CNAE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Reputação, Reclame Aqui, Procon, mídia, peers setoriais. LLM + cache 24h.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Geolocalização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Lat/long do endereço via ViaCEP + Nominatim. Detecta endereços compartilhados. Alimenta motor heurístico.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Monitor de alterações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CNPJs monitorados re-consultados periodicamente. Diff automático → alerta por e-mail. Principal driver de retenção.</w:t>
            </w:r>
          </w:p>
        </w:tc>
      </w:tr>
    </w:tbl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Fase 2 — Custo Médio / Complexidade Real</w:t>
      </w:r>
    </w:p>
    <w:p>
      <w:pPr>
        <w:shd w:fill="FFF2CC" w:val="clear"/>
        <w:spacing w:after="80" w:before="80"/>
        <w:ind w:left="180" w:right="18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20 fontes. Sem TecnoSpeed. Implementar direto nas fontes.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Fonte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Custo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Observação técnica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DataJud / CNJ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Zero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REST bem documentado. Volume alto: fila assíncrona. Penhoras Sisbajud → plano Pro.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CENPROT / IEPTB (protestos)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R$1,50–3/consulta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Dados oficiais de cartório. Melhor custo-benefício do roadmap.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Serasa PJ (direto)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R$5–18/consulta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Score PJ mais robusto do mercado. SDK direto sem TecnoSpeed.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Boa Vista SCPC / Equifax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R$2–15/consulta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Score alternativo, CCF, volume de consultas ao CNPJ.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ClearSale / Konduto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 volume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Antifraude PJ comportamental. Complementa motor heurístico.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SEFAZ SP / MG / RS (SOAP direto)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Zero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Protocolo SOAP por UF. Implementar SP primeiro, depois MG e RS.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CVM API (assíncrona)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Zero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Volume alto. Fila assíncrona. Alimenta motor de balanço e valuation.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Brapi + motor analítico bolsa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Quase zero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P/L histórico, cenários, simulador de retorno. Depende de Brapi + CVM integrados.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Motor de balanço (5 métodos)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Zero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Valuation: EBITDA 40%, Transações 25%, PL 20%, DCF 10%, Receita 5%. Testes unitários obrigatórios.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Passivo oculto NLP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LLM + OCR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OCR + LLM em notas explicativas. Processamento assíncrono, sob demanda.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Reclame Aqui API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Pago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Histórico sistemático além do web search básico.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Dívida ativa SP/BH/RJ (scraping)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Zero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Scraping dos 3 municípios principais. Sem API padronizada nacional.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Fase 3 — Alta Complexidade / Contrato Mínimo / Regulação</w:t>
      </w:r>
    </w:p>
    <w:p>
      <w:pPr>
        <w:shd w:fill="FFF2CC" w:val="clear"/>
        <w:spacing w:after="80" w:before="80"/>
        <w:ind w:left="180" w:right="18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TecnoSpeed entra aqui — como hub para fontes de complexidade interna proibitiva. Contratos mínimos só após escala.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Fonte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Custo / Gatilho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Sintegra nacional completo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TecnoSpeed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Fase 2 cobre SP/MG/RS direto. TecnoSpeed para demais UFs sem SOAP individual.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Junta Comercial nacional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TecnoSpeed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Confirmar custo real antes de contratar. Cobertura por UF parcial.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Dívida ativa municipal nacional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TecnoSpeed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Além de SP/BH/RJ. TecnoSpeed cobre municípios maiores.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 Finance / SCR Bacen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TecnoSpeed (maior ganho)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Certificação própria = 6–12 meses. Via TecnoSpeed: entrar como cliente da plataforma certificada. INICIAR NEGOCIAÇÃO NO LANÇAMENTO DA FASE 2.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BigDataCorp grafo profundo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R$5–12/consulta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 níveis, phoenix sofisticado. Parceiro de revenda sem custo de entrada. Aguardar após motor interno atingir limite.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Neoway (veículos/imóveis)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Contrato mínimo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Aguardar 500+ consultas/mês para justificar contrato.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Score Serasa PF sócio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Adicional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Consentimento explícito do titular obrigatório (LGPD). Implementar fluxo antes de ativar.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Peers globais (Bloomberg/Refinitiv)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Alto custo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Avaliar Polygon.io ou Alpha Vantage primeiro como alternativas mais acessíveis.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Módulo CNPJ — 26 Verificações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Estrutura dos Blocos</w:t>
      </w:r>
    </w:p>
    <w:p>
      <w:pPr>
        <w:spacing w:after="80" w:before="60"/>
        <w:ind/>
      </w:pPr>
      <w:r>
        <w:rPr>
          <w:rFonts w:ascii="Arial" w:cs="Arial" w:eastAsia="Arial" w:hAnsi="Arial"/>
          <w:sz w:val="20"/>
          <w:szCs w:val="20"/>
        </w:rPr>
        <w:t xml:space="preserve">Cada bloco termina em ação para o usuário, não em dado bruto. Formato: veredicto + checklist + score decomposto + PDF exportável.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1400"/>
        <w:gridCol w:w="3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Bloco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Fonte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Fase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— Cadastral RF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Receita Federal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Fase 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Situação, CNAE, capital, sócios CPF parcial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— PGFN / CND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PGFN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Fase 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Apresentar como CND no veredicto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— CADIN federal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Ministério da Fazenda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Fase 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Binário: consta/não consta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 — Dívida estadual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SEFAZ SP/MG/RS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Fase 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SOAP por UF. SP primeiro.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 — Dívida municipal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Prefeituras SP/BH/RJ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Fase 2/3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Scraping nos 3 maiores, TecnoSpeed para demais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 — CEIS/CNEP/CEPIM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Portal Transparência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Fase 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Mesmo endpoint. Batch.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 — Contratos gov/PNCP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PNCP + SIAFI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Fase 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Apresentar como 'receita futura garantida'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 — CAGED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Fase 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Correlação com score e protesto é o diferencial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 — Processos judiciais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DataJud / CNJ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Fase 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Fila assíncrona. Penhoras Sisbajud → Pro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 — IBAMA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IBAMA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Fase 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Autos de infração ambiental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 — Comércio exterior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MDIC / Comex Stat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Fase 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Verificar consistência com CNAE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 — INPI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INPI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Fase 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Apontar como ativo intangível no balanço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 — Junta Comercial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JUCEMG/JUCESP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Fase 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Confirmar custo antes de implementar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 — Perfil sócio gov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Portal Transparência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Fase 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Servidor público + Bolsa Família. Log LGPD obrigatório no BPC.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 — Reputação digital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Web search + LLM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Fase 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Cache 24h. Indicador antecedente ao score de crédito.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 — TCU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TCU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Fase 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Irregularidades em contratos federais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 — Protestos cartório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Web search (V1) / CENPROT (V2)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Fase 1/2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 via web search — frágil mas funcional para MVP. V2 = CENPROT oficial.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 — Sintegra/NF-e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SEFAZ / TecnoSpeed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Fase 2/3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Habilitação emissão NF-e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 — ANTT/RNTRC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ANTT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Fase 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GAP: ausente no protótipo. Condicional CNAE 4930. REST público gratuito.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 — eSocial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Governo federal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Fase 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GAP: ausente. Regularidade trabalhista complementa CAGED.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Análise de Sócio e Vínculos Familiares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4.2.1 O que é possível (V1 — gratuito)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Empresas onde o CPF aparece como sócio ou administrador (RF)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Processos judiciais vinculados ao CPF — ações execução, trabalhistas, cíveis (DataJud)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Penhoras e bloqueios Sisbajud (CNJ)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Dívida ativa federal do CPF (PGFN)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Servidor público federal / beneficiário social (Transparência)</w:t>
      </w:r>
    </w:p>
    <w:p>
      <w:pPr>
        <w:spacing w:after="60" w:before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4.2.2 O que é possível (V2 — pago)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Score Serasa PF do sócio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Vínculos por endereço compartilhado entre CPFs (BigDataCorp)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Veículos DETRAN vinculados ao CPF (Neoway — SP e MG)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Comportamento digital do CPF (redes sociais, LinkedIn)</w:t>
      </w:r>
    </w:p>
    <w:p>
      <w:pPr>
        <w:spacing w:after="60" w:before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4.2.3 O que NÃO é possível em nenhuma versão</w:t>
      </w:r>
    </w:p>
    <w:p>
      <w:pPr>
        <w:shd w:fill="FFF2CC" w:val="clear"/>
        <w:spacing w:after="80" w:before="80"/>
        <w:ind w:left="180" w:right="18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Posicionamento LGPD: 'análise do sócio e dos vínculos detectáveis' — nunca 'investigação da família'.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Família além do sócio direto (cônjuge, filhos) — sem base de vínculos por CPF acessível via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Declaração de IR e patrimônio total — Receita Federal não disponibiliza para terceiros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Contas bancárias e investimentos — apenas via Open Finance com consentimento explícito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Imóveis — fragmentados por cartório estadual, sem API nacional</w:t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Cruzamentos Automáticos CNPJ × Balanço × Bolsa</w:t>
      </w:r>
    </w:p>
    <w:p>
      <w:pPr>
        <w:shd w:fill="FFF2CC" w:val="clear"/>
        <w:spacing w:after="80" w:before="80"/>
        <w:ind w:left="180" w:right="18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Não são abas — são alertas contextuais quando dois módulos têm dados do mesmo usuário. Construção técnica simples, diferenciação enorme.</w:t>
      </w:r>
    </w:p>
    <w:p>
      <w:pPr>
        <w:spacing w:after="60" w:before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Cruzamento 1 — Dois caixas pressionados na mesma relação</w:t>
      </w:r>
    </w:p>
    <w:p>
      <w:pPr>
        <w:spacing w:after="80" w:before="60"/>
        <w:ind/>
      </w:pPr>
      <w:r>
        <w:rPr>
          <w:rFonts w:ascii="Arial" w:cs="Arial" w:eastAsia="Arial" w:hAnsi="Arial"/>
          <w:sz w:val="20"/>
          <w:szCs w:val="20"/>
        </w:rPr>
        <w:t xml:space="preserve">Trigger: usuário tem balanço carregado e consultou cliente/fornecedor com dados de caixa.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Alerta: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"Seu cliente tem score 64 com caixa pressionado — e seu próprio caixa tem cobertura de juros de 2,8x. Dois caixas apertados numa relação a prazo. Se ele atrasar 60 dias, você entra no cheque especial. Reduza o prazo de 45 para 30 dias — impacto calculado: +R$72k de liquidez."</w:t>
      </w:r>
    </w:p>
    <w:p>
      <w:pPr>
        <w:spacing w:after="80" w:before="60"/>
        <w:ind/>
      </w:pPr>
      <w:r>
        <w:rPr>
          <w:rFonts w:ascii="Arial" w:cs="Arial" w:eastAsia="Arial" w:hAnsi="Arial"/>
          <w:sz w:val="20"/>
          <w:szCs w:val="20"/>
        </w:rPr>
        <w:t xml:space="preserve">Fontes: CAGED + score CNPJ × NCG + cobertura de juros Balanço. Zero fontes pagas.</w:t>
      </w:r>
    </w:p>
    <w:p>
      <w:pPr>
        <w:spacing w:after="60" w:before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Cruzamento 2 — Fornecedor listado pressionando sua margem</w:t>
      </w:r>
    </w:p>
    <w:p>
      <w:pPr>
        <w:spacing w:after="80" w:before="60"/>
        <w:ind/>
      </w:pPr>
      <w:r>
        <w:rPr>
          <w:rFonts w:ascii="Arial" w:cs="Arial" w:eastAsia="Arial" w:hAnsi="Arial"/>
          <w:sz w:val="20"/>
          <w:szCs w:val="20"/>
        </w:rPr>
        <w:t xml:space="preserve">Trigger: usuário tem balanço carregado e principal insumo está vinculado a empresa listada no módulo bolsa.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Alerta: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"Seu fornecedor JBS está com pressão no Beef NA. Seu contrato não tem cláusula de reajuste automático. Risco de margem EBITDA cair de 19% para 14% em 6 meses. Revisar contrato antes de outubro."</w:t>
      </w:r>
    </w:p>
    <w:p>
      <w:pPr>
        <w:spacing w:after="80" w:before="60"/>
        <w:ind/>
      </w:pPr>
      <w:r>
        <w:rPr>
          <w:rFonts w:ascii="Arial" w:cs="Arial" w:eastAsia="Arial" w:hAnsi="Arial"/>
          <w:sz w:val="20"/>
          <w:szCs w:val="20"/>
        </w:rPr>
        <w:t xml:space="preserve">Fontes: ciclo do produto (Bolsa) × custo de insumo DRE (Balanço) × contratos PNCP (CNPJ).</w:t>
      </w:r>
    </w:p>
    <w:p>
      <w:pPr>
        <w:spacing w:after="60" w:before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Cruzamento 3 — Aquisição que destrói o balanço do adquirente</w:t>
      </w:r>
    </w:p>
    <w:p>
      <w:pPr>
        <w:spacing w:after="80" w:before="60"/>
        <w:ind/>
      </w:pPr>
      <w:r>
        <w:rPr>
          <w:rFonts w:ascii="Arial" w:cs="Arial" w:eastAsia="Arial" w:hAnsi="Arial"/>
          <w:sz w:val="20"/>
          <w:szCs w:val="20"/>
        </w:rPr>
        <w:t xml:space="preserve">Trigger: usuário consultou empresa com valuation calculado e tem balanço próprio carregado.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Alerta: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"Para adquirir essa empresa por R$1,63M, você precisaria de R$1,35M em dívida nova — elevando endividamento de 48% para 71% e cobertura de juros de 2,8x para 1,4x. Abaixo do covenant mínimo de 2,5x. Inviável sem capitalização prévia de R$600k."</w:t>
      </w:r>
    </w:p>
    <w:p>
      <w:pPr>
        <w:spacing w:after="60" w:before="60"/>
      </w:pPr>
    </w:p>
    <w:p>
      <w:r>
        <w:br w:type="page"/>
      </w:r>
    </w:p>
    <w:p>
      <w:pPr>
        <w:pStyle w:val="Heading1"/>
        <w:pBdr>
          <w:bottom w:val="single" w:color="1F4E79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Módulo Balanço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O que está implementado no protótipo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Indicadores em linguagem leiga: margem EBITDA, cobertura de juros, endividamento, liquidez corrente, PMR, margem líquida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DRE com decomposição do problema — identifica o culpado (ex: juros +38% vs receita +14%)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Ciclo financeiro: PMR vs PMP, NCG em R$, custo do descasamento, solução com impacto calculado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Comparativo de regimes tributários: Simples vs Presumido vs Real + impacto LC 214/2025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Valuation 5 métodos ponderados: EBITDA 40%, Transações 25%, PL Ajustado 20%, DCF 10%, Receita 5%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Gaps identificados — a implementar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Benchmark setorial real via CVM: hoje 'setor transporte: 24–32%' é número fixo. Com CVM: média real de empresas do mesmo CNAE e porte similar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Múltiplos de transação reais: fatos relevantes CVM de M&amp;A por CNAE → múltiplos reais em vez de estimativa fixa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Integração automática com contabilidade: Omie, Conta Azul, Totvs via API (ou SPED ECD/ECF como upload alternativo)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Perguntas que o balanço não responde sozinho (Question Engine): EBITDA antes ou depois de arrendamento de frota? Crescimento orgânico ou reprecificação? Pró-labore dentro ou fora da DRE?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Perguntas de mercado por perfil de cliente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Analista de crédito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Qual a garantia disponível? Qual o covenant mais restritivo? Há cross-default?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 EBITDA cobre o serviço da dívida? (cobertura de juros)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 caixa gerado operacionalmente confirma o lucro contábil? (FCO / Lucro Líquido)</w:t>
      </w:r>
    </w:p>
    <w:p>
      <w:pPr>
        <w:spacing w:after="60" w:before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Due diligence M&amp;A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Há passivo contingente não provisionado? (notas explicativas)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Qual o EBITDA ajustado pro-forma? Há normalização necessária?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 pró-labore dos sócios está dentro ou fora da DRE? (distorce a margem em PME)</w:t>
      </w:r>
    </w:p>
    <w:p>
      <w:pPr>
        <w:spacing w:after="60" w:before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Transportadora (CNAE 4930 — domínio do projeto)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 EBITDA é antes ou depois de arrendamento de frota? (IFRS 16 distorce o indicador)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 crescimento de receita é por volume de carga ou reprecificação? (estrutural vs transitório)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 Lucro Presumido calculado considera COFINS sobre frete intermunicipal corretamente?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 PMR de 45 dias é padrão do setor ou renegociável? (grandes embarcadores pagam 60d)</w:t>
      </w:r>
    </w:p>
    <w:p>
      <w:r>
        <w:br w:type="page"/>
      </w:r>
    </w:p>
    <w:p>
      <w:pPr>
        <w:pStyle w:val="Heading1"/>
        <w:pBdr>
          <w:bottom w:val="single" w:color="1F4E79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Módulo Bolsa — Especificação Completa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Abas implementadas no radar_bolsa.html (a integrar no sistema)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3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Aba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Componente principal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O que faz que o radar_v1 não faz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Financeiro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Régua de posicionamento por indicador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Mostra onde a empresa está no espectro barato→caro, não só verde/vermelho. ROE de 23% vs setor 12% fica visual.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Financeiro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CEO entregou o que prometeu?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Tabela guidance vs resultado real por ano. LLM extrai guidances de fatos relevantes CVM e compara com DFP.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Financeiro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 que fazer / O que NÃO fazer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Ações concretas e erros a evitar. Transforma análise em decisão.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Ecossistema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Barra de receita por segmento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% de cada unidade de negócio. Para JBS: Beef NA 22%, Seara 18%... DFP CVM segmentado.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Ecossistema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Cards de unidades com margem e tendência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Cada unidade: receita, margem EBITDA, % do grupo, crescimento a.a., tendência de ciclo.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Ecossistema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Análise do fosso competitivo (moat)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'JBS não vende carne — monetiza 100% do animal.' LLM gera argumento de moat por CNAE/setor.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Pessoas &amp; M&amp;A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Clima organizacional (Glassdoor)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Nota global/EUA, % recomendariam, turnover, GPTW. Com interpretação de impacto para o investidor.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Pessoas &amp; M&amp;A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Perfil de executivos com sinais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Card por executivo: tenure, background, sinal (promovido/saiu/reconduzido), score de liderança. CVM FRE.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Pessoas &amp; M&amp;A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Timeline M&amp;A com ROI implícito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Valor pago vs receita atual gerada. 'Seara 2013 por R$5,9B → 18% EBITDA margin = melhor aquisição.' CVM IPE.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Macro &amp; Futuro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Fatores macro quantificados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'Cada R$0,10 de alta no dólar = ~R$500M de receita adicional.' Impacto numérico, não só texto.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Macro &amp; Futuro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Vetores de crescimento futuro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 que a empresa constrói: aquicultura, D2C, IA nas plantas, ESG, carne cultivada. Com status atual.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Governança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Score de governança (0–100)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Calculado de: % controle familiar, free float, tag along, independência conselho, histórico CVM.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Governança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Análise de risco em linguagem leiga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'De cada 100 ações, os Batistas controlam 42 — suficiente para qualquer decisão sem outros acionistas.'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Governança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Monitor de alertas com semáforo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Vermelho: SEC/DOJ, saída C-level. Amarelo: fato relevante, CAGED, tarifas. Verde: CFO comprando ações.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Governança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Tabela peers globais com PEG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Tyson, Marfrig, Minerva, WH Group, NH Foods — P/L, CAGR 5a, PEG, avaliação.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10 Sugestões de Módulos Novos (da aba Sugestões)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1400"/>
        <w:gridCol w:w="49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Módulo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Urgência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Análise de disrupção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URGENTE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Já existe como demo separado. Integrar como 6ª aba. Cobre plant-based, GLP-1, IA, BigTechs.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IA resume fato relevante CVM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Alta prioridade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CVM API + LLM. 'O que mudou? Por que importa? O que fazer?' Alerta WhatsApp/e-mail.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Monitoramento de carteira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Alto valor · MRR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Até 20 ações. Alertas por tipo. R$49–149/mês recorrente.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Mapa geográfico de operações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Alto valor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D3.js. Bolhas por receita. Clique = receita, margem, regulação, executivo.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Timeline M&amp;A interativa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Alto valor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50+ aquisições, valor pago, ROI implícito, qualidade de integração.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Simulador DCF com sliders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N3 Elite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Crescimento, margem e WACC editáveis. Preço justo atualiza em tempo real.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Painel do ciclo proteico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Diferenciador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Posição atual, impacto histórico por unidade, estimativa de recuperação.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Matriz bolha intragrupo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Médio prazo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Crescimento × margem × receita por unidade de negócio.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Score ESG automático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Tendência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E: IBAMA, INPE. S: CAGED, TST. G: CVM conselho. Não depende de relatório da empresa.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Sentimento de notícias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Dados alternativos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Score 0–1. Histórico 12 meses com correlação vs ação.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Arquitetura LLM e Memória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Quatro Camadas do Motor de Inteligência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61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Camada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Tipo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Função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— Extração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Determinístico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Texto não estruturado → JSON tipado. Schema fixo, sem geração livre. Fato relevante → evento classificado com tipo, data, entidades, impacto, urgência.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— Classificação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Determinístico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Categoriza evento: M&amp;A, resultado, governança, risco, regulatório. Sentimento -1 a +1. Entidades (CNPJs/CPFs) mencionadas.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— RAG contextual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Interpretativo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Recupera documentos relevantes (vetor + BM25) e sintetiza análise com citação obrigatória de fonte. Reduz alucinações.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 — Análise comparativa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Geração rica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Setor, grupo econômico, peers — visão macro + micro. LLM gera narrativa estruturada com evidências rastreáveis.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Três Pipelines de Processamento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Pipeline A — Extração de Fatos Relevantes CVM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Download diário do IPE (CSV). Filtrar categorias: Fato Relevante, Comunicado, AGO/AGE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OCR se necessário (PyMuPDF para PDFs com texto; Tesseract para scaneados)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Chunking: 2.000 tokens com overlap de 200. Metadados colados em cada chunk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LLM com response_format: json_schema — extrai tipo, entidades, impacto, urgência. Sem geração livre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Embedding + indexação no banco vetorial (pgvector ou Qdrant) + índice BM25 paralelo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 urgência alta: invalida cache Redis do CNPJ imediatamente</w:t>
      </w:r>
    </w:p>
    <w:p>
      <w:pPr>
        <w:spacing w:after="60" w:before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Pipeline B — Notícias de Mídia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Web search: '{nome_empresa}' OR '{cnpj}' nos últimos 7 dias. Fontes: InfoMoney, Valor, G1, Reuters BR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Deduplicação por hash título + domínio + data — descarta antes de gastar tokens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Triagem com modelo leve (Haiku/Flash) — descarta notícias que só mencionam a empresa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Análise profunda com modelo completo nas aprovadas: sentimento, evento, impacto financeiro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Agregação temporal semanal: tendência calculada (melhorando / piorando / estável)</w:t>
      </w:r>
    </w:p>
    <w:p>
      <w:pPr>
        <w:spacing w:after="60" w:before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Pipeline C — Análise Completa (sob demanda)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Trigger: usuário solicita análise completa. Cache 6h. Não roda automaticamente.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Recuperação RAG: busca híbrida (vetor + BM25) no CNPJ + todos os CNPJs do grupo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Enriquecimento: dados estruturados (DFP, ITR, score, insiders) convertidos em texto compacto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Análise de peers: mesmo CNAE → web search de setor → LLM compara posição relativa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Geração com citações obrigatórias. Sem afirmação sem evidência rastreável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Estratégia de Custo LLM — Cascata de Modelos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000"/>
        <w:gridCol w:w="1800"/>
        <w:gridCol w:w="19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Pipeline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Tokens médios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Modelo recomendado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Custo est.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Cache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 — Extração IPE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~1.700/doc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Claude Haiku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~R$0,003/doc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Permanente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 — Triagem notícia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~350/notícia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Claude Haiku (rápido)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~R$0,0005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 — Análise notícia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~2.400/notícia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Claude Sonnet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854F0B"/>
                <w:sz w:val="18"/>
                <w:szCs w:val="18"/>
              </w:rPr>
              <w:t xml:space="preserve">~R$0,015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 — Análise completa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~18.000/análise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Claude Sonnet/Opus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854F0B"/>
                <w:sz w:val="18"/>
                <w:szCs w:val="18"/>
              </w:rPr>
              <w:t xml:space="preserve">~R$0,25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 — Análise de grupo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~40.000/análise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Claude Opus (contexto)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~R$1,20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Parecer auditor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~5.500/empresa/ano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Claude Sonnet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~R$0,08/ano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Permanente</w:t>
            </w:r>
          </w:p>
        </w:tc>
      </w:tr>
    </w:tbl>
    <w:p>
      <w:pPr>
        <w:shd w:fill="FFF2CC" w:val="clear"/>
        <w:spacing w:after="80" w:before="80"/>
        <w:ind w:left="180" w:right="18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Regra de ouro: 80% das notícias são descartadas na triagem com custo mínimo. Enviar tudo para Sonnet custaria 30x mais sem ganho de qualidade.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Três Camadas de Memória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Camada 1 — Memória de Mercado (maior impacto)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Benchmarks reais por CNAE (CVM DFP de empresas do mesmo setor)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Múltiplos de transação reais de M&amp;A do setor (CVM IPE)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Thresholds reais de covenants por setor e porte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Padrões históricos de risco: quais combinações de sinais previram inadimplência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Atualizado via ingestão diária CVM + IPE</w:t>
      </w:r>
    </w:p>
    <w:p>
      <w:pPr>
        <w:spacing w:after="60" w:before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Camada 2 — Perfil Individual (alto impacto)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Tipo de uso (crédito, M&amp;A, compliance, investimento) detectado por comportamento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Métricas que o cliente mais abre, ordem de navegação, perguntas feitas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Adaptação: contador vê fiscal primeiro, analista de crédito vê protestos primeiro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Memória episódica comprime após 90 dias: guarda padrão, não os CNPJs consultados</w:t>
      </w:r>
    </w:p>
    <w:p>
      <w:pPr>
        <w:spacing w:after="60" w:before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Camada 3 — Inteligência Coletiva (médio prazo)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Regra: k-anonimato mínimo de 10 clientes. Sinal abaixo de 10 vai para quarentena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Quais alertas geraram ação real (calibra pesos do score)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Quais perguntas ficaram sem boa resposta (gap de cobertura do sistema)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Quais CNAEs têm padrão de risco diferente do genérico</w:t>
      </w:r>
    </w:p>
    <w:p>
      <w:r>
        <w:br w:type="page"/>
      </w:r>
    </w:p>
    <w:p>
      <w:pPr>
        <w:pStyle w:val="Heading1"/>
        <w:pBdr>
          <w:bottom w:val="single" w:color="1F4E79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Segurança, LGPD e Compliance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Audit Log — Obrigatório para Dados Pessoais</w:t>
      </w:r>
    </w:p>
    <w:p>
      <w:pPr>
        <w:spacing w:after="80" w:before="60"/>
        <w:ind/>
      </w:pPr>
      <w:r>
        <w:rPr>
          <w:rFonts w:ascii="Arial" w:cs="Arial" w:eastAsia="Arial" w:hAnsi="Arial"/>
          <w:sz w:val="20"/>
          <w:szCs w:val="20"/>
        </w:rPr>
        <w:t xml:space="preserve">Estrutura mínima da tabela audit_log: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{ tenant_id, user_id, doc_hash (SHA-256), fontes_acessadas[], justificativa, ip_origem, timestamp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 CPF/CNPJ nunca entra em texto puro no log — apenas o hash SHA-256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Índice em doc_hash + timestamp para relatórios de titular (direito LGPD)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Fontes que obrigam o log ativo: Bolsa Família/BPC, Score CPF do sócio, qualquer dado PF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Posicionamento sobre o que não é possível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Nunca prometer mapa completo da família do sócio — juridicamente impreciso e não tem base técnica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Nunca prometer patrimônio total — Receita Federal não disponibiliza para terceiros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Contas bancárias só com Open Finance e consentimento explícito do titular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Qualquer produto que promete isso está usando dados vazados ou inventando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Rate Limiting e Segurança da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Rate limiting agressivo por API key — prevenir scraping da 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TLS 1.3 em trânsito, criptografia em repouso no Redis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Invalidação de token a cada 24h para clientes mobile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Logs de auditoria de acesso à API separados do audit log LGPD</w:t>
      </w:r>
    </w:p>
    <w:p>
      <w:r>
        <w:br w:type="page"/>
      </w:r>
    </w:p>
    <w:p>
      <w:pPr>
        <w:pStyle w:val="Heading1"/>
        <w:pBdr>
          <w:bottom w:val="single" w:color="1F4E79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Prioridade de Implementação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MVP Funcional — Mínimo para Validar com Clientes</w:t>
      </w:r>
    </w:p>
    <w:p>
      <w:pPr>
        <w:shd w:fill="FFF2CC" w:val="clear"/>
        <w:spacing w:after="80" w:before="80"/>
        <w:ind w:left="180" w:right="18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Com essas 6 fontes já entrega análise com risco fiscal, judicial e societário — suficiente para os primeiros clientes pagantes.</w:t>
      </w:r>
    </w:p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Receita Federal (CNPJ.ws)</w:t>
      </w:r>
      <w:r>
        <w:rPr>
          <w:rFonts w:ascii="Arial" w:cs="Arial" w:eastAsia="Arial" w:hAnsi="Arial"/>
          <w:sz w:val="20"/>
          <w:szCs w:val="20"/>
        </w:rPr>
        <w:t xml:space="preserve"> — base de tudo. Sem isso não há produto.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PGFN + CND</w:t>
      </w:r>
      <w:r>
        <w:rPr>
          <w:rFonts w:ascii="Arial" w:cs="Arial" w:eastAsia="Arial" w:hAnsi="Arial"/>
          <w:sz w:val="20"/>
          <w:szCs w:val="20"/>
        </w:rPr>
        <w:t xml:space="preserve"> — situação de dívida ativa federal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CEIS/CNEP</w:t>
      </w:r>
      <w:r>
        <w:rPr>
          <w:rFonts w:ascii="Arial" w:cs="Arial" w:eastAsia="Arial" w:hAnsi="Arial"/>
          <w:sz w:val="20"/>
          <w:szCs w:val="20"/>
        </w:rPr>
        <w:t xml:space="preserve"> — sanções governamentais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Motor de score + grupo econômico</w:t>
      </w:r>
      <w:r>
        <w:rPr>
          <w:rFonts w:ascii="Arial" w:cs="Arial" w:eastAsia="Arial" w:hAnsi="Arial"/>
          <w:sz w:val="20"/>
          <w:szCs w:val="20"/>
        </w:rPr>
        <w:t xml:space="preserve"> — diferencial do produto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Veredicto em linguagem direta</w:t>
      </w:r>
      <w:r>
        <w:rPr>
          <w:rFonts w:ascii="Arial" w:cs="Arial" w:eastAsia="Arial" w:hAnsi="Arial"/>
          <w:sz w:val="20"/>
          <w:szCs w:val="20"/>
        </w:rPr>
        <w:t xml:space="preserve"> — o que separa o RADAR de portais de dados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Fase Imediata — Módulo Bolsa (migrar do radar_bolsa.html)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Aba Ecossistema: barra de segmentos + cards de unidades + análise de moat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Blocos 'O que fazer' e 'O que NÃO fazer' no módulo financeiro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Indicadores com régua de posicionamento (substituir stats simples)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Monitor de alertas de governança com semáforo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Integrar análise de disrupção como 6ª aba (já existe como demo)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Decisão Crítica de Prazo — Open Finance</w:t>
      </w:r>
    </w:p>
    <w:p>
      <w:pPr>
        <w:shd w:fill="FFE0E0" w:val="clear"/>
        <w:spacing w:after="80" w:before="80"/>
        <w:ind w:left="180" w:right="18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ATENÇÃO: A negociação com TecnoSpeed para Open Finance via hub deve começar no lançamento da Fase 2. Certificação própria no Bacen leva 6–12 meses — se esperar para iniciar depois do lançamento, a Fase 3 atrasa na mesma proporção.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9.4 KPIs de Validação por Fase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1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KPI de validação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O que significa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MVP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Primeiro cliente pagante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Validar que a linguagem direta + veredicto justificam o preço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Fase 1 completa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 clientes ativos Plus/Pro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Product-market fit básico confirmado antes de contratos pagos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Fase 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500+ consultas/mês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Volume que justifica contratos de bureaus e negociação de volume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Fase 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10+ escritórios contábeis Business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Canal B2B funcionando. ROI de 308% validado por clientes reais.</w:t>
            </w:r>
          </w:p>
        </w:tc>
      </w:tr>
    </w:tbl>
    <w:p>
      <w:pPr>
        <w:spacing w:after="60" w:before="60"/>
      </w:pPr>
    </w:p>
    <w:p>
      <w:r>
        <w:br w:type="page"/>
      </w:r>
    </w:p>
    <w:p>
      <w:pPr>
        <w:pStyle w:val="Heading1"/>
        <w:pBdr>
          <w:bottom w:val="single" w:color="1F4E79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Glossário Técnico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Termo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Definição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Adapter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Componente que implementa a interface padrão query() → AdapterResult para uma fonte específica. Cada fonte tem seu adapter.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AdapterResult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Objeto retornado por todo adapter: { source, cached, data, meta }. Nunca expõe detalhes de protocolo.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CVM IPE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Informações Periódicas e Eventuais — conjunto de documentos não estruturados (fatos relevantes, atas, comunicados) publicados pelas companhias abertas.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DFP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Demonstrações Financeiras Padronizadas — relatório anual obrigatório à CVM com balanço, DRE e fluxo de caixa.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Embedding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Representação vetorial de texto para busca semântica. Armazenado em banco vetorial (pgvector, Qdrant).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FCA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Formulário Cadastral — documento CVM com composição do capital, auditores, segmento B3.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Formulário de Referência — documento CVM com composição acionária, remuneração de executivos, ESG.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ITR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Informações Trimestrais — relatório trimestral obrigatório à CVM no mesmo formato do DFP.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k-anonimato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Técnica de privacidade: sinal coletivo só é usado se gerado por pelo menos k (=10) clientes distintos.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Motor de score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Componente interno que cruza todas as fontes com pesos calibrados por CNAE/porte/região para gerar score 0–100.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Orchestrator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Camada core que decide quais adapters acionar por plano do cliente e tipo de consulta.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Price/Earnings to Growth — P/L dividido pelo CAGR de crescimento. Quanto menor, mais barata a ação relativa ao crescimento.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Retrieval-Augmented Generation — recuperação de documentos relevantes antes de gerar resposta LLM, ancorando em evidências.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RNTRC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Registro Nacional de Transportadores Rodoviários de Cargas — habilitação ANTT obrigatória para transportadoras.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TTL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Time-To-Live — tempo de validade de um dado no cache Redis antes de ser re-consultado.</w:t>
            </w:r>
          </w:p>
        </w:tc>
      </w:tr>
    </w:tbl>
    <w:p>
      <w:pPr>
        <w:spacing w:after="60" w:before="60"/>
      </w:pPr>
    </w:p>
    <w:p>
      <w:pPr>
        <w:spacing w:after="0" w:before="48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Documento gerado em junho 2025. Atualizar a cada iteração relevante de produto.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7562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2026-06-04T14:37:30.174Z</dcterms:created>
  <dcterms:modified xsi:type="dcterms:W3CDTF">2026-06-04T14:37:30.189Z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