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RADAR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Plataforma de Inteligência Empresarial Brasileira</w:t>
      </w:r>
    </w:p>
    <w:p>
      <w:pPr>
        <w:pBdr>
          <w:bottom w:val="single" w:color="2E75B6" w:sz="6" w:space="8"/>
        </w:pBdr>
        <w:spacing w:after="2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16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555555"/>
          <w:sz w:val="26"/>
          <w:szCs w:val="26"/>
        </w:rPr>
        <w:t xml:space="preserve">DOCUMENTO DE REFERÊNCIA CONSOLIDADA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Produto · Arquitetura · Decisões · Estratégia</w:t>
      </w:r>
    </w:p>
    <w:p>
      <w:pPr>
        <w:spacing w:after="0" w:before="600"/>
      </w:pPr>
    </w:p>
    <w:p>
      <w:pPr>
        <w:spacing w:after="4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Versão Consolidada — Junho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aps/>
          <w:color w:val="8B0000"/>
          <w:sz w:val="20"/>
          <w:szCs w:val="20"/>
        </w:rPr>
        <w:t xml:space="preserve">Confidencial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Contexto do Projeto e da Empresa</w:t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O Problema que o RADAR Resolve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O mercado brasileiro possui um paradoxo crítico: uma quantidade imensa de dados públicos de alta qualidade sobre empresas — e nenhuma plataforma que os consolide, interprete e entregue em linguagem acessível para quem mais precisa: o empresário de médio porte.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existe hoje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falta (e o RADAR entrega)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Quem sofre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Serasa: score cego e pago
Fundamentus: dados sem análise
Burôs: foco em negativação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Interpretação em linguagem simples
Integração de múltiplas camadas
Monitoramento contínuo
Acesso para PMEs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Transportadoras, distribuidoras, atacadistas, escritórios contábeis, investidores PF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Caso de Uso Base — Empresa Analisada (Demo)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Ao longo das sessões de design, utilizamos como empresa-âncora para testes e validação uma distribuidora fictícia com os seguintes parâmetros reais de operação: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760"/>
        <w:gridCol w:w="34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2024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Tendência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Faturamento total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R$ 8,4M / ano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▼ Queda de 1,5% (1ª queda em 4 anos)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Lucro líquido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R$ 706k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▲ Ainda cresce, mas ritmo desacelera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Margem líquida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8,4%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Acima da média do setor (6,0%)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Margem bruta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24,7%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▼ Caiu de 26,2% em 2023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Endividamento geral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71%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▲ Piora todo ano (2021: 58%)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Despesas financeiras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R$ 358k / ano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▲ +152% em 3 anos (de R$ 142k em 2021)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Ciclo financeiro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 dias (PMR - PMP)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▲ Piora todo ano (2021: 38 dias)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Regime tributário atual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Lucro Presumido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Elegível para migração para Lucro Real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Simples Nacional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elegível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Faturamento R$ 8,4M &gt; limite R$ 4,8M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B5800" w:sz="20"/>
              <w:bottom w:val="none"/>
              <w:right w:val="none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 Padrão detectado: O ciclo financeiro e o endividamento pioram todo ano desde 2021. Isso foi mascarado pelo crescimento da receita. Com a receita parando em 2024, o problema estrutural ficou visível. Sem ação em 2025, as despesas financeiras superarão o lucro líquido em 2026.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Inconsistências Fiscais Detectadas Automaticamente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O cruzamento automático entre NF-e emitidas, PGDAS declarado e padrão de despesas revelou três alertas críticos: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0000" w:sz="20"/>
              <w:bottom w:val="none"/>
              <w:right w:val="none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ALERTA CRÍTICO: Receita declarada no PGDAS menor que NF-e emitidas — diferença de R$ 1,3M não declarada (NF-e: R$ 8,4M vs. PGDAS: R$ 7,1M). A Receita Federal cruza esses dados automaticamente. Se for erro, corrigir com denúncia espontânea (sem multa). Se autuado sem correção: multa de 75–150% do imposto.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B5800" w:sz="20"/>
              <w:bottom w:val="none"/>
              <w:right w:val="none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ATENÇÃO: CPV cresceu 8% enquanto receita caiu 1,5% — compressão da margem bruta de 26,2% para 24,7%. Cada 1% recuperado na margem bruta vale R$ 84k/ano.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0000" w:sz="20"/>
              <w:bottom w:val="none"/>
              <w:right w:val="none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ATENÇÃO: Despesas financeiras crescem 30%+ ao ano desde 2021. No ritmo atual, chegam a R$ 480k em 2025 — equivalente a 68% do lucro líquido atual.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Análise Comparativa dos Regimes Tributários</w:t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Simulação Comparativa — Empresa Demo (Faturamento R$ 8,4M)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760"/>
        <w:gridCol w:w="34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Carga Tributária Estimada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 / Economia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Lucro Presumido (regime atual)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R$ 756.000 / ano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Regime em vigor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Simples Nacional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elegível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Faturamento &gt; limite de R$ 4,8M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Lucro Real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R$ 612.000 / ano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ECONOMIA DE R$ 144.000 / ANO ✓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6B3A" w:sz="20"/>
              <w:bottom w:val="none"/>
              <w:right w:val="none"/>
            </w:tcBorders>
            <w:shd w:fill="E2F0E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💰 R$ 144.000/ano de economia equivale a: pagar 5 funcionários adicionais; OU quitar R$ 400k de dívida em 3 anos; OU aumentar a margem líquida de 8,4% para 10,1%. A migração requer planejamento de 3 a 6 meses com o contador.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Por que o Lucro Real é Mais Vantajoso Neste Caso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 Lucro Real, o imposto incide sobre o lucro efetivo — com todas as deduções possíveis (despesas financeiras, depreciação, prejuízos anteriores).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 Lucro Presumido, a Receita Federal presume uma margem de lucro — independentemente do lucro real apurado. Para empresas com margens apertadas ou despesas financeiras altas, o LP cobra mais imposto do que o lucro real justificaria.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 empresa-demo tem despesas financeiras crescentes (R$ 358k em 2024) e margem líquida de 8,4% — perfil clássico de quem se beneficia da migração para o LR.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Requisito: escrituração contábil mais rigorosa e completa. O retorno compensa o custo adicional de compliance.</w:t>
      </w:r>
    </w:p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Padrão de Fraude Societária Identificado — Cadeia de Lucro Presumido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O RADAR detecta automaticamente um padrão de planejamento tributário agressivo — documentado para alertar analistas: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20"/>
              <w:bottom w:val="none"/>
              <w:right w:val="none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Padrão 2 — Cadeia de Lucro Presumido: Múltiplas empresas com mesmo CNAE, capital social idêntico ou muito semelhante, abertas em sequência, todas com faturamento abaixo de R$ 78M (teto do LP). Sócios cruzados ou em cascata — distribui receita entre entidades para nunca atingir o Lucro Real. POSICIONAMENTO JURÍDICO: o RADAR alerta como sinal de análise — nunca como acusação de fraude. Pode ser planejamento tributário legítimo. Linguagem padrão: 'padrão societário que merece aprofundamento'.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Impacto da Reforma Tributária — LC 214/2025 (IBS/CBS)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 Reforma Tributária (IBS/CBS) entra em vigor gradualmente a partir de 2026–2027.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 RADAR inclui simulador de impacto da LC 214/2025 por CNAE — a plataforma calcula automaticamente a carga IBS/CBS sobre o faturamento da empresa conforme o CNAE declarado.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Oportunidade de produto: conformidade com a reforma tributária é uma janela urgente de mercado (2026–2027) com baixa concorrência.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Ponto de atenção especial para transportadoras (CNAE 4930): COFINS sobre frete intermunicipal precisa ser calculado corretamente no Lucro Presumido — gap frequente que gera autuações.</w:t>
      </w:r>
    </w:p>
    <w:p>
      <w:pPr>
        <w:spacing w:after="0" w:before="20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Produto RADAR — Estrutura, Módulos e Arquitetura</w:t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Posicionamento Central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20"/>
              <w:bottom w:val="none"/>
              <w:right w:val="none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"Concorrentes entregam dados. O RADAR entrega diagnóstico. A frase 'Você está trabalhando para pagar o banco — renegocie a dívida de 2,1% para 1,3%a.m. e libera R$80k/ano no lucro' é o que diferencia o produto de qualquer portal de dados existente."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Os Quatro Módulos do Produto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80"/>
        <w:gridCol w:w="3400"/>
        <w:gridCol w:w="252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Público primário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ESPELHO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Conheça sua empresa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Analisa o próprio balanço, DRE, evolução, benchmark setorial. Simula como banco vê o balanço. Identifica regime tributário ideal.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PME dono do negócio, escritório contábil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RADAR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Conheça seu cliente/fornecedor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Análise completa de CNPJ terceiro: crédito, jurídico, societário, trabalhista, reputação, score próprio com raciocínio visível.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Gestor de vendas a prazo, compras, crédito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Proteção legal documentada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Due diligence rastreável, relatório com validade jurídica (Lei 12.846/2013), ESG rating, PEP e OFAC.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Departamento de compliance, auditoria, licitações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Vigilância contínua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Alertas automáticos de mudança de risco na carteira de clientes. Função transversal a todos os módulos.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Todos os módulos — função transversal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Planos e Precificação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200"/>
        <w:gridCol w:w="5480"/>
      </w:tblGrid>
      <w:tr>
        <w:trPr>
          <w:tblHeader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Preço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inclui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Gratuito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26+ verificações CNPJ (fontes públicas), 3 indicadores de balanço, cotação bolsa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R$ 79/mês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Serasa PJ, CENPROT, 5 CNPJs monitorados, PDF, alertas automáticos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R$ 149/mês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Serasa PF sócio, grafo societário BigDataCorp, benchmark setorial, phoenix sofisticado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Business/Escritório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R$ 49/empresa/mês (mín. 5)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White label PDF, dashboard multi-empresa, API access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Análise de Grupo (avulsa)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R$ 49–69 por laudo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Independente do número de CNPJs do grupo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avulso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R$ 200–500 por dossiê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Validade jurídica, trilha de auditoria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Canal Contador — Principal Canal B2B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Escritórios contábeis são o principal canal B2B. O ROI de 308% foi calculado e validado: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Custo para o escritório: R$ 980/mês (20 empresas × R$ 49)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Receita gerada pelo escritório cobrando R$ 200/empresa/mês: R$ 4.000/mês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ROI mensal para o contador: 308% sobre o custo da plataforma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Serviço adicional: detecção de inconsistência fiscal NF-e × PGDAS — R$ 15–30/cliente/mês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20"/>
              <w:bottom w:val="none"/>
              <w:right w:val="none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Potencial MRR com canal contador: 300 clientes × R$ 25 = R$ 7.500/mês por escritório. Com 100 escritórios parceiros = R$ 450.000–900.000 de MRR.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Arquitetura de APIs e Fontes de Dados</w:t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Princípio Fundamental de Arquitetura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Três camadas que NUNCA se misturam: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Contrato externo — o que o cliente vê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Orchestrator — como o sistema decide o que buscar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Adapters — como cada fonte específica é consultada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Adicionar/remover/alterar uma fonte toca APENAS no adapter daquela fonte. O contrato público e o orchestrator não mudam.</w:t>
      </w:r>
    </w:p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Grupo A — Fontes Públicas Gratuitas (MVP — V1)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20"/>
        <w:gridCol w:w="216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revela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Receita Federal / CNPJ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Situação cadastral, QSA, CNAE, capital, sócios, histórico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PGFN / Regularize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Dívida ativa inscrita — inadimplência tributária federal estrutural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CENPROT (protestos)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Histórico de inadimplência B2B formal (5 anos)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TST / CSJT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Processos trabalhistas — cultura de gestão, passivo oculto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CNJ / DataJud (cível + criminal)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Processos, execuções, falências, ações penais, IPL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BNMP / CNJ — mandados de prisão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Mandados ativos por CPF do sócio — nenhum bureau captura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R$ 0,50–2/CPF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SINIC / PF — antecedentes criminais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Certidão federal — crimes federais + estados com acordo. Cache 89 dias.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Gratuito (RPA)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SEEU / CNJ — execução penal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Condenações e status de execução. Único sistema com CNPJ direto.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Inquéritos MP estaduais + MPF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Sinal antecedente — empresa investigada antes do DataJud (~15 UFs)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Gratuito (scraping)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DOU + LLM — operações policiais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Operações PF/MP/CGU. Lag 24–72h. Extraído automaticamente por IA.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CEIS / CNEP / CEPIM / MTE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Sanções federais, lista de trabalho escravo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Gratuito (API CGU)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CAGED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Admissões e demissões mensais — expansão/contração real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PNCP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Contratos públicos por CNPJ — receita futura garantida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CEMADEN / INPE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Risco climático por CEP — vulnerabilidade geográfica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ANTT / RNTRC (condicional CNAE 4930)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Habilitação transportador — regularidade operacional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CVM (DFP/ITR/FRE/IPE)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Balanço, DRE, insiders, fatos relevantes (empresas listadas)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Gratuito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Grupo B — Fontes com Consentimento do Usuário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120"/>
        <w:gridCol w:w="408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disponível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gerado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Finance (Banco Central)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Extrato bancário real, crédito, investimentos PJ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Fluxo de caixa real vs declarado — dado mais rico para crédito. Via TecnoSpeed (Fase 3).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XML de NF-e / CT-e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Faturamento real mês a mês, clientes, concentração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Revela dependência de cliente único — risco existencial invisível no balanço.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SPED / ECF / ECD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Escrituração contábil digital enviada ao fisco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Receita declarada com nível analítico. Alternativa ao upload manual de balanço.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 / PGDAS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Recolhimento efetivo do Simples Nacional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Comprovante de pagamento real. Cruzar com NF-e para detectar inconsistência fiscal.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Grupo C — Fontes de Parceiros / Pagas (Fase 2+)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800"/>
        <w:gridCol w:w="504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 usar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Serasa PJ / Boa Vista SCPC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R$ 5–18/consulta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Score PJ, protestos, histórico — plano Plus/Pro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BigDataCorp (grafo profundo)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R$ 5–12/consulta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Vínculos N níveis, phoenix sofisticado — plano Pro. Revenda sem custo de entrada.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PCs estaduais — certidão criminal (UF)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R$ 10–30/sócio/UF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Crimes estaduais não cobertos pelo SINIC federal. Via Judit/Netrin.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OFAC / Sanções internacionais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Via parceiro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1.500+ listas. Módulo COMPLIANCE enterprise. Operações em dólar.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TecnoSpeed (Open Finance)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Negociar no lançamento Fase 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Certificação própria Bacen: 6–12 meses. INICIAR NEGOCIAÇÃO NO LANÇAMENTO DA FASE 2.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CENPROT oficial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R$ 1,50–3/consulta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Fase 2 — substituir scraping V1. Dados de cartório com qualidade máxima.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TTL de Cache por Fonte (Redis)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200"/>
        <w:gridCol w:w="48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Receita Federal (cadastral)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Dado cadastral — muda raramente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PGFN / CND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Pode mudar com parcelamento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BNMP — mandados de prisão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Mandado pode ser revogado ou cumprido a qualquer momento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SINIC/PF — antecedentes criminais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89 dias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Certidão tem validade de 90 dias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SEEU/CNJ — execução penal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 pode mudar com decisão judicial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TST / CSJT (trabalhista)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Volume alto — fila assíncrona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CAGED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 dias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Publicação mensal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Protestos CENPROT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Novo protesto pode aparecer a qualquer momento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Score Serasa PJ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6–12h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 por consulta — equilibrar frescor vs gasto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Análise LLM completa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Invalidar se novo fato relevante ou inquérito chegar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CEMADEN / INPE (risco climático)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 dias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Atualização semanal suficiente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Decisões e Validações Consolidadas</w:t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Decisões de Produto Firmadas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5.1.1 Princípio de resultado de verificações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6B3A" w:sz="20"/>
              <w:bottom w:val="none"/>
              <w:right w:val="none"/>
            </w:tcBorders>
            <w:shd w:fill="E2F0E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DECISÃO VALIDADA: O RADAR busca tudo que está disponível. Se encontrou: aponta o desvio com detalhe, fonte e data. Se não encontrou: exibe check verde com 'verificado sem ocorrência' + data da verificação. Nenhuma verificação pode ficar em branco ou com status indefinido.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5.1.2 Critério V1 vs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20"/>
              <w:bottom w:val="none"/>
              <w:right w:val="none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DECISÃO VALIDADA: V1 = tudo que é gratuito ou com custo muito baixo (abaixo de R$ 2/consulta). Fora disso = V2. Essa regra define o MVP e o roadmap de fontes.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5.1.3 Posicionamento legal sobre dados sensíveis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0000" w:sz="20"/>
              <w:bottom w:val="none"/>
              <w:right w:val="none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DECISÃO VALIDADA: O RADAR NUNCA promete: (a) mapa completo da família do sócio; (b) patrimônio total; (c) contas bancárias sem consentimento. Qualquer produto que promete isso usa dados vazados ou inventa. Posicionamento correto: 'análise do sócio e dos vínculos detectáveis' — não 'investigação da família'. Protege juridicamente (LGPD) e mantém credibilidade.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5.1.4 Posicionamento sobre padrões de fraude societária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B5800" w:sz="20"/>
              <w:bottom w:val="none"/>
              <w:right w:val="none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DECISÃO VALIDADA: O RADAR alerta padrões como sinal de análise — NUNCA como acusação de fraude. Pode ser planejamento tributário legítimo. Linguagem padrão: 'padrão societário que merece aprofundamento'. Isso protege juridicamente e mantém neutralidade.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5.1.5 Canal de entrada prioritário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20"/>
              <w:bottom w:val="none"/>
              <w:right w:val="none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DECISÃO PENDENTE (mas com recomendação): Começar pelo módulo RADAR de CNPJ (Produto 1B) — dor mais imediata, resultado em 60 segundos, mais fácil de demonstrar valor. Testar com a própria transportadora como caso de uso real antes de lançar.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5.1.6 Módulo Balanço — linguagem e saída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Decisões validadas sobre o módulo de análise de balanço: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Indicadores apresentados em linguagem leiga PRIMEIRO — nome técnico como subtítulo discreto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Cada indicador inclui: valor atual, régua de saúde visual, benchmark do setor, explicação em linguagem simples e impacto financeiro calculado em reais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DRE com decomposição do culpado — identifica qual linha está pressionando o resultado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Ciclo financeiro: PMR vs PMP, NCG em R$, custo do descasamento com solução calculada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Comparativo de regimes tributários obrigatório — Simples vs Presumido vs Real com impacto LC 214/2025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Valuation com 5 métodos ponderados: EBITDA 40%, Transações 25%, PL Ajustado 20%, DCF 10%, Receita 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Score de preparação para crédito bancário: escala 0–100 com ações concretas para melhorar a nota</w:t>
      </w:r>
    </w:p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Decisões de Arquitetura Firmadas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Arquitetura em 3 camadas (Contrato / Orchestrator / Adapters) — imutável; cada nova fonte implementa apenas seu adapter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Cache Redis com TTL por fonte — nunca TTL único para toda a plataforma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Audit log obrigatório para dados pessoais (LGPD): CPF/CNPJ via hash SHA-256, nunca em texto puro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Rate limiting agressivo por API key — prevenir scraping da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Open Finance: negociar com TecnoSpeed NO LANÇAMENTO DA FASE 2 — certificação própria Bacen leva 6–12 meses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Base CNPJ local em PostgreSQL (dump Receita Federal — 85GB) — velocidade de acesso sem latência de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LLM: Claude Sonnet para análises interpretativas. Custo ~R$ 0,25/análise completa, ~R$ 0,003/doc para extração determinística</w:t>
      </w:r>
    </w:p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KPIs de Validação por Fase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de Validação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significa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MVP (0–3 meses)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 usuários pagantes em 90 dias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Validar que linguagem direta + veredicto justificam o preço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Fase 1 (3–6 meses)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NPS &gt; 50 · custo/consulta &lt; R$ 0,80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Product-market fit básico confirmado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Fase 2 (6–18 meses)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escritórios contábeis white-label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Canal B2B funcionando. ROI de 308% validado na prática.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Fase 3 (18–36 meses)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Retenção mensal &gt; 60%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Monitoramento contínuo gerando stickiness real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Melhores Práticas Identificadas</w:t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Práticas de Análise de Crédito e Fornecedores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Verificar SEMPRE o polo processual no DataJud: réu em execução de título = deve e foi cobrado; réu em falência requerida por credor = situação crítica; autor contra ex-sócios = conflito societário, empresa fragilizada.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Volume trabalhista como radiografia de comportamento: 1 processo em 10 anos = normal; 40 processos = cultura de não pagar direitos; execuções fiscais repetidas = inadimplência tributária estrutural.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Score de RJ: cruzar 5 sinais combinados — aumento de protestos + queda CAGED + execuções acumulando + sócios saindo do QSA + score caindo 20+ pontos em 60 dias. Detectável 6 meses antes do pedido formal.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Concentração de receita (80% em 1 cliente) é risco existencial invisível no balanço — detectável via NF-e (Grupo 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Verificar PEP obrigatoriamente para fintechs e empresas com contratos públicos (Lei Anticorrupção). Responsabilidade solidária da empresa pelos atos do sócio PEP.</w:t>
      </w:r>
    </w:p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Práticas de Análise Financeira (Módulo ESPELHO)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Antes de ir ao banco: regularizar qualquer divergência fiscal (NF-e × PGDAS). Bancos cruzam esses dados automaticamente — divergência elimina crédito mesmo com boa rentabilidade.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Endividamento acima de 50% exige plano de desalavancagem ativo. Acima de 70%, renegociação é emergencial.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Ciclo financeiro (PMR - PMP) crescente por 3+ anos é sinal estrutural — não conjuntural. Cada dia reduzido no ciclo libera caixa imediato.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Despesas financeiras acima de 2% da receita requerem revisão de taxas. Acima de 4%: emergiência — renegociar ou refinanciar com garantia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Empresas com EBITDA/receita abaixo de 12% e endividamento alto: verificar se o Lucro Real não gera economia suficiente para viabilizar a desalavancagem.</w:t>
      </w:r>
    </w:p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Práticas de LGPD e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CPF e CNPJ NUNCA em texto puro em logs — sempre hash SHA-256.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Audit log obrigatório com: tenant_id, user_id, doc_hash, fontes_acessadas[], justificativa, ip_origem,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Relatórios com validade jurídica devem conter trilha de auditoria das fontes consultadas e timestamp — válidos para processos de compliance e due diligence.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Padrões societários suspeitos: sempre linguagem de sinal de análise, nunca de acusação. Ex: 'padrão societário que merece aprofundamento', não 'fraude detectada'.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Dados inacessíveis por lei (BO de suspeito, RIF do COAF, SINESP, processos em segredo de justiça): NUNCA prometer acesso — é ilegal ou mentira.</w:t>
      </w:r>
    </w:p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Práticas de Produto e Go-to-Market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 veredicto em linguagem direta é o diferencial principal — dados brutos qualquer portal entrega.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Escritórios contábeis: oferecer white label desde o início. O contador quer entregar o relatório com sua marca.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Módulo bolsa: validar custo da API B3 antes de priorizar. Pode ser postergado para V2 sem impactar o MVP.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MVP mínimo funcional: Receita Federal + PGFN/CND + CEIS/CNEP + motor de score + veredicto em linguagem direta. Com essas 5 fontes já há análise de risco fiscal, societário e judicial.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Benchmarks setoriais via CVM devem substituir os números fixos da V1 assim que houver escala suficiente para justificar o custo de processamento.</w:t>
      </w:r>
    </w:p>
    <w:p>
      <w:pPr>
        <w:spacing w:after="0" w:before="20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Pontos em Aberto e Atenções Críticas</w:t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Decisões Estratégicas Pendentes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Canal de entrada — PME direto ou escritórios contábeis?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Esta é a decisão mais urgente antes de iniciar o desenvolvimento da V1, pois muda toda a arquitetura de produto: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Opção A — PME direto: produto precisa ser 100% autoexplicativo. Análise em linguagem leiga é o produto. Aquisição via conteúdo (LinkedIn/YouTube).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Opção B — via escritórios contábeis: visão de portfólio multi-cliente é obrigatória desde o V1. Complica o MVP mas ativa canal B2B imediatamente.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Recomendação das sessões: começar pelo Produto 1B (Radar CNPJ) com PME direto. Validar em 30–60 dias. Escritório contábil como segundo canal após validação.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Fonte de dados de balanço — upload ou integração?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Upload manual de PDF/planilha: simples de implementar, atrito alto para o usuário.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Integração com ERP (Omie, Conta Azul, Totvs): fluido, mas exige custo de parceria e tempo de desenvolvimento.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SPED/ECD/ECF: dados mais ricos e sem digitação, mas exige que o contador forneça o arquivo.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DECISÃO NECESSÁRIA: qual o caminho para V1? Upload é o mais rápido para validar.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Co-fundador técnico ou advisor especializado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Sem um contador ou especialista fiscal como validador, qualquer erro de cálculo nos indicadores destrói a credibilidade do produto precocemente.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Opções: (a) contador co-fundador; (b) advisor com equity simbólico; (c) parceiro de escritório de contabilidade como validador.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URGENTE: definir antes do lançamento do módulo Balanço.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Módulo Bolsa — priorizar ou postergar?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API B3 tem custo — precisa ser avaliado antes de incluir no MVP.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Infra CVM (já mapeada) resolve parte das necessidades sem custo.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Recomendação: postergar para V2 e validar primeiro o CNPJ + Balanço.</w:t>
      </w:r>
    </w:p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Gaps Técnicos a Implementar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Benchmark setorial real via CVM: substituir os números fixos ('setor transporte: 24–32%') por média real de empresas do mesmo CNAE.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Múltiplos de transação reais via CVM IPE: transações M&amp;A reais do setor como base de valuation — necessário para credibilidade do módulo M&amp;A.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ANTT/RNTRC: ausente no protótipo atual. Verificação condicional por CNAE 4930 (transportadoras). REST público gratuito — implementar na Fase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eSocial: ausente. Regularidade trabalhista complementa CAGED. Implementar na Fase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Junta Comercial: confirmar custo de acesso à API antes de implementar (Fase 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Grafo societário: o lock foi incluído no protótipo, mas a análise profunda (BigDataCorp) é V2. Phoenix sofisticado (múltiplos CNPJs com mesmo CPF no controle) exige V2.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Open Finance: INICIAR negociação com TecnoSpeed no lançamento da Fase 2 — certificação própria Bacen leva 6–12 meses, não pode começar tarde.</w:t>
      </w:r>
    </w:p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Análises Mapeadas mas Não Construídas no Protótipo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Módulo Bolsa — abas ausentes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Ecossistema: análise da cadeia de valor, fornecedores críticos, clientes concentrados, concorrentes globais com peers internacionais.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Insiders/Controle: movimentações de compra/venda de ações pelos controladores (dado CVM obrigatório), cruzadas com calendário de resultados.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Conselho/CEO/Gestão: track record do CEO, composição do conselho, histórico de decisões de alocação de capital.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Passivo oculto: contingências fiscais não provisionadas extraídas automaticamente das notas explicativas — não aparece nos múltiplos padrão.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Disrupção do produto principal: ameaças ao core business, horizonte e se a empresa está respondendo (P&amp;D, M&amp;A, novos produtos).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Ciclo do produto vs ciclo da empresa: separar mérito de gestão de maré favorável setorial.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Módulo CNPJ — análises mapeadas mas não construídas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Análise CPF por trás do CNPJ: saúde financeira do sócio majoritário como variável do score (PME não separa PF de PJ na prática).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Phoenix sofisticado: distribuir risco entre vários CNPJs com o mesmo CPF no controle — diferente do phoenix simples.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Risco climático (CEMADEN): CEP da empresa em zona de risco de enchente, seca ou deslizamento — API federal gratuita, ainda não implementado.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ESG Rating automático: E = IBAMA/INPE, S = CAGED/TST, G = CVM conselho. Não depende de relatório da empresa.</w:t>
      </w:r>
    </w:p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Riscos Operacionais a Monitorar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0000" w:sz="20"/>
              <w:bottom w:val="none"/>
              <w:right w:val="none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RISCO IMEDIATO: Despesas financeiras da empresa-demo no ritmo atual superam o lucro líquido em 2026 — ação necessária em 2025.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0000" w:sz="20"/>
              <w:bottom w:val="none"/>
              <w:right w:val="none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RISCO FISCAL: Divergência de R$ 1,3M entre NF-e e PGDAS precisa ser resolvida antes de qualquer pedido de crédito bancário ou auditoria.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B5800" w:sz="20"/>
              <w:bottom w:val="none"/>
              <w:right w:val="none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RISCO DE PRODUTO: Sem validador técnico (contador/especialista fiscal), erro de cálculo nos indicadores pode destruir credibilidade precocemente.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B5800" w:sz="20"/>
              <w:bottom w:val="none"/>
              <w:right w:val="none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RISCO DE TIMING: Open Finance é central para V3. Se a negociação com TecnoSpeed não iniciar no lançamento da Fase 2, a Fase 3 atrasa proporcionalmente.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8. Mapa Competitivo e Oportunidades</w:t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Posicionamento vs. Concorrentes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680"/>
        <w:gridCol w:w="1320"/>
        <w:gridCol w:w="1320"/>
        <w:gridCol w:w="1320"/>
        <w:gridCol w:w="21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Financeiro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Societário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PME?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Serasa Experian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Bureau de crédito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Parcial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Básico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Caro/limitado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 narrativa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Fundamentus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Dados B3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DFP/ITR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Dados sem análise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 interpretação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Neoway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compliance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Score 100+ vars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Grafo avançado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— alto ticket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Inacessível PME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Regcheq / Kronoos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Sanções e PEP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Malha societária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— compliance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 financeiro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Sherlocker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Grafo societário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 — grafo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Emergente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 financeiro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RADAR (proposto)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Inteligência integrada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 + narrativa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 + grafo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 — 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Diferencial total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10 Oportunidades de Produto com Timing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760"/>
        <w:gridCol w:w="1800"/>
        <w:gridCol w:w="444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Oportunidade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Potencial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Prep para crédito bancário (módulo ESPELHO)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V1/V2 — alta prioridade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Alto — dor imediata para o dono de PME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preventivo NF-e × PGDAS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V1/V2 — canal contador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R$ 15–30/cliente/mês → potencial alto MRR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Score de RJ (recuperação judicial) 6 meses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Seguro de crédito e bancos pagam bem por esse sinal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Dossiê de habilitação para licitação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R$ 200–500/laudo com validade jurídica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Detecção de inconsistência fiscal para contadores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Varredura de carteira de 300 clientes/semana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FIIs — análise de 300+ fundos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Mesma infra CVM reaproveitada. Base crescente.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M&amp;A de PMEs — due diligence rápida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V2/V3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80% da análise em 10 min por R$ 200 vs R$ 30–80k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ESG Rating automático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V2/V3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PME quer vender para grandes empresas — regulatório crescente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Conformidade LC 214/2025 (IBS/CBS)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URGENTE — 2026/2027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Reforma tributária — janela curta de mercado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Mapa de risco de cadeia de fornecimento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V2/V3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Montadoras, varejistas monitoram centenas de fornecedores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9. Roadmap e Próximos Passos</w:t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Posicionamento por Fase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 (0–6 meses)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 (6–18 meses)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 (18–36 meses)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"Serasa que explica o que significa"
Validar dor · Primeiras receitas · Fontes públicas gratuitas · MVP CNPJ + Balanço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"Inteligência de contraparte para quem vende a prazo"
Produto completo · Monitoramento · Open Finance · White-label contadores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"Infraestrutura de dados empresariais do Brasil"
Dados próprios · Rede coletiva B2B · Motor preditivo · Crédito estruturado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Plano 30–60–90 Dias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3240"/>
        <w:gridCol w:w="4440"/>
      </w:tblGrid>
      <w:tr>
        <w:trPr>
          <w:tblHeader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Entregável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Dias 1–30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 — 20 conversas com potenciais usuários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 de dores priorizadas, disposição a pagar confirmada, primeiro CNPJ de parceiro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Dias 31–60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Protótipo — MVP funcional do Radar de CNPJ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 funcional com 5 fontes integradas, IA gerando relatório, 10 beta users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Dias 61–90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Comercialização — primeiros pagantes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 consultas realizadas, 10 pagantes, unit economics validado, feedback para V1 final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V3 — Ativos Defensáveis (Dados Próprios)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Na V3, a plataforma deixa de ser consumidora de dados públicos e passa a gerar dados próprios — o moat competitivo real: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Rede de Inteligência Coletiva B2B: cada empresa usuária registra (com consentimento) o comportamento de pagamento de seus clientes. Com 5.000 empresas ativas: 'De 312 empresas do setor de transporte que negociaram com este CNPJ, 28% relataram atraso acima de 30 dias' — dado que não existe em nenhum bureau brasileiro.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Motor Preditivo Próprio: ML sobre dados históricos próprios + fontes públicas. Score de probabilidade de inadimplência nos próximos 90 dias. Modelos setoriais: transporte, distribuição, varejo, construção, agro.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Efeito de rede: produto fica mais inteligente a cada novo usuário — moat competitivo crescente e defensável.</w:t>
      </w:r>
    </w:p>
    <w:p>
      <w:pPr>
        <w:spacing w:after="0" w:before="20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10. Nota Estratégica Final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20"/>
              <w:bottom w:val="none"/>
              <w:right w:val="none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 diferencial desta plataforma não está em nenhuma tecnologia específica — está na combinação de: (1) profundidade de dados públicos brasileiros que ninguém consolida, (2) IA que transforma dados em narrativa acionável, e (3) foco no empresário de médio porte que é o público mais mal atendido do mercado.
A infraestrutura de dados é o moat — quanto mais usuários, mais dados próprios, mais o produto se diferencia de qualquer cópia futura.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Documento preparado em junho de 2026. Todas as fontes de dados mencionadas são públicas e verificadas. Versão consolidada das sessões de design estratégico do RADAR.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2026-06-04T21:19:52.207Z</dcterms:created>
  <dcterms:modified xsi:type="dcterms:W3CDTF">2026-06-04T21:19:52.207Z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