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E887" w14:textId="4E0AAB42" w:rsidR="00BC5072" w:rsidRPr="00097D35" w:rsidRDefault="00BC5072" w:rsidP="00BC5072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Table 4: </w:t>
      </w:r>
      <w:r w:rsidRPr="00097D35">
        <w:rPr>
          <w:rFonts w:ascii="Arial" w:eastAsia="Arial" w:hAnsi="Arial" w:cs="Arial"/>
          <w:b/>
          <w:sz w:val="20"/>
          <w:szCs w:val="20"/>
        </w:rPr>
        <w:t>Residual Analysis</w:t>
      </w:r>
    </w:p>
    <w:p w14:paraId="6B074B59" w14:textId="77777777" w:rsidR="00BC5072" w:rsidRPr="00097D35" w:rsidRDefault="00BC5072" w:rsidP="00BC5072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</w:p>
    <w:tbl>
      <w:tblPr>
        <w:tblW w:w="12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550"/>
        <w:gridCol w:w="1410"/>
        <w:gridCol w:w="1409"/>
        <w:gridCol w:w="1410"/>
        <w:gridCol w:w="1410"/>
        <w:gridCol w:w="1409"/>
        <w:gridCol w:w="1410"/>
        <w:gridCol w:w="1410"/>
      </w:tblGrid>
      <w:tr w:rsidR="00BC5072" w:rsidRPr="00097D35" w14:paraId="1F166DF8" w14:textId="77777777" w:rsidTr="00D76C6A">
        <w:tc>
          <w:tcPr>
            <w:tcW w:w="1555" w:type="dxa"/>
          </w:tcPr>
          <w:p w14:paraId="11E27A0A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Model</w:t>
            </w:r>
          </w:p>
        </w:tc>
        <w:tc>
          <w:tcPr>
            <w:tcW w:w="1550" w:type="dxa"/>
          </w:tcPr>
          <w:p w14:paraId="387089E8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Scheduled Duration</w:t>
            </w:r>
          </w:p>
        </w:tc>
        <w:tc>
          <w:tcPr>
            <w:tcW w:w="1410" w:type="dxa"/>
          </w:tcPr>
          <w:p w14:paraId="50674C91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  <w:tc>
          <w:tcPr>
            <w:tcW w:w="1409" w:type="dxa"/>
          </w:tcPr>
          <w:p w14:paraId="25F134DD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Linear Regression</w:t>
            </w:r>
          </w:p>
        </w:tc>
        <w:tc>
          <w:tcPr>
            <w:tcW w:w="1410" w:type="dxa"/>
          </w:tcPr>
          <w:p w14:paraId="3185C220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Ridge Regression</w:t>
            </w:r>
          </w:p>
        </w:tc>
        <w:tc>
          <w:tcPr>
            <w:tcW w:w="1410" w:type="dxa"/>
          </w:tcPr>
          <w:p w14:paraId="7375162C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Lasso Regression</w:t>
            </w:r>
          </w:p>
        </w:tc>
        <w:tc>
          <w:tcPr>
            <w:tcW w:w="1409" w:type="dxa"/>
          </w:tcPr>
          <w:p w14:paraId="6DE079F0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Random Forest</w:t>
            </w:r>
          </w:p>
        </w:tc>
        <w:tc>
          <w:tcPr>
            <w:tcW w:w="1410" w:type="dxa"/>
          </w:tcPr>
          <w:p w14:paraId="57B2D1DD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GBM</w:t>
            </w:r>
          </w:p>
        </w:tc>
        <w:tc>
          <w:tcPr>
            <w:tcW w:w="1410" w:type="dxa"/>
          </w:tcPr>
          <w:p w14:paraId="0229F7DC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XGBoost</w:t>
            </w:r>
          </w:p>
        </w:tc>
      </w:tr>
      <w:tr w:rsidR="00BC5072" w:rsidRPr="00097D35" w14:paraId="1446E881" w14:textId="77777777" w:rsidTr="00D76C6A">
        <w:tc>
          <w:tcPr>
            <w:tcW w:w="1555" w:type="dxa"/>
          </w:tcPr>
          <w:p w14:paraId="3A857BAB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Mean residual, minutes ± SD</w:t>
            </w:r>
          </w:p>
        </w:tc>
        <w:tc>
          <w:tcPr>
            <w:tcW w:w="1550" w:type="dxa"/>
          </w:tcPr>
          <w:p w14:paraId="2DE61EEC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-18.52 ± 36.72</w:t>
            </w:r>
          </w:p>
        </w:tc>
        <w:tc>
          <w:tcPr>
            <w:tcW w:w="1410" w:type="dxa"/>
          </w:tcPr>
          <w:p w14:paraId="703D085E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-0.37 ± 40.05</w:t>
            </w:r>
          </w:p>
        </w:tc>
        <w:tc>
          <w:tcPr>
            <w:tcW w:w="1409" w:type="dxa"/>
          </w:tcPr>
          <w:p w14:paraId="7076E6AC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-1.72 ± 40.47</w:t>
            </w:r>
          </w:p>
        </w:tc>
        <w:tc>
          <w:tcPr>
            <w:tcW w:w="1410" w:type="dxa"/>
          </w:tcPr>
          <w:p w14:paraId="1C7C3D50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-2.05 ± 40.20</w:t>
            </w:r>
          </w:p>
        </w:tc>
        <w:tc>
          <w:tcPr>
            <w:tcW w:w="1410" w:type="dxa"/>
          </w:tcPr>
          <w:p w14:paraId="6548DE08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-2.13 ± 40.92</w:t>
            </w:r>
          </w:p>
        </w:tc>
        <w:tc>
          <w:tcPr>
            <w:tcW w:w="1409" w:type="dxa"/>
          </w:tcPr>
          <w:p w14:paraId="377ACD0C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-2.69 ± 44.95</w:t>
            </w:r>
          </w:p>
        </w:tc>
        <w:tc>
          <w:tcPr>
            <w:tcW w:w="1410" w:type="dxa"/>
          </w:tcPr>
          <w:p w14:paraId="7D190DA9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-2.67 ± 44.87</w:t>
            </w:r>
          </w:p>
        </w:tc>
        <w:tc>
          <w:tcPr>
            <w:tcW w:w="1410" w:type="dxa"/>
          </w:tcPr>
          <w:p w14:paraId="452E1776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-2.63 ± 44.94</w:t>
            </w:r>
          </w:p>
        </w:tc>
      </w:tr>
      <w:tr w:rsidR="00BC5072" w:rsidRPr="00097D35" w14:paraId="26396C78" w14:textId="77777777" w:rsidTr="00D76C6A">
        <w:tc>
          <w:tcPr>
            <w:tcW w:w="1555" w:type="dxa"/>
          </w:tcPr>
          <w:p w14:paraId="7F526025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Median residual, minutes ± IQR</w:t>
            </w:r>
          </w:p>
        </w:tc>
        <w:tc>
          <w:tcPr>
            <w:tcW w:w="1550" w:type="dxa"/>
          </w:tcPr>
          <w:p w14:paraId="163F6FFE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-19.00 ± 39.00</w:t>
            </w:r>
          </w:p>
        </w:tc>
        <w:tc>
          <w:tcPr>
            <w:tcW w:w="1410" w:type="dxa"/>
          </w:tcPr>
          <w:p w14:paraId="1AB82331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-3.69 ± 37.20</w:t>
            </w:r>
          </w:p>
        </w:tc>
        <w:tc>
          <w:tcPr>
            <w:tcW w:w="1409" w:type="dxa"/>
          </w:tcPr>
          <w:p w14:paraId="252ABFF5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-4.52 ± 47.15</w:t>
            </w:r>
          </w:p>
        </w:tc>
        <w:tc>
          <w:tcPr>
            <w:tcW w:w="1410" w:type="dxa"/>
          </w:tcPr>
          <w:p w14:paraId="7412D379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-4.66 ± 47.18</w:t>
            </w:r>
          </w:p>
        </w:tc>
        <w:tc>
          <w:tcPr>
            <w:tcW w:w="1410" w:type="dxa"/>
          </w:tcPr>
          <w:p w14:paraId="1147AF03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-4.83 ± 46.96</w:t>
            </w:r>
          </w:p>
        </w:tc>
        <w:tc>
          <w:tcPr>
            <w:tcW w:w="1409" w:type="dxa"/>
          </w:tcPr>
          <w:p w14:paraId="0611C8B4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-4.84 ± 37.82</w:t>
            </w:r>
          </w:p>
        </w:tc>
        <w:tc>
          <w:tcPr>
            <w:tcW w:w="1410" w:type="dxa"/>
          </w:tcPr>
          <w:p w14:paraId="734D6739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-5.62 ± 38.73</w:t>
            </w:r>
          </w:p>
        </w:tc>
        <w:tc>
          <w:tcPr>
            <w:tcW w:w="1410" w:type="dxa"/>
          </w:tcPr>
          <w:p w14:paraId="7B7DDAA2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-5.84 ± 38.59</w:t>
            </w:r>
          </w:p>
        </w:tc>
      </w:tr>
      <w:tr w:rsidR="00BC5072" w:rsidRPr="00097D35" w14:paraId="0F8EE544" w14:textId="77777777" w:rsidTr="00D76C6A">
        <w:tc>
          <w:tcPr>
            <w:tcW w:w="1555" w:type="dxa"/>
          </w:tcPr>
          <w:p w14:paraId="0402F590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t-statistic</w:t>
            </w:r>
          </w:p>
        </w:tc>
        <w:tc>
          <w:tcPr>
            <w:tcW w:w="1550" w:type="dxa"/>
          </w:tcPr>
          <w:p w14:paraId="0093511C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-52.956</w:t>
            </w:r>
          </w:p>
        </w:tc>
        <w:tc>
          <w:tcPr>
            <w:tcW w:w="1410" w:type="dxa"/>
          </w:tcPr>
          <w:p w14:paraId="2E9B50B3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-0.960</w:t>
            </w:r>
          </w:p>
        </w:tc>
        <w:tc>
          <w:tcPr>
            <w:tcW w:w="1409" w:type="dxa"/>
          </w:tcPr>
          <w:p w14:paraId="1773BF58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-6.155</w:t>
            </w:r>
          </w:p>
        </w:tc>
        <w:tc>
          <w:tcPr>
            <w:tcW w:w="1410" w:type="dxa"/>
          </w:tcPr>
          <w:p w14:paraId="4E80498E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-6.294</w:t>
            </w:r>
          </w:p>
        </w:tc>
        <w:tc>
          <w:tcPr>
            <w:tcW w:w="1410" w:type="dxa"/>
          </w:tcPr>
          <w:p w14:paraId="2A929FB8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-6.242</w:t>
            </w:r>
          </w:p>
        </w:tc>
        <w:tc>
          <w:tcPr>
            <w:tcW w:w="1409" w:type="dxa"/>
          </w:tcPr>
          <w:p w14:paraId="560630E1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-4.455</w:t>
            </w:r>
          </w:p>
        </w:tc>
        <w:tc>
          <w:tcPr>
            <w:tcW w:w="1410" w:type="dxa"/>
          </w:tcPr>
          <w:p w14:paraId="468E1C2D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-5.456</w:t>
            </w:r>
          </w:p>
        </w:tc>
        <w:tc>
          <w:tcPr>
            <w:tcW w:w="1410" w:type="dxa"/>
          </w:tcPr>
          <w:p w14:paraId="54DBCE87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-5.346</w:t>
            </w:r>
          </w:p>
        </w:tc>
      </w:tr>
      <w:tr w:rsidR="00BC5072" w:rsidRPr="00097D35" w14:paraId="6F5B1412" w14:textId="77777777" w:rsidTr="00D76C6A">
        <w:trPr>
          <w:trHeight w:val="63"/>
        </w:trPr>
        <w:tc>
          <w:tcPr>
            <w:tcW w:w="1555" w:type="dxa"/>
          </w:tcPr>
          <w:p w14:paraId="77FE1B78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0" w:type="dxa"/>
          </w:tcPr>
          <w:p w14:paraId="6A70CC84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0.00e+00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10" w:type="dxa"/>
          </w:tcPr>
          <w:p w14:paraId="0462E2D0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3.37e-01</w:t>
            </w:r>
          </w:p>
        </w:tc>
        <w:tc>
          <w:tcPr>
            <w:tcW w:w="1409" w:type="dxa"/>
          </w:tcPr>
          <w:p w14:paraId="60A3E687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7.75e-10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10" w:type="dxa"/>
          </w:tcPr>
          <w:p w14:paraId="0ACFC640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3.22e-10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10" w:type="dxa"/>
          </w:tcPr>
          <w:p w14:paraId="5FF54CBB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4.48e-10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09" w:type="dxa"/>
          </w:tcPr>
          <w:p w14:paraId="608D86B6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8.47e-06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10" w:type="dxa"/>
          </w:tcPr>
          <w:p w14:paraId="3075D9B9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4.97e-08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10" w:type="dxa"/>
          </w:tcPr>
          <w:p w14:paraId="342E4D5F" w14:textId="77777777" w:rsidR="00BC5072" w:rsidRPr="00097D35" w:rsidRDefault="00BC5072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9.17e-08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**</w:t>
            </w:r>
          </w:p>
        </w:tc>
      </w:tr>
    </w:tbl>
    <w:p w14:paraId="141DD939" w14:textId="77777777" w:rsidR="00BC5072" w:rsidRPr="00097D35" w:rsidRDefault="00BC5072" w:rsidP="00BC5072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</w:p>
    <w:p w14:paraId="60CE42B2" w14:textId="28427158" w:rsidR="00FD1640" w:rsidRPr="00BC5072" w:rsidRDefault="00BC5072" w:rsidP="00BC5072">
      <w:pPr>
        <w:spacing w:after="0" w:line="240" w:lineRule="auto"/>
        <w:ind w:left="0" w:right="0" w:firstLine="0"/>
        <w:jc w:val="left"/>
        <w:rPr>
          <w:iCs/>
        </w:rPr>
      </w:pPr>
      <w:r w:rsidRPr="00097D35">
        <w:rPr>
          <w:rFonts w:ascii="Arial" w:eastAsia="Arial" w:hAnsi="Arial" w:cs="Arial"/>
          <w:sz w:val="20"/>
          <w:szCs w:val="20"/>
        </w:rPr>
        <w:t xml:space="preserve">Abbreviations: GDM, gradient boost machine; SD, standard deviation; IQR, interquartile range Comparison of residuals for different models using t-test. Significance levels are indicated by </w:t>
      </w:r>
      <w:r w:rsidRPr="00097D35">
        <w:rPr>
          <w:rFonts w:ascii="Cambria Math" w:eastAsia="Cambria Math" w:hAnsi="Cambria Math" w:cs="Cambria Math"/>
          <w:sz w:val="20"/>
          <w:szCs w:val="20"/>
        </w:rPr>
        <w:t>∗</w:t>
      </w:r>
      <w:r w:rsidRPr="00097D35">
        <w:rPr>
          <w:rFonts w:ascii="Arial" w:eastAsia="Arial" w:hAnsi="Arial" w:cs="Arial"/>
          <w:sz w:val="20"/>
          <w:szCs w:val="20"/>
        </w:rPr>
        <w:t>(</w:t>
      </w:r>
      <w:r w:rsidRPr="00097D35">
        <w:rPr>
          <w:rFonts w:ascii="Arial" w:eastAsia="Arial" w:hAnsi="Arial" w:cs="Arial"/>
          <w:i/>
          <w:sz w:val="20"/>
          <w:szCs w:val="20"/>
        </w:rPr>
        <w:t xml:space="preserve">p &lt; </w:t>
      </w:r>
      <w:r w:rsidRPr="00097D35">
        <w:rPr>
          <w:rFonts w:ascii="Arial" w:eastAsia="Arial" w:hAnsi="Arial" w:cs="Arial"/>
          <w:sz w:val="20"/>
          <w:szCs w:val="20"/>
        </w:rPr>
        <w:t>0</w:t>
      </w:r>
      <w:r w:rsidRPr="00097D35">
        <w:rPr>
          <w:rFonts w:ascii="Arial" w:eastAsia="Arial" w:hAnsi="Arial" w:cs="Arial"/>
          <w:i/>
          <w:sz w:val="20"/>
          <w:szCs w:val="20"/>
        </w:rPr>
        <w:t>.</w:t>
      </w:r>
      <w:r w:rsidRPr="00097D35">
        <w:rPr>
          <w:rFonts w:ascii="Arial" w:eastAsia="Arial" w:hAnsi="Arial" w:cs="Arial"/>
          <w:sz w:val="20"/>
          <w:szCs w:val="20"/>
        </w:rPr>
        <w:t xml:space="preserve">05) and </w:t>
      </w:r>
      <w:r w:rsidRPr="00097D35">
        <w:rPr>
          <w:rFonts w:ascii="Cambria Math" w:eastAsia="Cambria Math" w:hAnsi="Cambria Math" w:cs="Cambria Math"/>
          <w:sz w:val="20"/>
          <w:szCs w:val="20"/>
        </w:rPr>
        <w:t>∗∗</w:t>
      </w:r>
      <w:r w:rsidRPr="00097D35">
        <w:rPr>
          <w:rFonts w:ascii="Arial" w:eastAsia="Arial" w:hAnsi="Arial" w:cs="Arial"/>
          <w:sz w:val="20"/>
          <w:szCs w:val="20"/>
        </w:rPr>
        <w:t xml:space="preserve"> (</w:t>
      </w:r>
      <w:r w:rsidRPr="00097D35">
        <w:rPr>
          <w:rFonts w:ascii="Arial" w:eastAsia="Arial" w:hAnsi="Arial" w:cs="Arial"/>
          <w:i/>
          <w:sz w:val="20"/>
          <w:szCs w:val="20"/>
        </w:rPr>
        <w:t xml:space="preserve">p </w:t>
      </w:r>
      <w:r>
        <w:rPr>
          <w:rFonts w:ascii="Arial" w:eastAsia="Arial" w:hAnsi="Arial" w:cs="Arial"/>
          <w:i/>
          <w:sz w:val="20"/>
          <w:szCs w:val="20"/>
        </w:rPr>
        <w:t xml:space="preserve">&lt; </w:t>
      </w:r>
      <w:r w:rsidRPr="00BC5072">
        <w:rPr>
          <w:rFonts w:ascii="Arial" w:eastAsia="Arial" w:hAnsi="Arial" w:cs="Arial"/>
          <w:iCs/>
          <w:sz w:val="20"/>
          <w:szCs w:val="20"/>
        </w:rPr>
        <w:t>0.01).</w:t>
      </w:r>
    </w:p>
    <w:sectPr w:rsidR="00FD1640" w:rsidRPr="00BC5072" w:rsidSect="00097D35">
      <w:footerReference w:type="even" r:id="rId4"/>
      <w:foot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153C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6785DF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3E3F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FDD72F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35"/>
    <w:rsid w:val="00097D35"/>
    <w:rsid w:val="0021707E"/>
    <w:rsid w:val="00890DAB"/>
    <w:rsid w:val="00BC5072"/>
    <w:rsid w:val="00E22F38"/>
    <w:rsid w:val="00E31925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02E9"/>
  <w15:chartTrackingRefBased/>
  <w15:docId w15:val="{442E0629-BE46-6549-8C5F-431F680B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35"/>
    <w:pPr>
      <w:spacing w:after="3"/>
      <w:ind w:left="10" w:right="1009" w:hanging="10"/>
      <w:jc w:val="both"/>
    </w:pPr>
    <w:rPr>
      <w:rFonts w:ascii="Cambria" w:eastAsia="Cambria" w:hAnsi="Cambria" w:cs="Cambria"/>
      <w:color w:val="000000" w:themeColor="text1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D35"/>
    <w:pPr>
      <w:keepNext/>
      <w:keepLines/>
      <w:spacing w:before="360" w:after="80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35"/>
    <w:pPr>
      <w:keepNext/>
      <w:keepLines/>
      <w:spacing w:before="160" w:after="80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35"/>
    <w:pPr>
      <w:keepNext/>
      <w:keepLines/>
      <w:spacing w:before="160" w:after="80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35"/>
    <w:pPr>
      <w:keepNext/>
      <w:keepLines/>
      <w:spacing w:before="80" w:after="40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35"/>
    <w:pPr>
      <w:keepNext/>
      <w:keepLines/>
      <w:spacing w:before="80" w:after="40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35"/>
    <w:pPr>
      <w:keepNext/>
      <w:keepLines/>
      <w:spacing w:before="40" w:after="0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35"/>
    <w:pPr>
      <w:keepNext/>
      <w:keepLines/>
      <w:spacing w:before="40" w:after="0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35"/>
    <w:pPr>
      <w:keepNext/>
      <w:keepLines/>
      <w:spacing w:after="0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35"/>
    <w:pPr>
      <w:keepNext/>
      <w:keepLines/>
      <w:spacing w:after="0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35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35"/>
    <w:pPr>
      <w:numPr>
        <w:ilvl w:val="1"/>
      </w:numPr>
      <w:spacing w:after="160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35"/>
    <w:pPr>
      <w:spacing w:before="160" w:after="160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35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7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Andrew</dc:creator>
  <cp:keywords/>
  <dc:description/>
  <cp:lastModifiedBy>Kwong, Andrew</cp:lastModifiedBy>
  <cp:revision>2</cp:revision>
  <dcterms:created xsi:type="dcterms:W3CDTF">2025-02-12T19:57:00Z</dcterms:created>
  <dcterms:modified xsi:type="dcterms:W3CDTF">2025-02-12T19:57:00Z</dcterms:modified>
</cp:coreProperties>
</file>