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340"/>
        <w:tblGridChange w:id="0">
          <w:tblGrid>
            <w:gridCol w:w="934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a6b5e0" w:space="0" w:sz="8" w:val="single"/>
              <w:left w:color="a6b5e0" w:space="0" w:sz="8" w:val="single"/>
              <w:bottom w:color="000000" w:space="0" w:sz="0" w:val="nil"/>
              <w:right w:color="a6b5e0" w:space="0" w:sz="8" w:val="single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15671"/>
                <w:sz w:val="8"/>
                <w:szCs w:val="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</w:rPr>
              <w:drawing>
                <wp:inline distB="0" distT="0" distL="0" distR="0">
                  <wp:extent cx="5886450" cy="10477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104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a6b5e0" w:space="0" w:sz="8" w:val="single"/>
              <w:bottom w:color="000000" w:space="0" w:sz="0" w:val="nil"/>
              <w:right w:color="a6b5e0" w:space="0" w:sz="8" w:val="single"/>
            </w:tcBorders>
            <w:vAlign w:val="bottom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320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4905"/>
              <w:gridCol w:w="4190"/>
              <w:gridCol w:w="225"/>
              <w:tblGridChange w:id="0">
                <w:tblGrid>
                  <w:gridCol w:w="4905"/>
                  <w:gridCol w:w="4190"/>
                  <w:gridCol w:w="225"/>
                </w:tblGrid>
              </w:tblGridChange>
            </w:tblGrid>
            <w:tr>
              <w:trPr>
                <w:cantSplit w:val="0"/>
                <w:trHeight w:val="720" w:hRule="atLeast"/>
                <w:tblHeader w:val="0"/>
              </w:trPr>
              <w:tc>
                <w:tcPr>
                  <w:gridSpan w:val="3"/>
                  <w:tcBorders>
                    <w:top w:color="000000" w:space="0" w:sz="0" w:val="nil"/>
                    <w:left w:color="000000" w:space="0" w:sz="0" w:val="nil"/>
                    <w:bottom w:color="071d49" w:space="0" w:sz="12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5">
                  <w:pPr>
                    <w:spacing w:after="0" w:line="240" w:lineRule="auto"/>
                    <w:jc w:val="center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color w:val="002060"/>
                      <w:sz w:val="32"/>
                      <w:szCs w:val="32"/>
                      <w:rtl w:val="0"/>
                    </w:rPr>
                    <w:t xml:space="preserve">Takeda Announced Positive Results from the Ph3 KEPLER Trial of Entyvio in Pediatric Patients with Moderately to Severely Active UC</w:t>
                  </w:r>
                  <w:r w:rsidDel="00000000" w:rsidR="00000000" w:rsidRPr="00000000">
                    <w:rPr>
                      <w:rFonts w:ascii="Aptos" w:cs="Aptos" w:eastAsia="Aptos" w:hAnsi="Aptos"/>
                      <w:color w:val="002060"/>
                      <w:sz w:val="32"/>
                      <w:szCs w:val="3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71d49" w:space="0" w:sz="12" w:val="single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08">
                  <w:pPr>
                    <w:spacing w:after="0" w:line="240" w:lineRule="auto"/>
                    <w:ind w:left="720" w:hanging="720"/>
                    <w:jc w:val="center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Company: </w:t>
                  </w:r>
                  <w:r w:rsidDel="00000000" w:rsidR="00000000" w:rsidRPr="00000000">
                    <w:rPr>
                      <w:rFonts w:ascii="Aptos" w:cs="Aptos" w:eastAsia="Aptos" w:hAnsi="Aptos"/>
                      <w:sz w:val="16"/>
                      <w:szCs w:val="16"/>
                      <w:rtl w:val="0"/>
                    </w:rPr>
                    <w:t xml:space="preserve">Takeda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9">
                  <w:pPr>
                    <w:spacing w:after="0" w:line="240" w:lineRule="auto"/>
                    <w:ind w:left="720" w:hanging="720"/>
                    <w:jc w:val="center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Drug:</w:t>
                  </w:r>
                  <w:r w:rsidDel="00000000" w:rsidR="00000000" w:rsidRPr="00000000">
                    <w:rPr>
                      <w:rFonts w:ascii="Aptos" w:cs="Aptos" w:eastAsia="Aptos" w:hAnsi="Aptos"/>
                      <w:sz w:val="16"/>
                      <w:szCs w:val="16"/>
                      <w:rtl w:val="0"/>
                    </w:rPr>
                    <w:t xml:space="preserve"> Entyvio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71d49" w:space="0" w:sz="12" w:val="single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0A">
                  <w:pPr>
                    <w:spacing w:after="0" w:line="240" w:lineRule="auto"/>
                    <w:ind w:left="720" w:hanging="720"/>
                    <w:jc w:val="center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Date:</w:t>
                  </w:r>
                  <w:r w:rsidDel="00000000" w:rsidR="00000000" w:rsidRPr="00000000">
                    <w:rPr>
                      <w:rFonts w:ascii="Aptos" w:cs="Aptos" w:eastAsia="Aptos" w:hAnsi="Aptos"/>
                      <w:sz w:val="16"/>
                      <w:szCs w:val="16"/>
                      <w:rtl w:val="0"/>
                    </w:rPr>
                    <w:t xml:space="preserve"> February 19, 2026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spacing w:after="0" w:line="240" w:lineRule="auto"/>
                    <w:ind w:left="720" w:hanging="720"/>
                    <w:jc w:val="center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Source(s): </w:t>
                  </w:r>
                  <w:hyperlink r:id="rId8">
                    <w:r w:rsidDel="00000000" w:rsidR="00000000" w:rsidRPr="00000000">
                      <w:rPr>
                        <w:rFonts w:ascii="Aptos" w:cs="Aptos" w:eastAsia="Aptos" w:hAnsi="Aptos"/>
                        <w:color w:val="0563c1"/>
                        <w:sz w:val="16"/>
                        <w:szCs w:val="16"/>
                        <w:u w:val="single"/>
                        <w:rtl w:val="0"/>
                      </w:rPr>
                      <w:t xml:space="preserve">press release</w:t>
                    </w:r>
                  </w:hyperlink>
                  <w:r w:rsidDel="00000000" w:rsidR="00000000" w:rsidRPr="00000000">
                    <w:rPr>
                      <w:rFonts w:ascii="Aptos" w:cs="Aptos" w:eastAsia="Aptos" w:hAnsi="Aptos"/>
                      <w:sz w:val="16"/>
                      <w:szCs w:val="16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0" w:hRule="atLeast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71d49" w:space="0" w:sz="12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D">
                  <w:pPr>
                    <w:spacing w:after="0" w:line="240" w:lineRule="auto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color w:val="242424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spacing w:after="0" w:line="240" w:lineRule="auto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color w:val="071d49"/>
                      <w:sz w:val="28"/>
                      <w:szCs w:val="28"/>
                      <w:rtl w:val="0"/>
                    </w:rPr>
                    <w:t xml:space="preserve">What happened: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4242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Takeda announced positive results from the pivotal </w:t>
                  </w:r>
                  <w:hyperlink r:id="rId9">
                    <w:r w:rsidDel="00000000" w:rsidR="00000000" w:rsidRPr="00000000"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563c1"/>
                        <w:sz w:val="22"/>
                        <w:szCs w:val="22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Ph3</w:t>
                    </w:r>
                  </w:hyperlink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4242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 KEPLER trial of Entyvio (vedolizumab, α4β7 integrin inhibitor, </w:t>
                  </w: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24242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IV/IV</w:t>
                  </w: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4242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) in </w:t>
                  </w: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24242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pediatric patients aged 2 years and older with moderately to severely active ulcerative colitis</w:t>
                  </w: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4242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4242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Results presented at the ECCO 2026 (</w:t>
                  </w:r>
                  <w:hyperlink r:id="rId10">
                    <w:r w:rsidDel="00000000" w:rsidR="00000000" w:rsidRPr="00000000"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563c1"/>
                        <w:sz w:val="22"/>
                        <w:szCs w:val="22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abstract link</w:t>
                    </w:r>
                  </w:hyperlink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4242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spacing w:after="0" w:line="240" w:lineRule="auto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color w:val="242424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spacing w:after="0" w:line="240" w:lineRule="auto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color w:val="071d49"/>
                      <w:sz w:val="28"/>
                      <w:szCs w:val="28"/>
                      <w:rtl w:val="0"/>
                    </w:rPr>
                    <w:t xml:space="preserve">Impact (CI PoV): </w:t>
                  </w: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color w:val="ed7d31"/>
                      <w:sz w:val="28"/>
                      <w:szCs w:val="28"/>
                      <w:rtl w:val="0"/>
                    </w:rPr>
                    <w:t xml:space="preserve">MEDIUM</w:t>
                  </w:r>
                  <w:r w:rsidDel="00000000" w:rsidR="00000000" w:rsidRPr="00000000">
                    <w:rPr>
                      <w:rFonts w:ascii="Aptos" w:cs="Aptos" w:eastAsia="Aptos" w:hAnsi="Aptos"/>
                      <w:color w:val="ed7d31"/>
                      <w:sz w:val="28"/>
                      <w:szCs w:val="28"/>
                      <w:rtl w:val="0"/>
                    </w:rPr>
                    <w:t xml:space="preserve"> 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4242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4242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The positive data strengthen Takeda’s position in the IBD market and bolster its strategy to expand Entyvio’s indications. With this approval, Takeda addresses a segment where therapeutic options remain limited.  </w:t>
                    <w:br w:type="textWrapping"/>
                  </w:r>
                </w:p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42424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42424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Takeda is moving toward regulatory filings in the US, EU, and other markets for Entyvio IV in pediatric patients aged 2–17 years with moderately to severely UC </w:t>
                  </w:r>
                </w:p>
                <w:p w:rsidR="00000000" w:rsidDel="00000000" w:rsidP="00000000" w:rsidRDefault="00000000" w:rsidRPr="00000000" w14:paraId="00000015">
                  <w:pPr>
                    <w:spacing w:after="0" w:line="240" w:lineRule="auto"/>
                    <w:ind w:left="720" w:firstLine="0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spacing w:after="0" w:line="240" w:lineRule="auto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color w:val="071d49"/>
                      <w:sz w:val="28"/>
                      <w:szCs w:val="28"/>
                      <w:rtl w:val="0"/>
                    </w:rPr>
                    <w:t xml:space="preserve">Why it matters </w:t>
                  </w:r>
                  <w:r w:rsidDel="00000000" w:rsidR="00000000" w:rsidRPr="00000000">
                    <w:rPr>
                      <w:rFonts w:ascii="Aptos" w:cs="Aptos" w:eastAsia="Aptos" w:hAnsi="Aptos"/>
                      <w:i w:val="1"/>
                      <w:iCs w:val="1"/>
                      <w:color w:val="0070c0"/>
                      <w:sz w:val="28"/>
                      <w:szCs w:val="28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widowControl w:val="1"/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The KEPLER trial results represent a significant clinical milestone for Takeda, demonstrating that Entyvio can effectively induce and maintain clinical remission in pediatric patients as young as two years old. These results address a critical treatment gap for children and adolescents with moderate to severe UC  </w:t>
                  </w:r>
                </w:p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widowControl w:val="1"/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Entyvio is </w:t>
                  </w:r>
                  <w:hyperlink r:id="rId11">
                    <w:r w:rsidDel="00000000" w:rsidR="00000000" w:rsidRPr="00000000"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563c1"/>
                        <w:sz w:val="22"/>
                        <w:szCs w:val="22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currently</w:t>
                    </w:r>
                  </w:hyperlink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 positioned as the #1 prescribed brand in IBD in the US; due to its tolerable safety profile, Entyvio could be preferred over anti-TNFs currently approved in the pediatric population </w:t>
                  </w:r>
                </w:p>
                <w:p w:rsidR="00000000" w:rsidDel="00000000" w:rsidP="00000000" w:rsidRDefault="00000000" w:rsidRPr="00000000" w14:paraId="00000019">
                  <w:pPr>
                    <w:spacing w:after="0" w:line="240" w:lineRule="auto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color w:val="242424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spacing w:after="0" w:line="240" w:lineRule="auto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color w:val="071d49"/>
                      <w:sz w:val="28"/>
                      <w:szCs w:val="28"/>
                      <w:rtl w:val="0"/>
                    </w:rPr>
                    <w:t xml:space="preserve">Tell me more:</w:t>
                  </w:r>
                  <w:r w:rsidDel="00000000" w:rsidR="00000000" w:rsidRPr="00000000">
                    <w:rPr>
                      <w:rFonts w:ascii="Aptos" w:cs="Aptos" w:eastAsia="Aptos" w:hAnsi="Aptos"/>
                      <w:color w:val="071d49"/>
                      <w:sz w:val="28"/>
                      <w:szCs w:val="28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widowControl w:val="1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The KEPLER study enrolled 120 pediatric patients aged 2 to 17 years with moderately to severely active UC, who had shown inadequate response to conventional treatments, including steroids and immunomodulators, and/or TNF antagonists </w:t>
                  </w:r>
                </w:p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widowControl w:val="1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Patients initially received open-label IV vedolizumab during a 14-week induction phase. At week 14, 93/ 120 patients achieved a clinical response, who were randomized into maintenance therapy groups </w:t>
                  </w:r>
                </w:p>
                <w:p w:rsidR="00000000" w:rsidDel="00000000" w:rsidP="00000000" w:rsidRDefault="00000000" w:rsidRPr="00000000" w14:paraId="0000001D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1800" w:hanging="360"/>
                    <w:rPr>
                      <w:rFonts w:ascii="Aptos" w:cs="Aptos" w:eastAsia="Aptos" w:hAnsi="Aptos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color w:val="000000"/>
                      <w:sz w:val="22"/>
                      <w:szCs w:val="22"/>
                      <w:rtl w:val="0"/>
                    </w:rPr>
                    <w:t xml:space="preserve">47 patients were assigned to a low-dose vedolizumab regimen, and 46 patients were assigned to a high-dose vedolizumab regimen 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720" w:hanging="360"/>
                    <w:rPr>
                      <w:rFonts w:ascii="Aptos" w:cs="Aptos" w:eastAsia="Aptos" w:hAnsi="Aptos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color w:val="000000"/>
                      <w:sz w:val="22"/>
                      <w:szCs w:val="22"/>
                      <w:rtl w:val="0"/>
                    </w:rPr>
                    <w:t xml:space="preserve">Among the 93 patients randomized to maintenance therapy, 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numPr>
                      <w:ilvl w:val="0"/>
                      <w:numId w:val="2"/>
                    </w:numPr>
                    <w:spacing w:after="0" w:line="240" w:lineRule="auto"/>
                    <w:ind w:left="1800" w:hanging="360"/>
                    <w:rPr>
                      <w:rFonts w:ascii="Aptos" w:cs="Aptos" w:eastAsia="Aptos" w:hAnsi="Aptos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color w:val="000000"/>
                      <w:sz w:val="22"/>
                      <w:szCs w:val="22"/>
                      <w:rtl w:val="0"/>
                    </w:rPr>
                    <w:t xml:space="preserve">47.3% achieved the primary endpoint of clinical remission at week 54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numPr>
                      <w:ilvl w:val="0"/>
                      <w:numId w:val="3"/>
                    </w:numPr>
                    <w:spacing w:after="0" w:line="240" w:lineRule="auto"/>
                    <w:ind w:left="1800" w:hanging="360"/>
                    <w:rPr>
                      <w:rFonts w:ascii="Aptos" w:cs="Aptos" w:eastAsia="Aptos" w:hAnsi="Aptos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color w:val="000000"/>
                      <w:sz w:val="22"/>
                      <w:szCs w:val="22"/>
                      <w:rtl w:val="0"/>
                    </w:rPr>
                    <w:t xml:space="preserve">34.7% of patients reached clinical remission at week 14; 29% of participants achieved sustained clinical remission at both week 14 and week 54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numPr>
                      <w:ilvl w:val="0"/>
                      <w:numId w:val="3"/>
                    </w:numPr>
                    <w:spacing w:after="0" w:line="240" w:lineRule="auto"/>
                    <w:ind w:left="720" w:hanging="360"/>
                    <w:rPr>
                      <w:rFonts w:ascii="Aptos" w:cs="Aptos" w:eastAsia="Aptos" w:hAnsi="Aptos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color w:val="000000"/>
                      <w:sz w:val="22"/>
                      <w:szCs w:val="22"/>
                      <w:rtl w:val="0"/>
                    </w:rPr>
                    <w:t xml:space="preserve">No new safety signals identified. The most common treatment-emergent adverse events (occurring in ≥10% of patients) were upper respiratory infection (30%), worsening of UC (17.5%), and pyrexia (12.5%)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spacing w:after="0" w:line="240" w:lineRule="auto"/>
                    <w:ind w:left="720" w:firstLine="0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color w:val="000000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spacing w:after="0" w:line="240" w:lineRule="auto"/>
                    <w:ind w:left="360" w:firstLine="0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color w:val="000000"/>
                      <w:sz w:val="22"/>
                      <w:szCs w:val="22"/>
                      <w:rtl w:val="0"/>
                    </w:rPr>
                    <w:t xml:space="preserve">Image from the data presented at ECCO 2026</w:t>
                  </w:r>
                  <w:r w:rsidDel="00000000" w:rsidR="00000000" w:rsidRPr="00000000">
                    <w:rPr>
                      <w:rFonts w:ascii="Aptos" w:cs="Aptos" w:eastAsia="Aptos" w:hAnsi="Aptos"/>
                      <w:color w:val="000000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spacing w:after="0" w:line="240" w:lineRule="auto"/>
                    <w:ind w:left="360" w:firstLine="0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</w:rPr>
                    <w:drawing>
                      <wp:inline distB="0" distT="0" distL="0" distR="0">
                        <wp:extent cx="5505450" cy="3162300"/>
                        <wp:effectExtent b="0" l="0" r="0" t="0"/>
                        <wp:docPr id="1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05450" cy="3162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Fonts w:ascii="Aptos" w:cs="Aptos" w:eastAsia="Aptos" w:hAnsi="Aptos"/>
                      <w:color w:val="000000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2C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a6b5e0" w:space="0" w:sz="8" w:val="single"/>
              <w:bottom w:color="a6b5e0" w:space="0" w:sz="8" w:val="single"/>
              <w:right w:color="a6b5e0" w:space="0" w:sz="8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76471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sz w:val="20"/>
        <w:szCs w:val="20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sz w:val="20"/>
        <w:szCs w:val="20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nam12.safelinks.protection.outlook.com/?url=https%3A%2F%2Fassets-dam.takeda.com%2Fimage%2Fupload%2Fv1769652878%2FGlobal%2FInvestor%2FFinancial-Results%2FFY2025%2FQ3%2Fqr2025_q3_p01_en.pdf&amp;data=05%7C02%7Cjordan.lord%40abbvie.com%7C9074349adc6d419c437908de70953b3e%7C6f4d03de95514ba1a25bdce6f5ab7ace%7C0%7C0%7C639071983585045666%7CUnknown%7CTWFpbGZsb3d8eyJFbXB0eU1hcGkiOnRydWUsIlYiOiIwLjAuMDAwMCIsIlAiOiJXaW4zMiIsIkFOIjoiTWFpbCIsIldUIjoyfQ%3D%3D%7C0%7C%7C%7C&amp;sdata=tUBXZJxiroQCweQpNbfPbCnSPbhVgI%2F%2F%2FrrkX4DS4QE%3D&amp;reserved=0" TargetMode="External"/><Relationship Id="rId10" Type="http://schemas.openxmlformats.org/officeDocument/2006/relationships/hyperlink" Target="https://nam12.safelinks.protection.outlook.com/?url=https%3A%2F%2Fcm.ecco-ibd.eu%2FcmPortal%2Fsearchable%2FEC26%2Fconfig%2Fnormal%23!abstractdetails%2F0001754410&amp;data=05%7C02%7Cjordan.lord%40abbvie.com%7C9074349adc6d419c437908de70953b3e%7C6f4d03de95514ba1a25bdce6f5ab7ace%7C0%7C0%7C639071983585012022%7CUnknown%7CTWFpbGZsb3d8eyJFbXB0eU1hcGkiOnRydWUsIlYiOiIwLjAuMDAwMCIsIlAiOiJXaW4zMiIsIkFOIjoiTWFpbCIsIldUIjoyfQ%3D%3D%7C0%7C%7C%7C&amp;sdata=T2o9Fu%2B2gH3LyLynC7fJ6dN242949eemQl0cwX%2Fdw4E%3D&amp;reserved=0" TargetMode="External"/><Relationship Id="rId12" Type="http://schemas.openxmlformats.org/officeDocument/2006/relationships/image" Target="media/image2.png"/><Relationship Id="rId9" Type="http://schemas.openxmlformats.org/officeDocument/2006/relationships/hyperlink" Target="https://nam12.safelinks.protection.outlook.com/?url=https%3A%2F%2Fclinicaltrials.gov%2Fstudy%2FNCT04779307&amp;data=05%7C02%7Cjordan.lord%40abbvie.com%7C9074349adc6d419c437908de70953b3e%7C6f4d03de95514ba1a25bdce6f5ab7ace%7C0%7C0%7C639071983584974176%7CUnknown%7CTWFpbGZsb3d8eyJFbXB0eU1hcGkiOnRydWUsIlYiOiIwLjAuMDAwMCIsIlAiOiJXaW4zMiIsIkFOIjoiTWFpbCIsIldUIjoyfQ%3D%3D%7C0%7C%7C%7C&amp;sdata=HW8pVAwUyQ9xO9I7cQh2bY3rHwQEoLKyBzWa0UJfxIg%3D&amp;reserved=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nam12.safelinks.protection.outlook.com/?url=https%3A%2F%2Fwww.takeda.com%2Fnewsroom%2Fnewsreleases%2F2026%2Fentyvio-phase-3-pediatric-data%2F&amp;data=05%7C02%7Cjordan.lord%40abbvie.com%7C9074349adc6d419c437908de70953b3e%7C6f4d03de95514ba1a25bdce6f5ab7ace%7C0%7C0%7C639071983584910628%7CUnknown%7CTWFpbGZsb3d8eyJFbXB0eU1hcGkiOnRydWUsIlYiOiIwLjAuMDAwMCIsIlAiOiJXaW4zMiIsIkFOIjoiTWFpbCIsIldUIjoyfQ%3D%3D%7C0%7C%7C%7C&amp;sdata=nWT%2F9gm%2Fjo9DmztBhEMiN2pZyo9OOUUDSmtGaN4s5zY%3D&amp;reserve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wTHx63elPj5tSkRPwUMQuz8MdQ==">CgMxLjA4AHIhMVpTWm5CSXI1VXBybERzd2o5UmVxYmp2TFBCTFNDZDFF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