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Layout w:type="fixed"/>
        <w:tblLook w:val="04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8a7bd" w:space="0" w:sz="8" w:val="single"/>
              <w:left w:color="98a7bd" w:space="0" w:sz="8" w:val="single"/>
              <w:bottom w:color="98a7bd" w:space="0" w:sz="8" w:val="single"/>
              <w:right w:color="98a7bd" w:space="0" w:sz="8" w:val="single"/>
            </w:tcBorders>
            <w:tcMar>
              <w:top w:w="0.0" w:type="dxa"/>
              <w:left w:w="72.0" w:type="dxa"/>
              <w:bottom w:w="0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5905500" cy="104775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  <w:rtl w:val="0"/>
              </w:rPr>
              <w:t xml:space="preserve">FDA approved Sotyktu for active PsA</w:t>
              <w:br w:type="textWrapping"/>
            </w:r>
          </w:p>
          <w:tbl>
            <w:tblPr>
              <w:tblStyle w:val="Table2"/>
              <w:tblW w:w="9270.0" w:type="dxa"/>
              <w:jc w:val="center"/>
              <w:tblLayout w:type="fixed"/>
              <w:tblLook w:val="0400"/>
            </w:tblPr>
            <w:tblGrid>
              <w:gridCol w:w="4485"/>
              <w:gridCol w:w="4785"/>
              <w:tblGridChange w:id="0">
                <w:tblGrid>
                  <w:gridCol w:w="4485"/>
                  <w:gridCol w:w="4785"/>
                </w:tblGrid>
              </w:tblGridChange>
            </w:tblGrid>
            <w:tr>
              <w:trPr>
                <w:cantSplit w:val="0"/>
                <w:trHeight w:val="933" w:hRule="atLeast"/>
                <w:tblHeader w:val="0"/>
              </w:trPr>
              <w:tc>
                <w:tcPr>
                  <w:tcBorders>
                    <w:top w:color="0e2841" w:space="0" w:sz="12" w:val="single"/>
                    <w:left w:color="000000" w:space="0" w:sz="0" w:val="nil"/>
                    <w:bottom w:color="0e2841" w:space="0" w:sz="12" w:val="single"/>
                    <w:right w:color="000000" w:space="0" w:sz="0" w:val="nil"/>
                  </w:tcBorders>
                  <w:tcMar>
                    <w:top w:w="0.0" w:type="dxa"/>
                    <w:left w:w="105.0" w:type="dxa"/>
                    <w:bottom w:w="0.0" w:type="dxa"/>
                    <w:right w:w="105.0" w:type="dxa"/>
                  </w:tcMar>
                  <w:vAlign w:val="center"/>
                </w:tcPr>
                <w:p w:rsidR="00000000" w:rsidDel="00000000" w:rsidP="00000000" w:rsidRDefault="00000000" w:rsidRPr="00000000" w14:paraId="0000000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Company: </w:t>
                  </w:r>
                  <w:r w:rsidDel="00000000" w:rsidR="00000000" w:rsidRPr="00000000">
                    <w:rPr>
                      <w:rtl w:val="0"/>
                    </w:rPr>
                    <w:t xml:space="preserve">BMS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5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Drug: </w:t>
                  </w:r>
                  <w:r w:rsidDel="00000000" w:rsidR="00000000" w:rsidRPr="00000000">
                    <w:rPr>
                      <w:rtl w:val="0"/>
                    </w:rPr>
                    <w:t xml:space="preserve">Sotyktu (deucravacitinib, oral TYK2 inhibitor)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e2841" w:space="0" w:sz="12" w:val="single"/>
                    <w:left w:color="000000" w:space="0" w:sz="0" w:val="nil"/>
                    <w:bottom w:color="0e2841" w:space="0" w:sz="12" w:val="single"/>
                    <w:right w:color="000000" w:space="0" w:sz="0" w:val="nil"/>
                  </w:tcBorders>
                  <w:tcMar>
                    <w:top w:w="0.0" w:type="dxa"/>
                    <w:left w:w="105.0" w:type="dxa"/>
                    <w:bottom w:w="0.0" w:type="dxa"/>
                    <w:right w:w="105.0" w:type="dxa"/>
                  </w:tcMar>
                  <w:vAlign w:val="center"/>
                </w:tcPr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Date:</w:t>
                  </w:r>
                  <w:r w:rsidDel="00000000" w:rsidR="00000000" w:rsidRPr="00000000">
                    <w:rPr>
                      <w:rtl w:val="0"/>
                    </w:rPr>
                    <w:t xml:space="preserve"> March 6</w:t>
                  </w:r>
                  <w:r w:rsidDel="00000000" w:rsidR="00000000" w:rsidRPr="00000000">
                    <w:rPr>
                      <w:vertAlign w:val="superscript"/>
                      <w:rtl w:val="0"/>
                    </w:rPr>
                    <w:t xml:space="preserve">th</w:t>
                  </w:r>
                  <w:r w:rsidDel="00000000" w:rsidR="00000000" w:rsidRPr="00000000">
                    <w:rPr>
                      <w:rtl w:val="0"/>
                    </w:rPr>
                    <w:t xml:space="preserve">, 2026</w:t>
                  </w:r>
                </w:p>
                <w:p w:rsidR="00000000" w:rsidDel="00000000" w:rsidP="00000000" w:rsidRDefault="00000000" w:rsidRPr="00000000" w14:paraId="00000007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Source(s):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hyperlink r:id="rId8">
                    <w:r w:rsidDel="00000000" w:rsidR="00000000" w:rsidRPr="00000000">
                      <w:rPr>
                        <w:color w:val="467886"/>
                        <w:u w:val="single"/>
                        <w:rtl w:val="0"/>
                      </w:rPr>
                      <w:t xml:space="preserve">Press release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, </w:t>
                  </w:r>
                  <w:hyperlink r:id="rId9">
                    <w:r w:rsidDel="00000000" w:rsidR="00000000" w:rsidRPr="00000000">
                      <w:rPr>
                        <w:color w:val="467886"/>
                        <w:u w:val="single"/>
                        <w:rtl w:val="0"/>
                      </w:rPr>
                      <w:t xml:space="preserve">FDA label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  <w:rtl w:val="0"/>
              </w:rPr>
              <w:t xml:space="preserve">What happened:</w:t>
              <w:br w:type="textWrapping"/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heading=h.zelqrpilbjri" w:id="0"/>
            <w:bookmarkEnd w:id="0"/>
            <w:r w:rsidDel="00000000" w:rsidR="00000000" w:rsidRPr="00000000">
              <w:rPr>
                <w:rtl w:val="0"/>
              </w:rPr>
              <w:t xml:space="preserve">On its March 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PDUFA date, the FDA </w:t>
            </w:r>
            <w:hyperlink r:id="rId1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approved</w:t>
              </w:r>
            </w:hyperlink>
            <w:r w:rsidDel="00000000" w:rsidR="00000000" w:rsidRPr="00000000">
              <w:rPr>
                <w:rtl w:val="0"/>
              </w:rPr>
              <w:t xml:space="preserve"> Sotyktu (deucravacitinib, oral TYK2 inhibitor) for the treatment of adults with active psoriatic arthritis (PsA)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Approval is based on the positive results from the Phase 3 </w:t>
            </w:r>
            <w:hyperlink r:id="rId11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 PsA-1</w:t>
              </w:r>
            </w:hyperlink>
            <w:r w:rsidDel="00000000" w:rsidR="00000000" w:rsidRPr="00000000">
              <w:rPr>
                <w:rtl w:val="0"/>
              </w:rPr>
              <w:t xml:space="preserve"> and </w:t>
            </w: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 PsA-2</w:t>
              </w:r>
            </w:hyperlink>
            <w:r w:rsidDel="00000000" w:rsidR="00000000" w:rsidRPr="00000000">
              <w:rPr>
                <w:rtl w:val="0"/>
              </w:rPr>
              <w:t xml:space="preserve"> studies </w:t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Approved dosage: 6mg once daily in adults 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Consistent with the PsO label, Sotyktu is associated with the following warnings and precautions: hypersensitivity reactions, infections, tuberculosis, malignancy including lymphomas, rhabdomyolysis and elevated CPK, laboratory abnormalities, immunizations, and potential risks related to JAK inhibition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heading=h.t99bbahyzs1q" w:id="1"/>
            <w:bookmarkEnd w:id="1"/>
            <w:r w:rsidDel="00000000" w:rsidR="00000000" w:rsidRPr="00000000">
              <w:rPr>
                <w:rtl w:val="0"/>
              </w:rPr>
              <w:t xml:space="preserve">The FDA </w:t>
            </w:r>
            <w:hyperlink r:id="rId1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label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1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HCP</w:t>
              </w:r>
            </w:hyperlink>
            <w:r w:rsidDel="00000000" w:rsidR="00000000" w:rsidRPr="00000000">
              <w:rPr>
                <w:rtl w:val="0"/>
              </w:rPr>
              <w:t xml:space="preserve"> website have been updated; the </w:t>
            </w:r>
            <w:hyperlink r:id="rId1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patient</w:t>
              </w:r>
            </w:hyperlink>
            <w:r w:rsidDel="00000000" w:rsidR="00000000" w:rsidRPr="00000000">
              <w:rPr>
                <w:rtl w:val="0"/>
              </w:rPr>
              <w:t xml:space="preserve"> website has not been updated yet to reflect the approval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  <w:rtl w:val="0"/>
              </w:rPr>
              <w:t xml:space="preserve">Impact (CI PoV):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FDA approval makes Sotyktu the first and only oral TYK2 inhibitor approved for adults with active PsA, expanding its 2022 </w:t>
            </w:r>
            <w:hyperlink r:id="rId1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approval</w:t>
              </w:r>
            </w:hyperlink>
            <w:r w:rsidDel="00000000" w:rsidR="00000000" w:rsidRPr="00000000">
              <w:rPr>
                <w:rtl w:val="0"/>
              </w:rPr>
              <w:t xml:space="preserve"> in moderate-to-severe plaque psoriasis (PsO)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ind w:left="144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approval allows BMS to establish early physician familiarity and real-world evidence ahead of emerging oral competitors such as JNJ’s Icotyde (icotrokinra, oral IL-23R antagonist) and Takeda’s Zasocitinib (TAK-279, oral TYK2 inhibitor), with approvals expected in Q1 2028 and Q3 2028, respectively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  <w:rtl w:val="0"/>
              </w:rPr>
              <w:t xml:space="preserve">Why it matters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approval offers a new once-daily oral option that may appeal to patients seeking an alternative to injectable biologics while potentially providing a more manageable safety and monitoring profile than JAK inhibitors</w:t>
              <w:br w:type="textWrapping"/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0" distT="0" distL="0" distR="0">
                  <wp:extent cx="2667000" cy="13525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2838450" cy="13525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71d49"/>
                <w:sz w:val="28"/>
                <w:szCs w:val="28"/>
                <w:rtl w:val="0"/>
              </w:rPr>
              <w:t xml:space="preserve">Tell me more: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FDA approval is supported by the Phase 3 multicenter, randomized, double-blind, placebo-controlled </w:t>
            </w:r>
            <w:hyperlink r:id="rId19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POETYK-PsA-1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  <w:hyperlink r:id="rId20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POETYK-PsA-2</w:t>
              </w:r>
            </w:hyperlink>
            <w:r w:rsidDel="00000000" w:rsidR="00000000" w:rsidRPr="00000000">
              <w:rPr>
                <w:rtl w:val="0"/>
              </w:rPr>
              <w:t xml:space="preserve"> trials that evaluated the safety and efficacy of Sotyktu in adults with active PsA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Design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POETYK PsA-1 included 670 patients with active PsA who were bDMARD naïve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POETYK PsA-2 included 624 patients with active PsA who were bDMARD naïve or had previously received TNFα inhibitor treatment; the trial also included an apremilast safety reference arm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Primary endpoint: ACR20 at Week 16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 Results  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Efficacy: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Both trials met their primary endpoints, demonstrating sustained improvements across joint pain and swelling as well as psoriatic skin lesions</w:t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305300" cy="104775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104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Safety: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1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The overall safety profile in active PsA was generally consistent with the safety profile previously seen in PsO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Most common adverse reactions were upper respiratory infections, increased blood creatine phosphokinase, herpes simplex, mouth ulcers, folliculitis, and acne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HRQoL: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Improvements were seen in SF-36 PCS score at Week 16 compared to placebo (key secondary endpoint)</w:t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Improvements were also reported across all four SF-36 PCS domain scale scores: physical functioning, role-physical, bodily pain, and general health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Outlook: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Regulatory applications for Sotyktu are </w:t>
            </w:r>
            <w:hyperlink r:id="rId2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under review</w:t>
              </w:r>
            </w:hyperlink>
            <w:r w:rsidDel="00000000" w:rsidR="00000000" w:rsidRPr="00000000">
              <w:rPr>
                <w:rtl w:val="0"/>
              </w:rPr>
              <w:t xml:space="preserve"> in the EU, Japan and China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Pediatric PsA</w:t>
            </w:r>
            <w:r w:rsidDel="00000000" w:rsidR="00000000" w:rsidRPr="00000000">
              <w:rPr>
                <w:rtl w:val="0"/>
              </w:rPr>
              <w:t xml:space="preserve">: </w:t>
            </w:r>
            <w:hyperlink r:id="rId23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Phase 3</w:t>
              </w:r>
            </w:hyperlink>
            <w:r w:rsidDel="00000000" w:rsidR="00000000" w:rsidRPr="00000000">
              <w:rPr>
                <w:rtl w:val="0"/>
              </w:rPr>
              <w:t xml:space="preserve"> study ongoing; PCD: March 2030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ind w:left="1440" w:hanging="36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SLE:</w:t>
            </w:r>
            <w:r w:rsidDel="00000000" w:rsidR="00000000" w:rsidRPr="00000000">
              <w:rPr>
                <w:rtl w:val="0"/>
              </w:rPr>
              <w:t xml:space="preserve"> Phase 3 </w:t>
            </w:r>
            <w:hyperlink r:id="rId24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POETYK-SLE-1</w:t>
              </w:r>
            </w:hyperlink>
            <w:r w:rsidDel="00000000" w:rsidR="00000000" w:rsidRPr="00000000">
              <w:rPr>
                <w:rtl w:val="0"/>
              </w:rPr>
              <w:t xml:space="preserve"> &amp; </w:t>
            </w:r>
            <w:hyperlink r:id="rId2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POETYK-SLE-2</w:t>
              </w:r>
            </w:hyperlink>
            <w:r w:rsidDel="00000000" w:rsidR="00000000" w:rsidRPr="00000000">
              <w:rPr>
                <w:rtl w:val="0"/>
              </w:rPr>
              <w:t xml:space="preserve"> ongoing, with data expected in 2026; PCDs: October 2026;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SjD:</w:t>
            </w:r>
            <w:r w:rsidDel="00000000" w:rsidR="00000000" w:rsidRPr="00000000">
              <w:rPr>
                <w:rtl w:val="0"/>
              </w:rPr>
              <w:t xml:space="preserve"> Phase 3 </w:t>
            </w:r>
            <w:hyperlink r:id="rId26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POETYK-SjS-1</w:t>
              </w:r>
            </w:hyperlink>
            <w:r w:rsidDel="00000000" w:rsidR="00000000" w:rsidRPr="00000000">
              <w:rPr>
                <w:rtl w:val="0"/>
              </w:rPr>
              <w:t xml:space="preserve"> ongoing, with data expected in 2027; PCD: November 2026 </w:t>
            </w:r>
          </w:p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171717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color w:val="171717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inicaltrials.gov/study/NCT04908189" TargetMode="External"/><Relationship Id="rId22" Type="http://schemas.openxmlformats.org/officeDocument/2006/relationships/hyperlink" Target="https://news.bms.com/news/details/2025/Bristol-Myers-Squibbs-Supplemental-New-Drug-Application-sNDA-for-Sotyktu-deucravacitinib-for-the-Treatment-of-Adults-with-Active-Psoriatic-Arthritis-Accepted-for-Review-Across-Four-Regions-Globally/default.aspx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clinicaltrials.gov/study/NCT05617677" TargetMode="External"/><Relationship Id="rId23" Type="http://schemas.openxmlformats.org/officeDocument/2006/relationships/hyperlink" Target="https://clinicaltrials.gov/study/NCT06869551?intr=SOTYKTU%20OR%20Deucravacitini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kageinserts.bms.com/pi/pi_sotyktu.pdf" TargetMode="External"/><Relationship Id="rId26" Type="http://schemas.openxmlformats.org/officeDocument/2006/relationships/hyperlink" Target="https://clinicaltrials.gov/study/NCT05946941?term=IM011-1069&amp;rank=1" TargetMode="External"/><Relationship Id="rId25" Type="http://schemas.openxmlformats.org/officeDocument/2006/relationships/hyperlink" Target="https://clinicaltrials.gov/study/NCT0562040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news.bms.com/news/details/2026/U-S--FDA-Approves-Bristol-Myers-Squibbs-Sotyktu-deucravacitinib-for-the-Treatment-of-Adults-with-Active-Psoriatic-Arthritis/default.aspx" TargetMode="External"/><Relationship Id="rId11" Type="http://schemas.openxmlformats.org/officeDocument/2006/relationships/hyperlink" Target="https://clinicaltrials.gov/study/NCT04908202" TargetMode="External"/><Relationship Id="rId10" Type="http://schemas.openxmlformats.org/officeDocument/2006/relationships/hyperlink" Target="https://news.bms.com/news/details/2026/U-S--FDA-Approves-Bristol-Myers-Squibbs-Sotyktu-deucravacitinib-for-the-Treatment-of-Adults-with-Active-Psoriatic-Arthritis/default.aspx" TargetMode="External"/><Relationship Id="rId13" Type="http://schemas.openxmlformats.org/officeDocument/2006/relationships/hyperlink" Target="https://packageinserts.bms.com/pi/pi_sotyktu.pdf" TargetMode="External"/><Relationship Id="rId12" Type="http://schemas.openxmlformats.org/officeDocument/2006/relationships/hyperlink" Target="https://clinicaltrials.gov/study/NCT04908189" TargetMode="External"/><Relationship Id="rId15" Type="http://schemas.openxmlformats.org/officeDocument/2006/relationships/hyperlink" Target="https://www.sotyktu.com/about-sotyktu/sotyktu-study-results/?cid=sem_3072942&amp;gclid=6822d9261f1a1b70c48ab08aaf06d520&amp;gclsrc=3p.ds&amp;msclkid=6822d9261f1a1b70c48ab08aaf06d520" TargetMode="External"/><Relationship Id="rId14" Type="http://schemas.openxmlformats.org/officeDocument/2006/relationships/hyperlink" Target="https://www.sotyktuhcp.com/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news.bms.com/news/details/2023/Bristol-Myers-Squibb-Receives-European-Commission-Approval-of-Sotyktu-deucravacitinib-a-Once-Daily-Oral-Treatment-for-Adults-With-Moderate-to-Severe-Plaque-Psoriasis/default.aspx" TargetMode="External"/><Relationship Id="rId19" Type="http://schemas.openxmlformats.org/officeDocument/2006/relationships/hyperlink" Target="https://clinicaltrials.gov/study/NCT04908202" TargetMode="External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RI6rQHmuKzCbtrAyvbe3mSo2A==">CgMxLjAyDmguemVscXJwaWxianJpMg5oLnQ5OWJiYWh5enMxcTgAciExWDYteUQyYTNUT1RUekJ6VFBzd3ozUmlfYUZDVUlUdGM=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