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xkwlvd2i7ucj" w:id="0"/>
      <w:bookmarkEnd w:id="0"/>
      <w:r w:rsidDel="00000000" w:rsidR="00000000" w:rsidRPr="00000000">
        <w:rPr>
          <w:rtl w:val="0"/>
        </w:rPr>
        <w:t xml:space="preserve">Отчет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Были и</w:t>
      </w:r>
      <w:r w:rsidDel="00000000" w:rsidR="00000000" w:rsidRPr="00000000">
        <w:rPr>
          <w:rtl w:val="0"/>
        </w:rPr>
        <w:t xml:space="preserve">сследованы возможности применения мобильных устройств и мобильных приложений для организации корпоративного электронного обучения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Проведена классификация мобильных устройств и мобильных платформ.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 сравнительный анализ iOS и Android в аспекте использования для организации корпоративного обучения.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Изучены каталоги мобильных приложений и мобильных электронных образовательных ресурсов.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Изучены мобильные версии LMS-систем, каталоги электронных учебников.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Изучены магазины образовательных приложений: требования к содержанию, технические ограничения.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Изучены корпоративные порталы мобильного обучения.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Изучена разработка мобильного контента.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Рассмотрены фреймворки и библиотеки, обеспечивающие выполнение требований адаптивности и мобильности (на примере Bootstrap).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 сравнительный анализ языковых и технологических средств разработки мобильных приложений и ресурсов.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