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1D95"/>
          <w:sz w:val="48"/>
        </w:rPr>
        <w:t>BAC-001 — Investigación Técnica API Sumsub</w:t>
      </w:r>
    </w:p>
    <w:p>
      <w:pPr>
        <w:jc w:val="center"/>
      </w:pPr>
      <w:r>
        <w:rPr>
          <w:color w:val="475569"/>
          <w:sz w:val="26"/>
        </w:rPr>
        <w:t>Resumen técnico de la API y Mapeo a los formularios de Datos Personales y Datos de Facturación de Dropi</w:t>
      </w:r>
    </w:p>
    <w:p>
      <w:pPr>
        <w:jc w:val="center"/>
      </w:pPr>
      <w:r>
        <w:rPr>
          <w:i/>
          <w:color w:val="475569"/>
          <w:sz w:val="20"/>
        </w:rPr>
        <w:t>Célula Backoffice · PO: Paula Macias · Validación de Identidad Países (KYC / KYB / KYT) · 2026-07-29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</w:pPr>
      <w:r>
        <w:t>1. ¿Qué es Sumsub?</w:t>
      </w:r>
    </w:p>
    <w:p>
      <w:pPr>
        <w:pStyle w:val="ListNumber"/>
      </w:pPr>
      <w:r>
        <w:t>2. Autenticación y seguridad</w:t>
      </w:r>
    </w:p>
    <w:p>
      <w:pPr>
        <w:pStyle w:val="ListNumber"/>
      </w:pPr>
      <w:r>
        <w:t>3. Conceptos clave del modelo de datos</w:t>
      </w:r>
    </w:p>
    <w:p>
      <w:pPr>
        <w:pStyle w:val="ListNumber"/>
      </w:pPr>
      <w:r>
        <w:t>4. Ciclo de vida — Webhooks</w:t>
      </w:r>
    </w:p>
    <w:p>
      <w:pPr>
        <w:pStyle w:val="ListNumber"/>
      </w:pPr>
      <w:r>
        <w:t>5. Resultado de la revisión (reviewResult)</w:t>
      </w:r>
    </w:p>
    <w:p>
      <w:pPr>
        <w:pStyle w:val="ListNumber"/>
      </w:pPr>
      <w:r>
        <w:t>6. Reenvío de documentos cuando rejectType = RETRY</w:t>
      </w:r>
    </w:p>
    <w:p>
      <w:pPr>
        <w:pStyle w:val="ListNumber"/>
      </w:pPr>
      <w:r>
        <w:t>7. Consideraciones para una verificación exitosa</w:t>
      </w:r>
    </w:p>
    <w:p>
      <w:pPr>
        <w:pStyle w:val="ListNumber"/>
      </w:pPr>
      <w:r>
        <w:t>8. Estructura de datos del Applicant (GET applicant data)</w:t>
      </w:r>
    </w:p>
    <w:p>
      <w:pPr>
        <w:pStyle w:val="ListNumber"/>
      </w:pPr>
      <w:r>
        <w:t>9. Flujos propuestos por Dropi (contexto del mapeo)</w:t>
      </w:r>
    </w:p>
    <w:p>
      <w:pPr>
        <w:pStyle w:val="ListNumber"/>
      </w:pPr>
      <w:r>
        <w:t>10. Mapeo API → Formulario de Datos Personales (KYC)</w:t>
      </w:r>
    </w:p>
    <w:p>
      <w:pPr>
        <w:pStyle w:val="ListNumber"/>
      </w:pPr>
      <w:r>
        <w:t>11. Mapeo API → Formulario de Datos de Facturación (Natural / Jurídica)</w:t>
      </w:r>
    </w:p>
    <w:p>
      <w:pPr>
        <w:pStyle w:val="ListNumber"/>
      </w:pPr>
      <w:r>
        <w:t>12. Puntos abiertos — pendientes de confirmar con TI</w:t>
      </w:r>
    </w:p>
    <w:p>
      <w:pPr>
        <w:pStyle w:val="ListNumber"/>
      </w:pPr>
      <w:r>
        <w:t>13. Referencias</w:t>
      </w:r>
    </w:p>
    <w:p>
      <w:r>
        <w:br w:type="page"/>
      </w:r>
    </w:p>
    <w:p>
      <w:pPr>
        <w:pStyle w:val="Heading1"/>
      </w:pPr>
      <w:r>
        <w:t>1. ¿Qué es Sumsub?</w:t>
      </w:r>
    </w:p>
    <w:p>
      <w:r>
        <w:t>Sumsub es una plataforma de verificación de identidad y cumplimiento normativo (KYC/KYB/KYT): verifica usuarios, previene fraude y monitorea transacciones. Dropi la usa para el flujo de verificación de identidad de personas naturales (KYC), personas jurídicas (KYB), y en el futuro screening de wallets cripto (KYT).</w:t>
      </w:r>
    </w:p>
    <w:p>
      <w:r>
        <w:t>El flujo general de verificación consiste en: (1) crear un applicant con la información disponible, (2) subir los documentos requeridos, (3) solicitar la verificación (mover al applicant a estado pending), y (4) recibir el resultado vía webhook.</w:t>
      </w:r>
    </w:p>
    <w:p>
      <w:pPr>
        <w:pStyle w:val="Heading1"/>
      </w:pPr>
      <w:r>
        <w:t>2. Autenticación y seguridad</w:t>
      </w:r>
    </w:p>
    <w:p>
      <w:pPr>
        <w:pStyle w:val="Heading2"/>
      </w:pPr>
      <w:r>
        <w:t>2.1 Firma de requests a la API</w:t>
      </w:r>
    </w:p>
    <w:p>
      <w:r>
        <w:t>Cada request a la API va firmado — no es un API key simple en el header. Se generan dos credenciales en el Dashboard de Sumsub:</w:t>
      </w:r>
    </w:p>
    <w:p>
      <w:pPr>
        <w:pStyle w:val="ListBullet"/>
      </w:pPr>
      <w:r>
        <w:t>App Token: identifica la aplicación que llama a la API.</w:t>
      </w:r>
    </w:p>
    <w:p>
      <w:pPr>
        <w:pStyle w:val="ListBullet"/>
      </w:pPr>
      <w:r>
        <w:t>Secret Key: clave privada usada exclusivamente para firmar solicitudes — solo se muestra una vez, al momento de crear el token.</w:t>
      </w:r>
    </w:p>
    <w:p>
      <w:r>
        <w:t>Cada request lleva 3 headers:</w:t>
      </w:r>
    </w:p>
    <w:p>
      <w:pPr>
        <w:pStyle w:val="ListBullet"/>
      </w:pPr>
      <w:r>
        <w:t>X-App-Token: el token de aplicación generado.</w:t>
      </w:r>
    </w:p>
    <w:p>
      <w:pPr>
        <w:pStyle w:val="ListBullet"/>
      </w:pPr>
      <w:r>
        <w:t>X-App-Access-Ts: timestamp Unix (segundos desde epoch, UTC).</w:t>
      </w:r>
    </w:p>
    <w:p>
      <w:pPr>
        <w:pStyle w:val="ListBullet"/>
      </w:pPr>
      <w:r>
        <w:t>X-App-Access-Sig: firma HMAC-SHA256 (formato HEX minúscula) de la cadena timestamp + método HTTP en mayúsculas + URI completa con parámetros + body de la solicitud (vacío para GET), firmada con la Secret Key.</w:t>
      </w:r>
    </w:p>
    <w:p>
      <w:pPr>
        <w:spacing w:before="40" w:after="120"/>
        <w:ind w:left="283"/>
        <w:shd w:val="clear" w:color="auto" w:fill="F1F5F9"/>
      </w:pPr>
      <w:r>
        <w:rPr>
          <w:rFonts w:ascii="Consolas" w:hAnsi="Consolas"/>
          <w:color w:val="1E293B"/>
          <w:sz w:val="17"/>
        </w:rPr>
        <w:t>Ejemplo de cadena a firmar:</w:t>
        <w:br/>
        <w:t>1607551635POST/resources/accessTokens?userId=cfd20712-24a2-4c7d-9ab0-146f3c142335&amp;levelName=basic-kyc-level&amp;ttlInSecs=600</w:t>
      </w:r>
    </w:p>
    <w:p>
      <w:r>
        <w:t>El timestamp debe estar a menos de 1 minuto de la hora del servidor de Sumsub; si no, el request se rechaza.</w:t>
      </w:r>
    </w:p>
    <w:p>
      <w:pPr>
        <w:pStyle w:val="Heading2"/>
      </w:pPr>
      <w:r>
        <w:t>2.2 Firma y reintentos de webhooks</w:t>
      </w:r>
    </w:p>
    <w:p>
      <w:r>
        <w:t>Los webhooks salientes de Sumsub también van firmados. Cada request de webhook incluye:</w:t>
      </w:r>
    </w:p>
    <w:p>
      <w:pPr>
        <w:pStyle w:val="ListBullet"/>
      </w:pPr>
      <w:r>
        <w:t>X-Payload-Digest: valor HMAC calculado sobre el body con la Secret Key configurada al crear el webhook.</w:t>
      </w:r>
    </w:p>
    <w:p>
      <w:pPr>
        <w:pStyle w:val="ListBullet"/>
      </w:pPr>
      <w:r>
        <w:t>X-Payload-Digest-Alg: algoritmo usado — HMAC_SHA256_HEX (por defecto y recomendado), HMAC_SHA512_HEX, o HMAC_SHA1_HEX (legado, no usar en integraciones nuevas).</w:t>
      </w:r>
    </w:p>
    <w:p>
      <w:pPr>
        <w:spacing w:before="80" w:after="160"/>
        <w:shd w:val="clear" w:color="auto" w:fill="F5F3FF"/>
      </w:pPr>
      <w:r>
        <w:rPr>
          <w:b/>
          <w:color w:val="6D28D9"/>
          <w:sz w:val="19"/>
        </w:rPr>
        <w:t xml:space="preserve">Spec para TI: </w:t>
      </w:r>
      <w:r>
        <w:rPr>
          <w:sz w:val="19"/>
        </w:rPr>
        <w:t>el endpoint receptor debe recalcular el HMAC del body crudo con el Secret Key propio y compararlo contra X-Payload-Digest antes de procesar el evento. Si no coincide, descartar el request (posible spoofing).</w:t>
      </w:r>
    </w:p>
    <w:p>
      <w:r>
        <w:t>El endpoint debe responder antes de 5 segundos, y nunca con HTTP 500 — de lo contrario Sumsub reintenta hasta 4 veces: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Tipo de evento</w:t>
            </w:r>
          </w:p>
        </w:tc>
        <w:tc>
          <w:tcPr>
            <w:tcW w:type="dxa" w:w="3402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Reintentos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applicantActionReviewed / applicantActionOnHold / applicantActionPending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30s, 30s, 1min, 5min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Resto de eventos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5min, 1h, 5h, 18h</w:t>
            </w:r>
          </w:p>
        </w:tc>
      </w:tr>
    </w:tbl>
    <w:p/>
    <w:p>
      <w:pPr>
        <w:spacing w:before="80" w:after="160"/>
        <w:shd w:val="clear" w:color="auto" w:fill="F5F3FF"/>
      </w:pPr>
      <w:r>
        <w:rPr>
          <w:b/>
          <w:color w:val="6D28D9"/>
          <w:sz w:val="19"/>
        </w:rPr>
        <w:t xml:space="preserve">Spec para TI: </w:t>
      </w:r>
      <w:r>
        <w:rPr>
          <w:sz w:val="19"/>
        </w:rPr>
        <w:t>el handler debe ser idempotente (puede recibir el mismo evento más de una vez) y responder rápido — lo ideal es encolar el procesamiento (guardar el payload crudo + responder 200) y procesar en background.</w:t>
      </w:r>
    </w:p>
    <w:p>
      <w:r>
        <w:t>El payload de los webhooks no trae datos personales (nombre, documento, foto, etc.) — solo IDs y estado. Para obtener datos reales siempre hay que hacer GET applicant data.</w:t>
      </w:r>
    </w:p>
    <w:p>
      <w:pPr>
        <w:pStyle w:val="Heading1"/>
      </w:pPr>
      <w:r>
        <w:t>3. Conceptos clave del modelo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6803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Qué 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Applicant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Entidad central — persona o empresa que se está verificando. Todo gira en torno a crearlo, adjuntarle documentos y consultar su estado.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Verification Level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Perfil configurado en el Dashboard de Sumsub que define qué pasos/documentos debe completar un applicant. Se configura sin código.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fixedInfo vs. info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fixedInfo = lo que el usuario declaró (autodeclarado, no verificado). info = lo que Sumsub extrajo y validó del documento (OCR). Sumsub compara ambos internamente para detectar dataMismatch.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idDocs[]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Array de documentos de identidad presentados (tipo, país, número, vigencia, imágenes). Para empresas, tipo COMPANY_DOC.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questionnaires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Datos capturados por formulario dentro del WebSDK que NO son extraíbles por OCR (ej. régimen fiscal, email/teléfono de facturación). Estructura: sections → items → id/value.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review / reviewStatus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Estado del ciclo de revisión: init → pending → queued/onHold → completed.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Applicant Action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Verificación puntual sobre un applicant ya existente (ej. pedir datos de facturación adicionales) sin repetir la verificación de identidad completa.</w:t>
            </w:r>
          </w:p>
        </w:tc>
      </w:tr>
    </w:tbl>
    <w:p/>
    <w:p>
      <w:pPr>
        <w:pStyle w:val="Heading1"/>
      </w:pPr>
      <w:r>
        <w:t>4. Ciclo de vida — Webhooks</w:t>
      </w:r>
    </w:p>
    <w:p>
      <w:r>
        <w:t>Los eventos se comunican mediante una secuencia de webhooks que reflejan el reviewStatus del applicant. El orden y existencia de los pasos puede variar según la configuración del nivel de verificación.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Webhook</w:t>
            </w:r>
          </w:p>
        </w:tc>
        <w:tc>
          <w:tcPr>
            <w:tcW w:type="dxa" w:w="4535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Se dispara cuando...</w:t>
            </w:r>
          </w:p>
        </w:tc>
        <w:tc>
          <w:tcPr>
            <w:tcW w:type="dxa" w:w="1417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reviewStatus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applicantCreated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 crea el applicant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init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applicantPending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 cargaron los documentos requeridos y se solicitó el check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applicantPrechecked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Termina el procesamiento primario de datos (interno)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queued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applicantOnHold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Verificación pausada (ej. revisión manual adicional)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onHold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applicantReviewed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La verificación finalizó con decisión final (GREEN/RED)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applicantActionPending / applicantActionReviewed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Verificación puntual post-onboarding (ej. facturación) sobre un applicant existente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pending / completed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applicantReset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Perfil vuelve a init; documentos marcados inactivos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init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applicantPersonalInfoChanged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Datos o documentos se modificaron después de completada la revisión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4.1 Detalle del webhook applicantReviewed</w:t>
      </w:r>
    </w:p>
    <w:p>
      <w:r>
        <w:t>Es el evento principal — contiene la decisión final de la verificación. Ejemplos de payload:</w:t>
      </w:r>
    </w:p>
    <w:p>
      <w:pPr>
        <w:pStyle w:val="IntenseQuote"/>
      </w:pPr>
      <w:r>
        <w:t>GREEN — Aprobado</w:t>
      </w:r>
    </w:p>
    <w:p>
      <w:pPr>
        <w:spacing w:before="40" w:after="120"/>
        <w:ind w:left="283"/>
        <w:shd w:val="clear" w:color="auto" w:fill="F1F5F9"/>
      </w:pPr>
      <w:r>
        <w:rPr>
          <w:rFonts w:ascii="Consolas" w:hAnsi="Consolas"/>
          <w:color w:val="1E293B"/>
          <w:sz w:val="17"/>
        </w:rPr>
        <w:t>{</w:t>
        <w:br/>
        <w:t xml:space="preserve">  "applicantId": "5cb56e8e0a975a35f333cb83",</w:t>
        <w:br/>
        <w:t xml:space="preserve">  "inspectionId": "5cb56e8e0a975a35f333cb84",</w:t>
        <w:br/>
        <w:t xml:space="preserve">  "applicantType": "individual",</w:t>
        <w:br/>
        <w:t xml:space="preserve">  "correlationId": "req-a260b669-4f14-4bb5-a4c5-ac0218acb9a4",</w:t>
        <w:br/>
        <w:t xml:space="preserve">  "externalUserId": "externalUserId",</w:t>
        <w:br/>
        <w:t xml:space="preserve">  "levelName": "id-and-liveness",</w:t>
        <w:br/>
        <w:t xml:space="preserve">  "type": "applicantReviewed",</w:t>
        <w:br/>
        <w:t xml:space="preserve">  "sandboxMode": false,</w:t>
        <w:br/>
        <w:t xml:space="preserve">  "reviewResult": { "reviewAnswer": "GREEN" },</w:t>
        <w:br/>
        <w:t xml:space="preserve">  "reviewStatus": "completed",</w:t>
        <w:br/>
        <w:t xml:space="preserve">  "createdAtMs": "2020-02-21 13:23:19.321",</w:t>
        <w:br/>
        <w:t xml:space="preserve">  "clientId": "coolClientId"</w:t>
        <w:br/>
        <w:t>}</w:t>
      </w:r>
    </w:p>
    <w:p>
      <w:pPr>
        <w:pStyle w:val="IntenseQuote"/>
      </w:pPr>
      <w:r>
        <w:t>RED — Rechazo temporal (RETRY)</w:t>
      </w:r>
    </w:p>
    <w:p>
      <w:pPr>
        <w:spacing w:before="40" w:after="120"/>
        <w:ind w:left="283"/>
        <w:shd w:val="clear" w:color="auto" w:fill="F1F5F9"/>
      </w:pPr>
      <w:r>
        <w:rPr>
          <w:rFonts w:ascii="Consolas" w:hAnsi="Consolas"/>
          <w:color w:val="1E293B"/>
          <w:sz w:val="17"/>
        </w:rPr>
        <w:t>{</w:t>
        <w:br/>
        <w:t xml:space="preserve">  "applicantId": "69e5d579e37291e569b75ce5",</w:t>
        <w:br/>
        <w:t xml:space="preserve">  "applicantType": "individual",</w:t>
        <w:br/>
        <w:t xml:space="preserve">  "levelName": "1doc",</w:t>
        <w:br/>
        <w:t xml:space="preserve">  "externalUserId": "dash-6ccde837-640a-49b9-a2f9-f096f561744c",</w:t>
        <w:br/>
        <w:t xml:space="preserve">  "type": "applicantReviewed",</w:t>
        <w:br/>
        <w:t xml:space="preserve">  "reviewResult": {</w:t>
        <w:br/>
        <w:t xml:space="preserve">    "reviewAnswer": "RED",</w:t>
        <w:br/>
        <w:t xml:space="preserve">    "rejectLabels": ["BAD_PROOF_OF_IDENTITY"],</w:t>
        <w:br/>
        <w:t xml:space="preserve">    "reviewRejectType": "RETRY",</w:t>
        <w:br/>
        <w:t xml:space="preserve">    "buttonIds": ["badDocument_suspiciousDocument", "badDocument"]</w:t>
        <w:br/>
        <w:t xml:space="preserve">  },</w:t>
        <w:br/>
        <w:t xml:space="preserve">  "reviewStatus": "completed",</w:t>
        <w:br/>
        <w:t xml:space="preserve">  "createdAtMs": "2026-04-30 08:04:23.379",</w:t>
        <w:br/>
        <w:t xml:space="preserve">  "clientId": "coolClientId"</w:t>
        <w:br/>
        <w:t>}</w:t>
      </w:r>
    </w:p>
    <w:p>
      <w:pPr>
        <w:pStyle w:val="IntenseQuote"/>
      </w:pPr>
      <w:r>
        <w:t>RED — Rechazo definitivo (FINAL)</w:t>
      </w:r>
    </w:p>
    <w:p>
      <w:pPr>
        <w:spacing w:before="40" w:after="120"/>
        <w:ind w:left="283"/>
        <w:shd w:val="clear" w:color="auto" w:fill="F1F5F9"/>
      </w:pPr>
      <w:r>
        <w:rPr>
          <w:rFonts w:ascii="Consolas" w:hAnsi="Consolas"/>
          <w:color w:val="1E293B"/>
          <w:sz w:val="17"/>
        </w:rPr>
        <w:t>{</w:t>
        <w:br/>
        <w:t xml:space="preserve">  "applicantId": "69e5d579e37291e569b75ce5",</w:t>
        <w:br/>
        <w:t xml:space="preserve">  "applicantType": "individual",</w:t>
        <w:br/>
        <w:t xml:space="preserve">  "levelName": "1doc",</w:t>
        <w:br/>
        <w:t xml:space="preserve">  "externalUserId": "dash-6ccde837-640a-49b9-a2f9-f096f561744c",</w:t>
        <w:br/>
        <w:t xml:space="preserve">  "type": "applicantReviewed",</w:t>
        <w:br/>
        <w:t xml:space="preserve">  "reviewResult": {</w:t>
        <w:br/>
        <w:t xml:space="preserve">    "moderationComment": "We couldn't verify your profile...",</w:t>
        <w:br/>
        <w:t xml:space="preserve">    "clientComment": "User identity is compromised: PEP, Sanction lists",</w:t>
        <w:br/>
        <w:t xml:space="preserve">    "reviewAnswer": "RED",</w:t>
        <w:br/>
        <w:t xml:space="preserve">    "rejectLabels": ["COMPROMISED_PERSONS", "PEP", "SANCTIONS"],</w:t>
        <w:br/>
        <w:t xml:space="preserve">    "reviewRejectType": "FINAL",</w:t>
        <w:br/>
        <w:t xml:space="preserve">    "buttonIds": ["compromisedPersons_sanctionList", "compromisedPersons_pep"]</w:t>
        <w:br/>
        <w:t xml:space="preserve">  },</w:t>
        <w:br/>
        <w:t xml:space="preserve">  "reviewStatus": "completed",</w:t>
        <w:br/>
        <w:t xml:space="preserve">  "createdAtMs": "2026-04-30 08:04:23.379",</w:t>
        <w:br/>
        <w:t xml:space="preserve">  "clientId": "coolClientId"</w:t>
        <w:br/>
        <w:t>}</w:t>
      </w:r>
    </w:p>
    <w:p>
      <w:pPr>
        <w:pStyle w:val="Heading2"/>
      </w:pPr>
      <w:r>
        <w:t>4.2 Campos clave del payload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236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applicantId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ID de Sumsub — clave primaria para relacionar con el usuario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externalUserId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ID interno de Dropi — campo para hacer el join con la base de datos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inspectionId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ID de la sesión de documentos, útil para recuperar imágenes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correlationId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ID para trazar eventos relacionados entre sí (debug/soporte)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levelName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Nivel de verificación aplicado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Estado del ciclo: init, pending, queued, onHold, completed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sandboxMode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true si viene de sandbox — filtrar en producción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reviewResult.moderationComment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Único texto seguro para mostrar al usuario final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reviewResult.clientComment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Uso interno, NO exponer en frontend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reviewResult.buttonIds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Identificador exacto de qué falló (ej. dataMismatch_fullName)</w:t>
            </w:r>
          </w:p>
        </w:tc>
      </w:tr>
    </w:tbl>
    <w:p/>
    <w:p>
      <w:pPr>
        <w:pStyle w:val="Heading1"/>
      </w:pPr>
      <w:r>
        <w:t>5. Resultado de la revisión (reviewResult)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reviewAnswer</w:t>
            </w:r>
          </w:p>
        </w:tc>
        <w:tc>
          <w:tcPr>
            <w:tcW w:type="dxa" w:w="170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reviewRejectType</w:t>
            </w:r>
          </w:p>
        </w:tc>
        <w:tc>
          <w:tcPr>
            <w:tcW w:type="dxa" w:w="5669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Verificación aprobada.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RETRY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Rechazo corregible (ej. foto borrosa, falta un dato). El usuario puede reenviar.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FINAL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Rechazo definitivo (ej. fraude, PEP/sanciones). No hay reintento.</w:t>
            </w:r>
          </w:p>
        </w:tc>
      </w:tr>
    </w:tbl>
    <w:p/>
    <w:p>
      <w:r>
        <w:t>rejectLabels enumera motivos generales de rechazo (útil para reporting/analítica). buttonIds combina grupo + identificador (ej. dataMismatch_fullName) y permite consultar el detalle exacto de qué falló vía GET clarify-rejection-reason, que devuelve por separado imagesStates (rechazos de documentos específicos) y applicantState (rechazos de datos del solicitante).</w:t>
      </w:r>
    </w:p>
    <w:p>
      <w:pPr>
        <w:pStyle w:val="Heading1"/>
      </w:pPr>
      <w:r>
        <w:t>6. Reenvío de documentos cuando rejectType = RETRY</w:t>
      </w:r>
    </w:p>
    <w:p>
      <w:r>
        <w:t>No hay que resubir todo el applicant — solo los documentos o pasos con problema.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2835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5386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Identificar qué falló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GET clarify-rejection-reason → devuelve los buttonId exactos (ej. "Damaged ID", "Another side").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Reenviar solo lo problemático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POST add-verification-documents — solo el/los documentos con problema, mismo applicantId.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Re-disparar el check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POST /resources/applicants/{applicantId}/status/pending — falla si el applicant ya está en pending/queued/prechecked.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Esperar resultado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Nuevo webhook applicantReviewed con el resultado actualizado.</w:t>
            </w:r>
          </w:p>
        </w:tc>
      </w:tr>
    </w:tbl>
    <w:p/>
    <w:p>
      <w:pPr>
        <w:pStyle w:val="Heading1"/>
      </w:pPr>
      <w:r>
        <w:t>7. Consideraciones para una verificación exitosa</w:t>
      </w:r>
    </w:p>
    <w:p>
      <w:pPr>
        <w:pStyle w:val="ListBullet"/>
      </w:pPr>
      <w:r>
        <w:t>Un solo tipo de verificación por step dentro de un nivel (2-4 documentos de identidad adicionales permitidos).</w:t>
      </w:r>
    </w:p>
    <w:p>
      <w:pPr>
        <w:pStyle w:val="ListBullet"/>
      </w:pPr>
      <w:r>
        <w:t>Mínimo un campo obligatorio configurado en la sección de datos del solicitante.</w:t>
      </w:r>
    </w:p>
    <w:p>
      <w:pPr>
        <w:pStyle w:val="ListBullet"/>
      </w:pPr>
      <w:r>
        <w:t>Métodos de captura de documentos: carga de archivo, captura en vivo (recomendada, mejor calidad) y fallback a carga manual.</w:t>
      </w:r>
    </w:p>
    <w:p>
      <w:pPr>
        <w:pStyle w:val="ListBullet"/>
      </w:pPr>
      <w:r>
        <w:t>Documentos con dos lados requieren ambas imágenes (FRONT_SIDE y BACK_SIDE) — falta de una cara es motivo de RETRY.</w:t>
      </w:r>
    </w:p>
    <w:p>
      <w:pPr>
        <w:pStyle w:val="ListBullet"/>
      </w:pPr>
      <w:r>
        <w:t>Consistencia de datos: lo declarado (fixedInfo) debe coincidir con lo extraído (info) — un mismatch dispara rejectLabels de tipo dataMismatch.</w:t>
      </w:r>
    </w:p>
    <w:p>
      <w:pPr>
        <w:pStyle w:val="ListBullet"/>
      </w:pPr>
      <w:r>
        <w:t>Cobertura de documentos/países configurada en el nivel debe validarse contra la base real de usuarios de backoffice — no todos los tipos de documento están soportados en todos los países.</w:t>
      </w:r>
    </w:p>
    <w:p>
      <w:pPr>
        <w:pStyle w:val="ListBullet"/>
      </w:pPr>
      <w:r>
        <w:t>Vigencias de documentos (ej. Cámara de Comercio, Personería Jurídica) no se revalidan automáticamente — requiere chequeo periódico contra idDocs[].validUntil.</w:t>
      </w:r>
    </w:p>
    <w:p>
      <w:pPr>
        <w:pStyle w:val="ListBullet"/>
      </w:pPr>
      <w:r>
        <w:t>Progreso guardado en sesión del navegador durante cuestionarios y datos del solicitante, mientras la sesión permanezca activa — no persiste entre sesiones distintas.</w:t>
      </w:r>
    </w:p>
    <w:p>
      <w:pPr>
        <w:pStyle w:val="Heading1"/>
      </w:pPr>
      <w:r>
        <w:t>8. Estructura de datos del Applicant (GET applicant data)</w:t>
      </w:r>
    </w:p>
    <w:p>
      <w:r>
        <w:t>Endpoint: GET https://api.sumsub.com/resources/applicants/{applicantId}/one — también disponible por externalUserId propio: GET /resources/applicants/-;externalUserId={externalUserId}/one.</w:t>
      </w:r>
    </w:p>
    <w:p>
      <w:pPr>
        <w:pStyle w:val="Heading2"/>
      </w:pPr>
      <w:r>
        <w:t>8.1 Campos raíz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ID de Sumsub (24 caracteres) — PK natural del lado de Sumsub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externalUserId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ID interno de Dropi — FK real hacia la tabla de usuarios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Fecha de creación del perfil en Sumsub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clientId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Cuenta de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inspectionId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Agrupa todas las acciones de documentos de este applicant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applicantPlatform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Origen del registro: API, Web, Android, iOS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individual o company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lang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Idioma ISO 639-1 declarado por el usuario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requiredIdDocs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Config de qué documentos/pasos exige el nivel asignado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tags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Etiquetas asignadas (uso interno/Dashboard)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Objeto anidado: reviewStatus, reviewResult.reviewAnswer, attemptCnt, createDate, reviewDate</w:t>
            </w:r>
          </w:p>
        </w:tc>
      </w:tr>
    </w:tbl>
    <w:p/>
    <w:p>
      <w:pPr>
        <w:pStyle w:val="Heading2"/>
      </w:pPr>
      <w:r>
        <w:t>8.2 info vs. fixedInfo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685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fixedInfo</w:t>
            </w:r>
          </w:p>
        </w:tc>
        <w:tc>
          <w:tcPr>
            <w:tcW w:type="dxa" w:w="3685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info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Origen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Lo que el usuario declaró (SDK/API, antes de subir documentos)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Lo que Sumsub extrajo y validó de los documentos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Confiabilidad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Autodeclarado, no verificado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Verificado contra el documento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Uso recomendado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Prellenar formularios / mostrar "lo que el usuario dijo"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Fuente de verdad para KYC — usada para decisiones de compliance</w:t>
            </w:r>
          </w:p>
        </w:tc>
      </w:tr>
    </w:tbl>
    <w:p/>
    <w:p>
      <w:pPr>
        <w:pStyle w:val="Heading2"/>
      </w:pPr>
      <w:r>
        <w:t>8.3 Campos comunes de info / fixedInfo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26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402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firstName, lastName, middleName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"DANIEL"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 idioma/alfabeto original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firstNameEn, lastNameEn, middleNameEn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"DANIEL"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Transliterado a latín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aliasName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"DAN BROOKS"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Nombre alternativo conocido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gender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"M" / "F" / "X"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"1989-07-16"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Fecha de nacimiento (ISO 8601)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placeOfBirth, countryOfBirth, stateOfBirth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"Berlin", "DEU"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country, nationality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"DEU"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ISO 3166-1 alpha-3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"12345678"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Número de identificación tributaria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addresses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array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Ver 8.4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idDocs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array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Ver 8.5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companyInfo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Solo si type: "company" — ver 8.6</w:t>
            </w:r>
          </w:p>
        </w:tc>
      </w:tr>
    </w:tbl>
    <w:p/>
    <w:p>
      <w:pPr>
        <w:pStyle w:val="Heading2"/>
      </w:pPr>
      <w:r>
        <w:t>8.4 Array idDocs (documentos de identidad)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26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402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idDocType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"PASSPORT"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Tipo: pasaporte, cédula, licencia, etc.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ocrDocType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"deu.id.type1"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Subtipo interno de OCR (país+tipo)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"DEU"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País emisor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number, additionalNumber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"LGXX359T8"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Número(s) de documento — dato sensible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issuedDate, validUntil, extendedValidUntil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"2028-09-04"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Vigencia — clave para monitoreo de expiración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issueAuthority, issueAuthorityCode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"Govt of DEU"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termless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true/false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 el documento no expira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mrzLine1/2/3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Zona legible por máquina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withNfc, nfcInfo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true/false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 se leyó chip NFC (pasaportes electrónicos)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Dirección impresa en el documento (mismo shape que addresses)</w:t>
            </w:r>
          </w:p>
        </w:tc>
      </w:tr>
    </w:tbl>
    <w:p/>
    <w:p>
      <w:pPr>
        <w:pStyle w:val="Heading2"/>
      </w:pPr>
      <w:r>
        <w:t>8.5 Array addresses</w:t>
      </w:r>
    </w:p>
    <w:p>
      <w:r>
        <w:t>Campos: street, subStreet, buildingName, buildingNumber, flatNumber, town, state, stateCode, postCode, country, formattedAddress, más sus variantes *En transliteradas, y locationPosition (lat/lon) con source (manual, gps, extraído de documento).</w:t>
      </w:r>
    </w:p>
    <w:p>
      <w:pPr>
        <w:pStyle w:val="Heading2"/>
      </w:pPr>
      <w:r>
        <w:t>8.6 companyInfo (KYB — personas jurídicas)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companyName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"Acme Corporation Ltd"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registrationNumber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"00123456"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"GBR" (ISO 3166-1 alfa-3, jurisdicción de registro)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legalAddress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"30 High Street, London"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incorporatedOn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"2015-07-16"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"limitedLiabilityCompany" (forma jurídica)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taxId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"00000000F" (número identificador fiscal/tributario)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objeto estructurado (calle, ciudad, código postal)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beneficiaries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array — applicantId, roles (ubo, shareholder, director), % participación</w:t>
            </w:r>
          </w:p>
        </w:tc>
      </w:tr>
    </w:tbl>
    <w:p/>
    <w:p>
      <w:r>
        <w:t>Para empresas, los documentos suben con idDocType: COMPANY_DOC — el subtipo específico (ej. certificado de constitución) va en ocrDocType.</w:t>
      </w:r>
    </w:p>
    <w:p>
      <w:pPr>
        <w:pStyle w:val="Heading2"/>
      </w:pPr>
      <w:r>
        <w:t>8.7 questionnaires</w:t>
      </w:r>
    </w:p>
    <w:p>
      <w:r>
        <w:t>Contiene cuestionarios configurados por nivel de verificación o país — datos capturados dentro del WebSDK que no son extraíbles por OCR. Cada pregunta tiene un id único, y las respuestas aparecen en campos value o values. Estructura: sections (agrupan preguntas) → items (preguntas individuales).</w:t>
      </w:r>
    </w:p>
    <w:p>
      <w:pPr>
        <w:pStyle w:val="Heading1"/>
      </w:pPr>
      <w:r>
        <w:t>9. Flujos propuestos por Dropi (contexto del mapeo)</w:t>
      </w:r>
    </w:p>
    <w:p>
      <w:r>
        <w:t>Dropi definió dos flujos de validación con Sumsub, insumo directo para el mapeo de las secciones 10 y 11:</w:t>
      </w:r>
    </w:p>
    <w:p>
      <w:pPr>
        <w:pStyle w:val="Heading2"/>
      </w:pPr>
      <w:r>
        <w:t>Flujo 1 — Validación KYC del usuario de la cuenta (persona natural)</w:t>
      </w:r>
    </w:p>
    <w:p>
      <w:r>
        <w:t>Email + código de verificación → consentimiento → creación del applicant en Sumsub → captura vía SDK (Nacionalidad, Tipo de documento, Carga de imagen) → Liveness → verificación por SMS → etapa de validación final (GREEN/RED). Si RED, entra a procedimiento de compliance.</w:t>
      </w:r>
    </w:p>
    <w:p>
      <w:pPr>
        <w:pStyle w:val="Heading2"/>
      </w:pPr>
      <w:r>
        <w:t>Flujo 2 — Datos de facturación (Natural o Jurídica)</w:t>
      </w:r>
    </w:p>
    <w:p>
      <w:r>
        <w:t>Se pregunta el tipo de persona. Si Natural y son los mismos datos del dueño de la cuenta, se reutiliza el applicant del Flujo 1 sin resubir documentos. Si es una persona natural distinta, se dispara un flujo de KYC completo nuevo para esa persona. Si es Jurídica (KYB), los campos varían por país — requiere formulario dinámico. Toda la captura ocurre dentro del WebSDK de Sumsub; los campos no extraíbles por OCR (email de facturación, teléfono, régimen fiscal) se capturan como cuestionario dentro del mismo WebSDK.</w:t>
      </w:r>
    </w:p>
    <w:p>
      <w:pPr>
        <w:pStyle w:val="Heading1"/>
      </w:pPr>
      <w:r>
        <w:t>10. Mapeo API → Formulario de Datos Personales (KYC)</w:t>
      </w:r>
    </w:p>
    <w:p>
      <w:r>
        <w:t>Fuente: campos_datos_personales.csv — 3 grupos de países: Colombia; Costa Rica/Guatemala/Argentina/Venezuela/Paraguay; Chile/Perú/Ecuador/Panamá/México. Los campos son prácticamente idénticos entre los 3 grupos (solo cambia la agrupación visual del formulario).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Campo del formulario</w:t>
            </w:r>
          </w:p>
        </w:tc>
        <w:tc>
          <w:tcPr>
            <w:tcW w:type="dxa" w:w="3402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Objeto/campo API Sumsub</w:t>
            </w:r>
          </w:p>
        </w:tc>
        <w:tc>
          <w:tcPr>
            <w:tcW w:type="dxa" w:w="255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Primer nombre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info.firstName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OCR — verificado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Segundo nombre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info.middleName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OCR — verificado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Primer apellido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info.lastName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OCR — verificado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Segundo apellido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 campo propio — parte de info.lastName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ABIERTO: definir si se divide lastName en dos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Fecha de nacimiento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info.dob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OCR — verificado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Nacionalidad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info.nationality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Declarado en "Inputs SDK", luego conciliado por OCR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Tipo de documento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idDocs[].idDocType + ocrDocType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Selector — define qué pide el SDK después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Número de documento ("Documento" en Colombia)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idDocs[].number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OCR — verificado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Foto frontal del documento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idDocs[] (imagen, add-verification-documents)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OCR — único campo de carga, sin reverso en este formulario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Correo de contacto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email (nivel applicant)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Verificado por código enviado al correo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Código de país + Teléfono celular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phone (nivel applicant)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ABIERTO: confirmar formato E.164 combinado vs. separado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Dirección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fixedInfo.addresses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Autodeclarado, NO verificado por OCR (no hay upload de Proof of Address)</w:t>
            </w:r>
          </w:p>
        </w:tc>
      </w:tr>
    </w:tbl>
    <w:p/>
    <w:p>
      <w:pPr>
        <w:pStyle w:val="Heading1"/>
      </w:pPr>
      <w:r>
        <w:t>11. Mapeo API → Formulario de Datos de Facturación (Natural / Jurídica)</w:t>
      </w:r>
    </w:p>
    <w:p>
      <w:r>
        <w:t>Fuente: Copia de Información Datos de Facturación LATAM.csv — 9 países: Paraguay, Argentina, Colombia, Perú, Guatemala, Costa Rica, México, Ecuador, Chile.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Campo del formulario</w:t>
            </w:r>
          </w:p>
        </w:tc>
        <w:tc>
          <w:tcPr>
            <w:tcW w:type="dxa" w:w="226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Persona Natural</w:t>
            </w:r>
          </w:p>
        </w:tc>
        <w:tc>
          <w:tcPr>
            <w:tcW w:type="dxa" w:w="226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Persona Jurídica</w:t>
            </w:r>
          </w:p>
        </w:tc>
        <w:tc>
          <w:tcPr>
            <w:tcW w:type="dxa" w:w="1984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Objeto API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Nombre Completo / Razón Social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info.firstName + lastName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info.companyInfo.companyName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info (OCR)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Número doc. identidad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idDocs[].number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info.idDocs (OCR)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Número doc. tributario (RUC/NIT/CUIT/RFC)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idDocs[].number o companyInfo.taxId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companyInfo.taxId / registrationNumber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info — a definir con TI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Tipo de documento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idDocs[].idDocType + ocrDocType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companyInfo.type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info (OCR)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Documentos a subir (RUC, RUT, Cámara Comercio...)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idDocs[]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idDocType: COMPANY_DOC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info.idDocs (OCR)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Dirección / Localidad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addresses[].town/state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companyInfo.address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info (OCR) — riesgo de formato vs. taxonomía fiscal local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Email para facturación (obligatorio)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Respuesta del cuestionario WebSDK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Respuesta del cuestionario WebSDK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questionnaires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Número de teléfono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Respuesta del cuestionario WebSDK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Respuesta del cuestionario WebSDK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questionnaires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Régimen Fiscal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Respuesta del cuestionario WebSDK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Respuesta del cuestionario WebSDK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questionnaires</w:t>
            </w:r>
          </w:p>
        </w:tc>
      </w:tr>
    </w:tbl>
    <w:p/>
    <w:p>
      <w:pPr>
        <w:spacing w:before="80" w:after="160"/>
        <w:shd w:val="clear" w:color="auto" w:fill="F5F3FF"/>
      </w:pPr>
      <w:r>
        <w:rPr>
          <w:b/>
          <w:color w:val="6D28D9"/>
          <w:sz w:val="19"/>
        </w:rPr>
        <w:t xml:space="preserve">Todo pasa por el WebSDK de Sumsub (Flujo 2): </w:t>
      </w:r>
      <w:r>
        <w:rPr>
          <w:sz w:val="19"/>
        </w:rPr>
        <w:t>los campos no extraíbles por OCR (Email facturación, Teléfono, Régimen Fiscal) se capturan como cuestionario dentro del mismo WebSDK — no en un formulario aparte de Dropi. Se leen de questionnaires vía GET applicant data, no del webhook. Pendiente con TI: fijar un id estable por pregunta para no depender de texto/posición.</w:t>
      </w:r>
    </w:p>
    <w:p>
      <w:pPr>
        <w:spacing w:before="80" w:after="160"/>
        <w:shd w:val="clear" w:color="auto" w:fill="F5F3FF"/>
      </w:pPr>
      <w:r>
        <w:rPr>
          <w:b/>
          <w:color w:val="6D28D9"/>
          <w:sz w:val="19"/>
        </w:rPr>
        <w:t xml:space="preserve">Caso: facturación = mismos datos personales (persona natural): </w:t>
      </w:r>
      <w:r>
        <w:rPr>
          <w:sz w:val="19"/>
        </w:rPr>
        <w:t>no se resuben documentos — el usuario solo llena los campos adicionales del cuestionario. Encaja con el mecanismo nativo de Applicant Action sobre el mismo applicantId del KYC: se mantiene externalUserId/applicantId, los datos de identidad se leen del applicant original, y solo el cuestionario de facturación llega atado a un applicantActionId nuevo. Pendiente confirmar con TI.</w:t>
      </w:r>
    </w:p>
    <w:p>
      <w:pPr>
        <w:pStyle w:val="Heading2"/>
      </w:pPr>
      <w:r>
        <w:t>11.1 Documentos a subir por país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País</w:t>
            </w:r>
          </w:p>
        </w:tc>
        <w:tc>
          <w:tcPr>
            <w:tcW w:type="dxa" w:w="3969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Persona Natural</w:t>
            </w:r>
          </w:p>
        </w:tc>
        <w:tc>
          <w:tcPr>
            <w:tcW w:type="dxa" w:w="3969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Persona Jurídica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Paraguay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RUC, Cédula (frente+dorso, mismo archivo)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Constancia de RUC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Argentina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Constancia ARCA, DNI (frente+dorso)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Constancia ARCA + Estatuto/Contrato Social (IGJ)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Colombia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Cédula, RUT actualizado (PDF)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RUT completo + Cámara de Comercio (&lt;90 días)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Perú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DNI, Ficha RUC (SUNAT)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Ficha RUC ("Activo"/"Habido") + Partida Registral (Sunarp)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Guatemala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Constancia RTU (SAT), DPI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Constancia RTU + Nombramiento de Representante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Costa Rica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Cédula (ambos lados) + RUT (opcional)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Personería Jurídica (&lt;1 mes) + Constancia Tributaria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México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Constancia de Situación Fiscal (CSF)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Constancia de Situación Fiscal (CSF)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Ecuador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Cédula + RUC (PDF SRI, si aplica)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RUC (SRI) + Cédula del Representante Legal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Chile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Cédula (ambos lados)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E-RUT (SII) + Constitución de Sociedad (opcional)</w:t>
            </w:r>
          </w:p>
        </w:tc>
      </w:tr>
    </w:tbl>
    <w:p/>
    <w:p>
      <w:r>
        <w:t>KYB (persona jurídica) tiene campos específicos por país → requiere formulario/cuestionario dinámico por país, no un esquema fijo de columnas en companyInfo.</w:t>
      </w:r>
    </w:p>
    <w:p>
      <w:pPr>
        <w:pStyle w:val="Heading1"/>
      </w:pPr>
      <w:r>
        <w:t>12. Puntos abiertos — pendientes de confirmar con TI</w:t>
      </w:r>
    </w:p>
    <w:p>
      <w:pPr>
        <w:pStyle w:val="ListBullet"/>
      </w:pPr>
      <w:r>
        <w:t>¿Se confirma que el caso "persona natural = dueño de cuenta" se implementará como Applicant Action sobre el applicant de KYC existente (no un applicant nuevo)?</w:t>
      </w:r>
    </w:p>
    <w:p>
      <w:pPr>
        <w:pStyle w:val="ListBullet"/>
      </w:pPr>
      <w:r>
        <w:t>¿Se va a fijar un id estable por pregunta del cuestionario de facturación, para no depender de texto/posición al leer questionnaires?</w:t>
      </w:r>
    </w:p>
    <w:p>
      <w:pPr>
        <w:pStyle w:val="ListBullet"/>
      </w:pPr>
      <w:r>
        <w:t>¿El número tributario (RUC/NIT/CUIT) se captura como documento adicional (idDocs) o también por cuestionario en países sin documento físico que lo contenga?</w:t>
      </w:r>
    </w:p>
    <w:p>
      <w:pPr>
        <w:pStyle w:val="ListBullet"/>
      </w:pPr>
      <w:r>
        <w:t>"Segundo apellido" no tiene campo propio en la API — ¿se divide info.lastName en dos partes del lado de Dropi, o se guarda completo?</w:t>
      </w:r>
    </w:p>
    <w:p>
      <w:pPr>
        <w:pStyle w:val="ListBullet"/>
      </w:pPr>
      <w:r>
        <w:t>Formato de teléfono: ¿Sumsub espera el número combinado en E.164, o Dropi concatena código de país + número antes de enviar?</w:t>
      </w:r>
    </w:p>
    <w:p>
      <w:pPr>
        <w:pStyle w:val="ListBullet"/>
      </w:pPr>
      <w:r>
        <w:t>Dirección de datos personales es autodeclarada (fixedInfo, sin Proof of Address) — ¿debe tratarse visualmente distinto de los campos verificados por OCR?</w:t>
      </w:r>
    </w:p>
    <w:p>
      <w:pPr>
        <w:pStyle w:val="ListBullet"/>
      </w:pPr>
      <w:r>
        <w:t>Localidad de facturación (Departamento/Cantón/Municipio): ¿requiere mapeo propio de Dropi hacia códigos oficiales de cada autoridad fiscal, en vez de depender del texto libre de addresses?</w:t>
      </w:r>
    </w:p>
    <w:p>
      <w:pPr>
        <w:pStyle w:val="ListBullet"/>
      </w:pPr>
      <w:r>
        <w:t>Vigencias de documentos con caducidad corta (Cámara de Comercio &lt;90 días, Personería Jurídica &lt;1 mes): ¿quién revalida periódicamente — Dropi vía idDocs[].validUntil, o reverificación manual?</w:t>
      </w:r>
    </w:p>
    <w:p>
      <w:pPr>
        <w:pStyle w:val="Heading1"/>
      </w:pPr>
      <w:r>
        <w:t>13. Referencias</w:t>
      </w:r>
    </w:p>
    <w:p>
      <w:r>
        <w:t>Documentación oficial de Sumsub consultada para esta investigación:</w:t>
      </w:r>
    </w:p>
    <w:p>
      <w:pPr>
        <w:pStyle w:val="ListBullet"/>
      </w:pPr>
      <w:hyperlink r:id="rId9">
        <w:r>
          <w:rPr>
            <w:color w:val="0563C1"/>
            <w:u w:val="single"/>
            <w:sz w:val="20"/>
          </w:rPr>
          <w:t>Get started with the API — https://docs.sumsub.com/reference/get-started-with-api</w:t>
        </w:r>
      </w:hyperlink>
    </w:p>
    <w:p>
      <w:pPr>
        <w:pStyle w:val="ListBullet"/>
      </w:pPr>
      <w:hyperlink r:id="rId10">
        <w:r>
          <w:rPr>
            <w:color w:val="0563C1"/>
            <w:u w:val="single"/>
            <w:sz w:val="20"/>
          </w:rPr>
          <w:t>Authentication — https://docs.sumsub.com/reference/authentication</w:t>
        </w:r>
      </w:hyperlink>
    </w:p>
    <w:p>
      <w:pPr>
        <w:pStyle w:val="ListBullet"/>
      </w:pPr>
      <w:hyperlink r:id="rId11">
        <w:r>
          <w:rPr>
            <w:color w:val="0563C1"/>
            <w:u w:val="single"/>
            <w:sz w:val="20"/>
          </w:rPr>
          <w:t>Receive and interpret results via API — https://docs.sumsub.com/docs/receive-and-interpret-results-via-api</w:t>
        </w:r>
      </w:hyperlink>
    </w:p>
    <w:p>
      <w:pPr>
        <w:pStyle w:val="ListBullet"/>
      </w:pPr>
      <w:hyperlink r:id="rId12">
        <w:r>
          <w:rPr>
            <w:color w:val="0563C1"/>
            <w:u w:val="single"/>
            <w:sz w:val="20"/>
          </w:rPr>
          <w:t>User verification webhooks — https://docs.sumsub.com/docs/user-verification-webhooks</w:t>
        </w:r>
      </w:hyperlink>
    </w:p>
    <w:p>
      <w:pPr>
        <w:pStyle w:val="ListBullet"/>
      </w:pPr>
      <w:hyperlink r:id="rId13">
        <w:r>
          <w:rPr>
            <w:color w:val="0563C1"/>
            <w:u w:val="single"/>
            <w:sz w:val="20"/>
          </w:rPr>
          <w:t>Webhooks — https://docs.sumsub.com/docs/webhooks</w:t>
        </w:r>
      </w:hyperlink>
    </w:p>
    <w:p>
      <w:pPr>
        <w:pStyle w:val="ListBullet"/>
      </w:pPr>
      <w:hyperlink r:id="rId14">
        <w:r>
          <w:rPr>
            <w:color w:val="0563C1"/>
            <w:u w:val="single"/>
            <w:sz w:val="20"/>
          </w:rPr>
          <w:t>Webhook manager — https://docs.sumsub.com/docs/webhook-manager</w:t>
        </w:r>
      </w:hyperlink>
    </w:p>
    <w:p>
      <w:pPr>
        <w:pStyle w:val="ListBullet"/>
      </w:pPr>
      <w:hyperlink r:id="rId15">
        <w:r>
          <w:rPr>
            <w:color w:val="0563C1"/>
            <w:u w:val="single"/>
            <w:sz w:val="20"/>
          </w:rPr>
          <w:t>Verification steps — https://docs.sumsub.com/docs/verification-steps</w:t>
        </w:r>
      </w:hyperlink>
    </w:p>
    <w:p>
      <w:pPr>
        <w:pStyle w:val="ListBullet"/>
      </w:pPr>
      <w:hyperlink r:id="rId16">
        <w:r>
          <w:rPr>
            <w:color w:val="0563C1"/>
            <w:u w:val="single"/>
            <w:sz w:val="20"/>
          </w:rPr>
          <w:t>Clarify rejection reason — https://docs.sumsub.com/reference/clarify-rejection-reason</w:t>
        </w:r>
      </w:hyperlink>
    </w:p>
    <w:p>
      <w:pPr>
        <w:pStyle w:val="ListBullet"/>
      </w:pPr>
      <w:hyperlink r:id="rId17">
        <w:r>
          <w:rPr>
            <w:color w:val="0563C1"/>
            <w:u w:val="single"/>
            <w:sz w:val="20"/>
          </w:rPr>
          <w:t>Request applicant check — https://docs.sumsub.com/reference/request-applicant-check</w:t>
        </w:r>
      </w:hyperlink>
    </w:p>
    <w:p>
      <w:pPr>
        <w:pStyle w:val="ListBullet"/>
      </w:pPr>
      <w:hyperlink r:id="rId18">
        <w:r>
          <w:rPr>
            <w:color w:val="0563C1"/>
            <w:u w:val="single"/>
            <w:sz w:val="20"/>
          </w:rPr>
          <w:t>Resubmission requested — https://docs.sumsub.com/reference/resubmission-requested</w:t>
        </w:r>
      </w:hyperlink>
    </w:p>
    <w:p>
      <w:pPr>
        <w:pStyle w:val="ListBullet"/>
      </w:pPr>
      <w:hyperlink r:id="rId19">
        <w:r>
          <w:rPr>
            <w:color w:val="0563C1"/>
            <w:u w:val="single"/>
            <w:sz w:val="20"/>
          </w:rPr>
          <w:t>Get applicant data — https://docs.sumsub.com/reference/get-applicant-data</w:t>
        </w:r>
      </w:hyperlink>
    </w:p>
    <w:p>
      <w:pPr>
        <w:pStyle w:val="ListBullet"/>
      </w:pPr>
      <w:hyperlink r:id="rId20">
        <w:r>
          <w:rPr>
            <w:color w:val="0563C1"/>
            <w:u w:val="single"/>
            <w:sz w:val="20"/>
          </w:rPr>
          <w:t>Get applicant data (by externalUserId) — https://docs.sumsub.com/reference/get-applicant-data-via-externaluserid</w:t>
        </w:r>
      </w:hyperlink>
    </w:p>
    <w:p/>
    <w:p>
      <w:r>
        <w:rPr>
          <w:i/>
          <w:color w:val="475569"/>
          <w:sz w:val="18"/>
        </w:rPr>
        <w:t>Fuentes internas de Dropi: campos_datos_personales.csv y "Copia de Información Datos de Facturación LATAM.xlsx - DATOS FACTURACIÓN.csv" (dropi-agente-pm/hub/documentos/Formularios/), y el diagrama de flujos KYC/KYB compartido por Paula Macias.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C1D9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D28D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D28D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sumsub.com/reference/get-started-with-api" TargetMode="External"/><Relationship Id="rId10" Type="http://schemas.openxmlformats.org/officeDocument/2006/relationships/hyperlink" Target="https://docs.sumsub.com/reference/authentication" TargetMode="External"/><Relationship Id="rId11" Type="http://schemas.openxmlformats.org/officeDocument/2006/relationships/hyperlink" Target="https://docs.sumsub.com/docs/receive-and-interpret-results-via-api" TargetMode="External"/><Relationship Id="rId12" Type="http://schemas.openxmlformats.org/officeDocument/2006/relationships/hyperlink" Target="https://docs.sumsub.com/docs/user-verification-webhooks" TargetMode="External"/><Relationship Id="rId13" Type="http://schemas.openxmlformats.org/officeDocument/2006/relationships/hyperlink" Target="https://docs.sumsub.com/docs/webhooks" TargetMode="External"/><Relationship Id="rId14" Type="http://schemas.openxmlformats.org/officeDocument/2006/relationships/hyperlink" Target="https://docs.sumsub.com/docs/webhook-manager" TargetMode="External"/><Relationship Id="rId15" Type="http://schemas.openxmlformats.org/officeDocument/2006/relationships/hyperlink" Target="https://docs.sumsub.com/docs/verification-steps" TargetMode="External"/><Relationship Id="rId16" Type="http://schemas.openxmlformats.org/officeDocument/2006/relationships/hyperlink" Target="https://docs.sumsub.com/reference/clarify-rejection-reason" TargetMode="External"/><Relationship Id="rId17" Type="http://schemas.openxmlformats.org/officeDocument/2006/relationships/hyperlink" Target="https://docs.sumsub.com/reference/request-applicant-check" TargetMode="External"/><Relationship Id="rId18" Type="http://schemas.openxmlformats.org/officeDocument/2006/relationships/hyperlink" Target="https://docs.sumsub.com/reference/resubmission-requested" TargetMode="External"/><Relationship Id="rId19" Type="http://schemas.openxmlformats.org/officeDocument/2006/relationships/hyperlink" Target="https://docs.sumsub.com/reference/get-applicant-data" TargetMode="External"/><Relationship Id="rId20" Type="http://schemas.openxmlformats.org/officeDocument/2006/relationships/hyperlink" Target="https://docs.sumsub.com/reference/get-applicant-data-via-externaluser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