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F797" w14:textId="2152C558" w:rsidR="00FD66F0" w:rsidRPr="00DC169A" w:rsidRDefault="00DC169A" w:rsidP="00DC169A">
      <w:pPr>
        <w:shd w:val="clear" w:color="auto" w:fill="FFFFFF"/>
        <w:tabs>
          <w:tab w:val="num" w:pos="720"/>
        </w:tabs>
        <w:spacing w:before="100" w:beforeAutospacing="1" w:after="100" w:afterAutospacing="1" w:line="360" w:lineRule="auto"/>
        <w:ind w:left="1095" w:hanging="360"/>
        <w:jc w:val="center"/>
        <w:rPr>
          <w:rFonts w:ascii="Arial" w:hAnsi="Arial" w:cs="Arial"/>
          <w:sz w:val="24"/>
          <w:szCs w:val="24"/>
        </w:rPr>
      </w:pPr>
      <w:r w:rsidRPr="00DC169A">
        <w:rPr>
          <w:rFonts w:ascii="Arial" w:hAnsi="Arial" w:cs="Arial"/>
          <w:color w:val="2D3B45"/>
          <w:sz w:val="24"/>
          <w:szCs w:val="24"/>
          <w:shd w:val="clear" w:color="auto" w:fill="FFFFFF"/>
        </w:rPr>
        <w:t xml:space="preserve">TALLER 2: ESTRUCTURA DE CAPITAL </w:t>
      </w:r>
    </w:p>
    <w:p w14:paraId="3F8C42E7" w14:textId="005CE46D" w:rsidR="00FD66F0" w:rsidRDefault="0005450C" w:rsidP="00B36B1B">
      <w:pPr>
        <w:shd w:val="clear" w:color="auto" w:fill="FFFFFF"/>
        <w:spacing w:before="100" w:beforeAutospacing="1" w:after="100" w:afterAutospacing="1" w:line="360" w:lineRule="auto"/>
        <w:ind w:left="1095"/>
        <w:jc w:val="center"/>
        <w:rPr>
          <w:rFonts w:ascii="Arial" w:eastAsia="Times New Roman" w:hAnsi="Arial" w:cs="Arial"/>
          <w:color w:val="2D3B45"/>
          <w:sz w:val="24"/>
          <w:szCs w:val="24"/>
          <w:lang w:eastAsia="es-EC"/>
        </w:rPr>
      </w:pPr>
      <w:r>
        <w:rPr>
          <w:rFonts w:ascii="Arial" w:eastAsia="Times New Roman" w:hAnsi="Arial" w:cs="Arial"/>
          <w:color w:val="2D3B45"/>
          <w:sz w:val="24"/>
          <w:szCs w:val="24"/>
          <w:lang w:eastAsia="es-EC"/>
        </w:rPr>
        <w:t>ESTRUCTURA DE CAPITAL Y RENTABILIDAD EN EMPRESAS MANUFACTURE</w:t>
      </w:r>
      <w:r w:rsidR="00B36B1B">
        <w:rPr>
          <w:rFonts w:ascii="Arial" w:eastAsia="Times New Roman" w:hAnsi="Arial" w:cs="Arial"/>
          <w:color w:val="2D3B45"/>
          <w:sz w:val="24"/>
          <w:szCs w:val="24"/>
          <w:lang w:eastAsia="es-EC"/>
        </w:rPr>
        <w:t>RAS DEL ECUADOR</w:t>
      </w:r>
    </w:p>
    <w:p w14:paraId="44516D51" w14:textId="77777777" w:rsidR="004444E7" w:rsidRDefault="004444E7" w:rsidP="00B36B1B">
      <w:pPr>
        <w:shd w:val="clear" w:color="auto" w:fill="FFFFFF"/>
        <w:spacing w:before="100" w:beforeAutospacing="1" w:after="100" w:afterAutospacing="1" w:line="360" w:lineRule="auto"/>
        <w:ind w:left="1095"/>
        <w:jc w:val="center"/>
        <w:rPr>
          <w:rFonts w:ascii="Arial" w:eastAsia="Times New Roman" w:hAnsi="Arial" w:cs="Arial"/>
          <w:color w:val="2D3B45"/>
          <w:sz w:val="24"/>
          <w:szCs w:val="24"/>
          <w:lang w:eastAsia="es-EC"/>
        </w:rPr>
      </w:pPr>
    </w:p>
    <w:p w14:paraId="14C08A03" w14:textId="43DB5668" w:rsidR="00DC793D" w:rsidRPr="00DC793D" w:rsidRDefault="008874C7" w:rsidP="00DF4509">
      <w:pPr>
        <w:shd w:val="clear" w:color="auto" w:fill="FFFFFF"/>
        <w:spacing w:before="100" w:beforeAutospacing="1" w:after="100" w:afterAutospacing="1" w:line="360" w:lineRule="auto"/>
        <w:jc w:val="center"/>
        <w:rPr>
          <w:rFonts w:ascii="Arial" w:eastAsia="Times New Roman" w:hAnsi="Arial" w:cs="Arial"/>
          <w:color w:val="2D3B45"/>
          <w:sz w:val="24"/>
          <w:szCs w:val="24"/>
          <w:lang w:eastAsia="es-EC"/>
        </w:rPr>
      </w:pPr>
      <w:r>
        <w:rPr>
          <w:rFonts w:ascii="Arial" w:eastAsia="Times New Roman" w:hAnsi="Arial" w:cs="Arial"/>
          <w:color w:val="2D3B45"/>
          <w:sz w:val="24"/>
          <w:szCs w:val="24"/>
          <w:lang w:eastAsia="es-EC"/>
        </w:rPr>
        <w:t>RESUMEN</w:t>
      </w:r>
    </w:p>
    <w:p w14:paraId="4ABD8D64" w14:textId="1AE27A11" w:rsidR="00EF2E13" w:rsidRDefault="00DC793D" w:rsidP="004444E7">
      <w:pPr>
        <w:spacing w:after="0" w:line="480" w:lineRule="auto"/>
        <w:jc w:val="both"/>
      </w:pPr>
      <w:r w:rsidRPr="006F66D0">
        <w:rPr>
          <w:rFonts w:ascii="Arial" w:hAnsi="Arial" w:cs="Arial"/>
          <w:color w:val="000000"/>
          <w:sz w:val="24"/>
          <w:szCs w:val="24"/>
          <w:shd w:val="clear" w:color="auto" w:fill="FFFFFF"/>
        </w:rPr>
        <w:t xml:space="preserve">El objetivo de este estudio es descubrir los determinantes de la estructura de capital de las empresas del sector </w:t>
      </w:r>
      <w:r w:rsidR="009D5B3D" w:rsidRPr="006F66D0">
        <w:rPr>
          <w:rFonts w:ascii="Arial" w:hAnsi="Arial" w:cs="Arial"/>
          <w:color w:val="000000"/>
          <w:sz w:val="24"/>
          <w:szCs w:val="24"/>
          <w:shd w:val="clear" w:color="auto" w:fill="FFFFFF"/>
        </w:rPr>
        <w:t>M</w:t>
      </w:r>
      <w:r w:rsidRPr="006F66D0">
        <w:rPr>
          <w:rFonts w:ascii="Arial" w:hAnsi="Arial" w:cs="Arial"/>
          <w:color w:val="000000"/>
          <w:sz w:val="24"/>
          <w:szCs w:val="24"/>
          <w:shd w:val="clear" w:color="auto" w:fill="FFFFFF"/>
        </w:rPr>
        <w:t>anufacturero del Ecuador, durante el periodo 201</w:t>
      </w:r>
      <w:r w:rsidR="00227DDC" w:rsidRPr="006F66D0">
        <w:rPr>
          <w:rFonts w:ascii="Arial" w:hAnsi="Arial" w:cs="Arial"/>
          <w:color w:val="000000"/>
          <w:sz w:val="24"/>
          <w:szCs w:val="24"/>
          <w:shd w:val="clear" w:color="auto" w:fill="FFFFFF"/>
        </w:rPr>
        <w:t>7</w:t>
      </w:r>
      <w:r w:rsidRPr="006F66D0">
        <w:rPr>
          <w:rFonts w:ascii="Arial" w:hAnsi="Arial" w:cs="Arial"/>
          <w:color w:val="000000"/>
          <w:sz w:val="24"/>
          <w:szCs w:val="24"/>
          <w:shd w:val="clear" w:color="auto" w:fill="FFFFFF"/>
        </w:rPr>
        <w:t>-201</w:t>
      </w:r>
      <w:r w:rsidR="00227DDC" w:rsidRPr="006F66D0">
        <w:rPr>
          <w:rFonts w:ascii="Arial" w:hAnsi="Arial" w:cs="Arial"/>
          <w:color w:val="000000"/>
          <w:sz w:val="24"/>
          <w:szCs w:val="24"/>
          <w:shd w:val="clear" w:color="auto" w:fill="FFFFFF"/>
        </w:rPr>
        <w:t>9</w:t>
      </w:r>
      <w:r w:rsidR="00C66C26" w:rsidRPr="006F66D0">
        <w:rPr>
          <w:rFonts w:ascii="Arial" w:hAnsi="Arial" w:cs="Arial"/>
          <w:color w:val="000000"/>
          <w:sz w:val="24"/>
          <w:szCs w:val="24"/>
          <w:shd w:val="clear" w:color="auto" w:fill="FFFFFF"/>
        </w:rPr>
        <w:t xml:space="preserve"> mediante datos panel</w:t>
      </w:r>
      <w:r w:rsidR="00A41D69" w:rsidRPr="006F66D0">
        <w:rPr>
          <w:rFonts w:ascii="Arial" w:hAnsi="Arial" w:cs="Arial"/>
          <w:color w:val="000000"/>
          <w:sz w:val="24"/>
          <w:szCs w:val="24"/>
          <w:shd w:val="clear" w:color="auto" w:fill="FFFFFF"/>
        </w:rPr>
        <w:t xml:space="preserve"> </w:t>
      </w:r>
      <w:r w:rsidRPr="006F66D0">
        <w:rPr>
          <w:rFonts w:ascii="Arial" w:hAnsi="Arial" w:cs="Arial"/>
          <w:color w:val="000000"/>
          <w:sz w:val="24"/>
          <w:szCs w:val="24"/>
          <w:shd w:val="clear" w:color="auto" w:fill="FFFFFF"/>
        </w:rPr>
        <w:t>y qué teoría condensa mejor las decisiones de financiación de las empresas. La importancia del mismo, reside en verificar los determinantes del endeudamiento en empresas y comparar los resultados con las predicciones de las teorías</w:t>
      </w:r>
      <w:r w:rsidR="00760D08" w:rsidRPr="006F66D0">
        <w:rPr>
          <w:rFonts w:ascii="Arial" w:hAnsi="Arial" w:cs="Arial"/>
          <w:color w:val="000000"/>
          <w:sz w:val="24"/>
          <w:szCs w:val="24"/>
          <w:shd w:val="clear" w:color="auto" w:fill="FFFFFF"/>
        </w:rPr>
        <w:t>.</w:t>
      </w:r>
      <w:r w:rsidRPr="006F66D0">
        <w:rPr>
          <w:rFonts w:ascii="Arial" w:hAnsi="Arial" w:cs="Arial"/>
          <w:color w:val="000000"/>
          <w:sz w:val="24"/>
          <w:szCs w:val="24"/>
          <w:shd w:val="clear" w:color="auto" w:fill="FFFFFF"/>
        </w:rPr>
        <w:t xml:space="preserve">  Como metodología se ha empleado una estructura de datos </w:t>
      </w:r>
      <w:r w:rsidR="00BC3F44" w:rsidRPr="006F66D0">
        <w:rPr>
          <w:rFonts w:ascii="Arial" w:hAnsi="Arial" w:cs="Arial"/>
          <w:color w:val="000000"/>
          <w:sz w:val="24"/>
          <w:szCs w:val="24"/>
          <w:shd w:val="clear" w:color="auto" w:fill="FFFFFF"/>
        </w:rPr>
        <w:t>existente en la Superintendencia de Compañías</w:t>
      </w:r>
      <w:r w:rsidR="00495C79" w:rsidRPr="006F66D0">
        <w:rPr>
          <w:rFonts w:ascii="Arial" w:hAnsi="Arial" w:cs="Arial"/>
          <w:color w:val="000000"/>
          <w:sz w:val="24"/>
          <w:szCs w:val="24"/>
          <w:shd w:val="clear" w:color="auto" w:fill="FFFFFF"/>
        </w:rPr>
        <w:t xml:space="preserve">, Valores y Seguros </w:t>
      </w:r>
      <w:r w:rsidR="00180FD0" w:rsidRPr="006F66D0">
        <w:rPr>
          <w:rFonts w:ascii="Arial" w:hAnsi="Arial" w:cs="Arial"/>
          <w:color w:val="000000"/>
          <w:sz w:val="24"/>
          <w:szCs w:val="24"/>
          <w:shd w:val="clear" w:color="auto" w:fill="FFFFFF"/>
        </w:rPr>
        <w:t>(</w:t>
      </w:r>
      <w:r w:rsidR="00495C79" w:rsidRPr="006F66D0">
        <w:rPr>
          <w:rFonts w:ascii="Arial" w:hAnsi="Arial" w:cs="Arial"/>
          <w:color w:val="000000"/>
          <w:sz w:val="24"/>
          <w:szCs w:val="24"/>
          <w:shd w:val="clear" w:color="auto" w:fill="FFFFFF"/>
        </w:rPr>
        <w:t>SUPERCIAS</w:t>
      </w:r>
      <w:r w:rsidR="00736CCC" w:rsidRPr="006F66D0">
        <w:rPr>
          <w:rFonts w:ascii="Arial" w:hAnsi="Arial" w:cs="Arial"/>
          <w:color w:val="000000"/>
          <w:sz w:val="24"/>
          <w:szCs w:val="24"/>
          <w:shd w:val="clear" w:color="auto" w:fill="FFFFFF"/>
        </w:rPr>
        <w:t>) a través del sector Societario</w:t>
      </w:r>
      <w:r w:rsidR="00EF2E13" w:rsidRPr="006F66D0">
        <w:rPr>
          <w:rFonts w:ascii="Arial" w:hAnsi="Arial" w:cs="Arial"/>
          <w:color w:val="000000"/>
          <w:sz w:val="24"/>
          <w:szCs w:val="24"/>
          <w:shd w:val="clear" w:color="auto" w:fill="FFFFFF"/>
        </w:rPr>
        <w:t xml:space="preserve">, tomando los </w:t>
      </w:r>
      <w:r w:rsidR="00EF2E13" w:rsidRPr="006F66D0">
        <w:rPr>
          <w:rFonts w:ascii="Arial" w:hAnsi="Arial" w:cs="Arial"/>
          <w:sz w:val="24"/>
          <w:szCs w:val="24"/>
        </w:rPr>
        <w:t>indicadores financieros de compañías activas</w:t>
      </w:r>
      <w:r w:rsidR="005D6236" w:rsidRPr="006F66D0">
        <w:rPr>
          <w:rFonts w:ascii="Arial" w:hAnsi="Arial" w:cs="Arial"/>
          <w:sz w:val="24"/>
          <w:szCs w:val="24"/>
        </w:rPr>
        <w:t xml:space="preserve">. Para realizar la investigación </w:t>
      </w:r>
      <w:r w:rsidR="00250482" w:rsidRPr="006F66D0">
        <w:rPr>
          <w:rFonts w:ascii="Arial" w:hAnsi="Arial" w:cs="Arial"/>
          <w:sz w:val="24"/>
          <w:szCs w:val="24"/>
        </w:rPr>
        <w:t>se utilizó el software</w:t>
      </w:r>
      <w:r w:rsidR="00E7380D" w:rsidRPr="006F66D0">
        <w:rPr>
          <w:rFonts w:ascii="Arial" w:hAnsi="Arial" w:cs="Arial"/>
          <w:sz w:val="24"/>
          <w:szCs w:val="24"/>
        </w:rPr>
        <w:t xml:space="preserve"> de GRETL</w:t>
      </w:r>
      <w:r w:rsidR="00963E35">
        <w:rPr>
          <w:rFonts w:ascii="Arial" w:hAnsi="Arial" w:cs="Arial"/>
          <w:sz w:val="24"/>
          <w:szCs w:val="24"/>
        </w:rPr>
        <w:t>,</w:t>
      </w:r>
      <w:r w:rsidR="005E617F" w:rsidRPr="006F66D0">
        <w:rPr>
          <w:rFonts w:ascii="Arial" w:hAnsi="Arial" w:cs="Arial"/>
          <w:sz w:val="24"/>
          <w:szCs w:val="24"/>
        </w:rPr>
        <w:t xml:space="preserve"> </w:t>
      </w:r>
      <w:r w:rsidR="00963E35">
        <w:rPr>
          <w:rFonts w:ascii="Arial" w:hAnsi="Arial" w:cs="Arial"/>
          <w:color w:val="000000"/>
          <w:sz w:val="24"/>
          <w:szCs w:val="24"/>
          <w:shd w:val="clear" w:color="auto" w:fill="FFFFFF"/>
        </w:rPr>
        <w:t>t</w:t>
      </w:r>
      <w:r w:rsidR="00EF123D" w:rsidRPr="006F66D0">
        <w:rPr>
          <w:rFonts w:ascii="Arial" w:hAnsi="Arial" w:cs="Arial"/>
          <w:color w:val="000000"/>
          <w:sz w:val="24"/>
          <w:szCs w:val="24"/>
          <w:shd w:val="clear" w:color="auto" w:fill="FFFFFF"/>
        </w:rPr>
        <w:t>ras la revisión de la literatura se ha utilizado</w:t>
      </w:r>
      <w:r w:rsidR="005E617F" w:rsidRPr="006F66D0">
        <w:rPr>
          <w:rFonts w:ascii="Arial" w:hAnsi="Arial" w:cs="Arial"/>
          <w:sz w:val="24"/>
          <w:szCs w:val="24"/>
        </w:rPr>
        <w:t xml:space="preserve"> las variables</w:t>
      </w:r>
      <w:r w:rsidR="00963E35">
        <w:rPr>
          <w:rFonts w:ascii="Arial" w:hAnsi="Arial" w:cs="Arial"/>
          <w:sz w:val="24"/>
          <w:szCs w:val="24"/>
        </w:rPr>
        <w:t xml:space="preserve"> de </w:t>
      </w:r>
      <w:r w:rsidR="005E617F" w:rsidRPr="006F66D0">
        <w:rPr>
          <w:rFonts w:ascii="Arial" w:hAnsi="Arial" w:cs="Arial"/>
          <w:sz w:val="24"/>
          <w:szCs w:val="24"/>
        </w:rPr>
        <w:t xml:space="preserve">endeudamiento del activo, endeudamiento del patrimonio, endeudamiento del patrimonio corriente y endeudamiento del patrimonio no corriente con respecto a la rentabilidad de las empresas </w:t>
      </w:r>
      <w:r w:rsidR="00144903">
        <w:rPr>
          <w:rFonts w:ascii="Arial" w:hAnsi="Arial" w:cs="Arial"/>
          <w:sz w:val="24"/>
          <w:szCs w:val="24"/>
        </w:rPr>
        <w:t>manufactureras</w:t>
      </w:r>
      <w:r w:rsidR="005E617F" w:rsidRPr="006F66D0">
        <w:rPr>
          <w:rFonts w:ascii="Arial" w:hAnsi="Arial" w:cs="Arial"/>
          <w:sz w:val="24"/>
          <w:szCs w:val="24"/>
        </w:rPr>
        <w:t xml:space="preserve"> que busca analizar su relación con el ROE y ROA</w:t>
      </w:r>
      <w:r w:rsidR="005E617F">
        <w:t>.</w:t>
      </w:r>
    </w:p>
    <w:p w14:paraId="3EB5CB77" w14:textId="77777777" w:rsidR="00635E9A" w:rsidRDefault="00635E9A" w:rsidP="004444E7">
      <w:pPr>
        <w:spacing w:after="0" w:line="480" w:lineRule="auto"/>
        <w:jc w:val="both"/>
      </w:pPr>
    </w:p>
    <w:p w14:paraId="6D9385A5" w14:textId="3D9263F7" w:rsidR="00635E9A" w:rsidRDefault="00635E9A" w:rsidP="00DF4509">
      <w:pPr>
        <w:pStyle w:val="Prrafodelista"/>
        <w:numPr>
          <w:ilvl w:val="0"/>
          <w:numId w:val="2"/>
        </w:numPr>
        <w:spacing w:after="0" w:line="480" w:lineRule="auto"/>
        <w:jc w:val="both"/>
        <w:rPr>
          <w:rFonts w:ascii="Arial" w:hAnsi="Arial" w:cs="Arial"/>
        </w:rPr>
      </w:pPr>
      <w:r w:rsidRPr="00DF4509">
        <w:rPr>
          <w:rFonts w:ascii="Arial" w:hAnsi="Arial" w:cs="Arial"/>
        </w:rPr>
        <w:t>INTRODUCCI</w:t>
      </w:r>
      <w:r w:rsidR="00AE33DE" w:rsidRPr="00DF4509">
        <w:rPr>
          <w:rFonts w:ascii="Arial" w:hAnsi="Arial" w:cs="Arial"/>
        </w:rPr>
        <w:t>ON</w:t>
      </w:r>
    </w:p>
    <w:p w14:paraId="11F227A4" w14:textId="77777777" w:rsidR="00DF4509" w:rsidRDefault="00DF4509" w:rsidP="00DF4509">
      <w:pPr>
        <w:spacing w:after="0" w:line="480" w:lineRule="auto"/>
        <w:jc w:val="both"/>
        <w:rPr>
          <w:rFonts w:ascii="Arial" w:hAnsi="Arial" w:cs="Arial"/>
        </w:rPr>
      </w:pPr>
    </w:p>
    <w:p w14:paraId="4EAFD66E" w14:textId="77777777" w:rsidR="007C2DE1" w:rsidRPr="007C2DE1" w:rsidRDefault="007C2DE1" w:rsidP="005078BC">
      <w:p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r w:rsidRPr="007C2DE1">
        <w:rPr>
          <w:rFonts w:ascii="Arial" w:eastAsia="Times New Roman" w:hAnsi="Arial" w:cs="Arial"/>
          <w:color w:val="000000"/>
          <w:sz w:val="24"/>
          <w:szCs w:val="24"/>
          <w:lang w:eastAsia="es-EC"/>
        </w:rPr>
        <w:t xml:space="preserve">El trabajo de Modigliani &amp; Miller fue el primero en exponer qué existe detrás de las decisiones de la estructura de capital de las corporaciones. En su trabajo, estos argumentaron que en un mercado perfecto el valor de las empresas no </w:t>
      </w:r>
      <w:r w:rsidRPr="007C2DE1">
        <w:rPr>
          <w:rFonts w:ascii="Arial" w:eastAsia="Times New Roman" w:hAnsi="Arial" w:cs="Arial"/>
          <w:color w:val="000000"/>
          <w:sz w:val="24"/>
          <w:szCs w:val="24"/>
          <w:lang w:eastAsia="es-EC"/>
        </w:rPr>
        <w:lastRenderedPageBreak/>
        <w:t>está influenciado por las decisiones de la estructura de capital. Esto implicaba que la existencia de impuestos, costos de agencia, costos de capital, costos de bancarrota y la asimetría de información no tenían relevancia alguna en la mezcla de deuda-capital y que más bien su valor dependía de sus activos.</w:t>
      </w:r>
    </w:p>
    <w:p w14:paraId="3BEA8485" w14:textId="1AE8B82C" w:rsidR="00B14CFD" w:rsidRDefault="007C2DE1" w:rsidP="009F15DF">
      <w:p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r w:rsidRPr="007C2DE1">
        <w:rPr>
          <w:rFonts w:ascii="Arial" w:eastAsia="Times New Roman" w:hAnsi="Arial" w:cs="Arial"/>
          <w:color w:val="000000"/>
          <w:sz w:val="24"/>
          <w:szCs w:val="24"/>
          <w:lang w:eastAsia="es-EC"/>
        </w:rPr>
        <w:t>Sin embargo, existían ciertos problemas en su teoría: esta no integraba situaciones de la vida real, es decir, no incluía las imperfecciones de mercado. Años después, ambos autores publicaron un artículo indicando que habían incurrido en un error al no adaptar sus teorías a las condiciones reales</w:t>
      </w:r>
      <w:r w:rsidRPr="005078BC">
        <w:rPr>
          <w:rFonts w:ascii="Arial" w:eastAsia="Times New Roman" w:hAnsi="Arial" w:cs="Arial"/>
          <w:color w:val="000000"/>
          <w:sz w:val="24"/>
          <w:szCs w:val="24"/>
          <w:lang w:eastAsia="es-EC"/>
        </w:rPr>
        <w:t xml:space="preserve">. </w:t>
      </w:r>
      <w:r w:rsidRPr="007C2DE1">
        <w:rPr>
          <w:rFonts w:ascii="Arial" w:eastAsia="Times New Roman" w:hAnsi="Arial" w:cs="Arial"/>
          <w:color w:val="000000"/>
          <w:sz w:val="24"/>
          <w:szCs w:val="24"/>
          <w:lang w:eastAsia="es-EC"/>
        </w:rPr>
        <w:t>Ambos reconocieron las ventajas impositivas particulares del uso de la deuda, pues contraer deuda genera intereses que son deducibles del pago de impuestos. En otras palabras, afirmaron que los impuestos sí eran determinantes de la estructura de capital, contrario a su previo trabajo de investigación. Sin embargo, advirtieron que, a pesar de las ventajas del endeudamiento, las empresas no deberían contraer el máximo de deuda potencialmente garantizada por sus activos, puesto que principalmente esto pudiera incrementar las probabilidades de caer en bancarrota.</w:t>
      </w:r>
      <w:r w:rsidR="005078BC">
        <w:rPr>
          <w:rFonts w:ascii="Arial" w:eastAsia="Times New Roman" w:hAnsi="Arial" w:cs="Arial"/>
          <w:color w:val="000000"/>
          <w:sz w:val="24"/>
          <w:szCs w:val="24"/>
          <w:lang w:eastAsia="es-EC"/>
        </w:rPr>
        <w:t xml:space="preserve"> </w:t>
      </w:r>
    </w:p>
    <w:p w14:paraId="65C53EEE" w14:textId="77777777" w:rsidR="007F2939" w:rsidRDefault="007F2939" w:rsidP="009F15DF">
      <w:p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p>
    <w:p w14:paraId="4BF65D18" w14:textId="43108B28" w:rsidR="009F15DF" w:rsidRDefault="009F15DF" w:rsidP="009F15DF">
      <w:pPr>
        <w:pStyle w:val="Prrafodelista"/>
        <w:numPr>
          <w:ilvl w:val="0"/>
          <w:numId w:val="2"/>
        </w:num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r>
        <w:rPr>
          <w:rFonts w:ascii="Arial" w:eastAsia="Times New Roman" w:hAnsi="Arial" w:cs="Arial"/>
          <w:color w:val="000000"/>
          <w:sz w:val="24"/>
          <w:szCs w:val="24"/>
          <w:lang w:eastAsia="es-EC"/>
        </w:rPr>
        <w:t>MARCO TEORICO</w:t>
      </w:r>
    </w:p>
    <w:p w14:paraId="4A11E485" w14:textId="77777777" w:rsidR="00565BA7" w:rsidRDefault="00565BA7" w:rsidP="00565BA7">
      <w:pPr>
        <w:pStyle w:val="Prrafodelista"/>
        <w:shd w:val="clear" w:color="auto" w:fill="FFFFFF"/>
        <w:spacing w:before="100" w:beforeAutospacing="1" w:after="100" w:afterAutospacing="1" w:line="360" w:lineRule="auto"/>
        <w:ind w:left="1080"/>
        <w:jc w:val="both"/>
        <w:rPr>
          <w:rFonts w:ascii="Arial" w:eastAsia="Times New Roman" w:hAnsi="Arial" w:cs="Arial"/>
          <w:color w:val="000000"/>
          <w:sz w:val="24"/>
          <w:szCs w:val="24"/>
          <w:lang w:eastAsia="es-EC"/>
        </w:rPr>
      </w:pPr>
    </w:p>
    <w:p w14:paraId="50FE84EA" w14:textId="44D68847" w:rsidR="009F15DF" w:rsidRPr="00966A7B" w:rsidRDefault="009F15DF" w:rsidP="009F15DF">
      <w:pPr>
        <w:shd w:val="clear" w:color="auto" w:fill="FFFFFF"/>
        <w:spacing w:before="100" w:beforeAutospacing="1" w:after="100" w:afterAutospacing="1" w:line="360" w:lineRule="auto"/>
        <w:jc w:val="both"/>
        <w:rPr>
          <w:rFonts w:ascii="Arial" w:eastAsia="Times New Roman" w:hAnsi="Arial" w:cs="Arial"/>
          <w:b/>
          <w:bCs/>
          <w:color w:val="000000"/>
          <w:sz w:val="24"/>
          <w:szCs w:val="24"/>
          <w:lang w:eastAsia="es-EC"/>
        </w:rPr>
      </w:pPr>
      <w:r w:rsidRPr="00966A7B">
        <w:rPr>
          <w:rFonts w:ascii="Arial" w:eastAsia="Times New Roman" w:hAnsi="Arial" w:cs="Arial"/>
          <w:b/>
          <w:bCs/>
          <w:color w:val="000000"/>
          <w:sz w:val="24"/>
          <w:szCs w:val="24"/>
          <w:lang w:eastAsia="es-EC"/>
        </w:rPr>
        <w:t>Estructura del Capital</w:t>
      </w:r>
    </w:p>
    <w:p w14:paraId="7A36BB25" w14:textId="77777777" w:rsidR="00FB6685" w:rsidRPr="00FB6685" w:rsidRDefault="00FB6685" w:rsidP="00762552">
      <w:p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r w:rsidRPr="00FB6685">
        <w:rPr>
          <w:rFonts w:ascii="Arial" w:eastAsia="Times New Roman" w:hAnsi="Arial" w:cs="Arial"/>
          <w:color w:val="000000"/>
          <w:sz w:val="24"/>
          <w:szCs w:val="24"/>
          <w:lang w:eastAsia="es-EC"/>
        </w:rPr>
        <w:t>El trabajo de Modigliani &amp; Miller fue el primero en exponer qué existe detrás de las decisiones de la estructura de capital de las corporaciones. En su trabajo, estos argumentaron que en un mercado perfecto el valor de las empresas no está influenciado por las decisiones de la estructura de capital. Esto implicaba que la existencia de impuestos, costos de agencia, costos de capital, costos de bancarrota y la asimetría de información no tenían relevancia alguna en la mezcla de deuda-capital y que más bien su valor dependía de sus activos.</w:t>
      </w:r>
    </w:p>
    <w:p w14:paraId="20B66E82" w14:textId="4ECAD21E" w:rsidR="00FB6685" w:rsidRDefault="00FB6685" w:rsidP="00762552">
      <w:p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r w:rsidRPr="00FB6685">
        <w:rPr>
          <w:rFonts w:ascii="Arial" w:eastAsia="Times New Roman" w:hAnsi="Arial" w:cs="Arial"/>
          <w:color w:val="000000"/>
          <w:sz w:val="24"/>
          <w:szCs w:val="24"/>
          <w:lang w:eastAsia="es-EC"/>
        </w:rPr>
        <w:t xml:space="preserve">Sin embargo, existían ciertos problemas en su teoría: esta no integraba situaciones de la vida real, es decir, no incluía las imperfecciones de mercado. Años después, ambos autores publicaron un artículo indicando que habían </w:t>
      </w:r>
      <w:r w:rsidRPr="00FB6685">
        <w:rPr>
          <w:rFonts w:ascii="Arial" w:eastAsia="Times New Roman" w:hAnsi="Arial" w:cs="Arial"/>
          <w:color w:val="000000"/>
          <w:sz w:val="24"/>
          <w:szCs w:val="24"/>
          <w:lang w:eastAsia="es-EC"/>
        </w:rPr>
        <w:lastRenderedPageBreak/>
        <w:t>incurrido en un error al no adaptar sus teorías a las condiciones reales</w:t>
      </w:r>
      <w:r w:rsidR="00762552">
        <w:rPr>
          <w:rFonts w:ascii="Arial" w:eastAsia="Times New Roman" w:hAnsi="Arial" w:cs="Arial"/>
          <w:color w:val="000000"/>
          <w:sz w:val="24"/>
          <w:szCs w:val="24"/>
          <w:lang w:eastAsia="es-EC"/>
        </w:rPr>
        <w:t xml:space="preserve">. </w:t>
      </w:r>
      <w:r w:rsidRPr="00FB6685">
        <w:rPr>
          <w:rFonts w:ascii="Arial" w:eastAsia="Times New Roman" w:hAnsi="Arial" w:cs="Arial"/>
          <w:color w:val="000000"/>
          <w:sz w:val="24"/>
          <w:szCs w:val="24"/>
          <w:lang w:eastAsia="es-EC"/>
        </w:rPr>
        <w:t xml:space="preserve"> Ambos reconocieron las ventajas impositivas particulares del uso de la deuda, pues contraer deuda genera intereses que son deducibles del pago de impuestos. En otras palabras, afirmaron que los impuestos sí eran determinantes de la estructura de capital, contrario a su previo trabajo de investigación. Sin embargo, advirtieron que, a pesar de las ventajas del endeudamiento, las empresas no deberían contraer el máximo de deuda potencialmente garantizada por sus activos, puesto que principalmente esto pudiera incrementar las probabilidades de caer en bancarrota.</w:t>
      </w:r>
      <w:r w:rsidR="007F2939" w:rsidRPr="007F2939">
        <w:rPr>
          <w:rFonts w:ascii="Arial" w:eastAsia="Times New Roman" w:hAnsi="Arial" w:cs="Arial"/>
          <w:color w:val="000000"/>
          <w:sz w:val="24"/>
          <w:szCs w:val="24"/>
          <w:lang w:eastAsia="es-EC"/>
        </w:rPr>
        <w:t xml:space="preserve"> </w:t>
      </w:r>
      <w:r w:rsidR="007F2939">
        <w:rPr>
          <w:rFonts w:ascii="Arial" w:eastAsia="Times New Roman" w:hAnsi="Arial" w:cs="Arial"/>
          <w:color w:val="000000"/>
          <w:sz w:val="24"/>
          <w:szCs w:val="24"/>
          <w:lang w:eastAsia="es-EC"/>
        </w:rPr>
        <w:t xml:space="preserve">(Modigliani &amp; </w:t>
      </w:r>
      <w:proofErr w:type="spellStart"/>
      <w:r w:rsidR="003E6069">
        <w:rPr>
          <w:rFonts w:ascii="Arial" w:eastAsia="Times New Roman" w:hAnsi="Arial" w:cs="Arial"/>
          <w:color w:val="000000"/>
          <w:sz w:val="24"/>
          <w:szCs w:val="24"/>
          <w:lang w:eastAsia="es-EC"/>
        </w:rPr>
        <w:t>Miler</w:t>
      </w:r>
      <w:proofErr w:type="spellEnd"/>
      <w:r w:rsidR="007F2939">
        <w:rPr>
          <w:rFonts w:ascii="Arial" w:eastAsia="Times New Roman" w:hAnsi="Arial" w:cs="Arial"/>
          <w:color w:val="000000"/>
          <w:sz w:val="24"/>
          <w:szCs w:val="24"/>
          <w:lang w:eastAsia="es-EC"/>
        </w:rPr>
        <w:t>, 1963)</w:t>
      </w:r>
    </w:p>
    <w:p w14:paraId="1CCCABFD" w14:textId="77777777"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t>Liquidez Corriente</w:t>
      </w:r>
    </w:p>
    <w:p w14:paraId="72EEC719" w14:textId="3C306327"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Este índice relaciona los activos corrientes frente a los pasivos de la misma naturaleza, cuando más alto sea el coeficiente, la empresa tendrá mayores posibilidades de efectuar sus pagos a corto plazo</w:t>
      </w:r>
      <w:sdt>
        <w:sdtPr>
          <w:rPr>
            <w:rFonts w:ascii="Arial" w:hAnsi="Arial"/>
            <w:sz w:val="24"/>
            <w:szCs w:val="24"/>
          </w:rPr>
          <w:id w:val="873887796"/>
          <w:citation/>
        </w:sdtPr>
        <w:sdtEndPr/>
        <w:sdtContent>
          <w:r w:rsidRPr="00966A7B">
            <w:rPr>
              <w:rFonts w:ascii="Arial" w:hAnsi="Arial"/>
              <w:sz w:val="24"/>
              <w:szCs w:val="24"/>
            </w:rPr>
            <w:fldChar w:fldCharType="begin"/>
          </w:r>
          <w:r w:rsidRPr="00966A7B">
            <w:rPr>
              <w:rFonts w:ascii="Arial" w:hAnsi="Arial"/>
              <w:sz w:val="24"/>
              <w:szCs w:val="24"/>
            </w:rPr>
            <w:instrText xml:space="preserve"> CITATION Sup \l 12298 </w:instrText>
          </w:r>
          <w:r w:rsidRPr="00966A7B">
            <w:rPr>
              <w:rFonts w:ascii="Arial" w:hAnsi="Arial"/>
              <w:sz w:val="24"/>
              <w:szCs w:val="24"/>
            </w:rPr>
            <w:fldChar w:fldCharType="separate"/>
          </w:r>
          <w:r w:rsidR="000246A0">
            <w:rPr>
              <w:rFonts w:ascii="Arial" w:hAnsi="Arial"/>
              <w:noProof/>
              <w:sz w:val="24"/>
              <w:szCs w:val="24"/>
            </w:rPr>
            <w:t xml:space="preserve"> </w:t>
          </w:r>
          <w:r w:rsidR="000246A0" w:rsidRPr="000246A0">
            <w:rPr>
              <w:rFonts w:ascii="Arial" w:hAnsi="Arial"/>
              <w:noProof/>
              <w:sz w:val="24"/>
              <w:szCs w:val="24"/>
            </w:rPr>
            <w:t>(Superintendencia de Compañias, Valores y Seguros, s.f.)</w:t>
          </w:r>
          <w:r w:rsidRPr="00966A7B">
            <w:rPr>
              <w:rFonts w:ascii="Arial" w:hAnsi="Arial"/>
              <w:sz w:val="24"/>
              <w:szCs w:val="24"/>
            </w:rPr>
            <w:fldChar w:fldCharType="end"/>
          </w:r>
        </w:sdtContent>
      </w:sdt>
    </w:p>
    <w:p w14:paraId="4D590125" w14:textId="77777777" w:rsidR="00966A7B" w:rsidRPr="00966A7B" w:rsidRDefault="00966A7B" w:rsidP="00966A7B">
      <w:pPr>
        <w:spacing w:after="0" w:line="480" w:lineRule="auto"/>
        <w:ind w:firstLine="720"/>
        <w:jc w:val="center"/>
        <w:rPr>
          <w:rFonts w:ascii="Arial" w:hAnsi="Arial" w:cs="Arial"/>
          <w:sz w:val="20"/>
          <w:szCs w:val="20"/>
        </w:rPr>
      </w:pPr>
      <m:oMathPara>
        <m:oMath>
          <m:r>
            <w:rPr>
              <w:rFonts w:ascii="Cambria Math" w:hAnsi="Cambria Math" w:cs="Arial"/>
              <w:sz w:val="20"/>
              <w:szCs w:val="20"/>
            </w:rPr>
            <m:t>Liquidez corriente=</m:t>
          </m:r>
          <m:f>
            <m:fPr>
              <m:ctrlPr>
                <w:rPr>
                  <w:rFonts w:ascii="Cambria Math" w:hAnsi="Cambria Math" w:cs="Arial"/>
                  <w:sz w:val="20"/>
                  <w:szCs w:val="20"/>
                </w:rPr>
              </m:ctrlPr>
            </m:fPr>
            <m:num>
              <m:r>
                <w:rPr>
                  <w:rFonts w:ascii="Cambria Math" w:hAnsi="Cambria Math" w:cs="Arial"/>
                  <w:sz w:val="20"/>
                  <w:szCs w:val="20"/>
                </w:rPr>
                <m:t>Activo Corriente</m:t>
              </m:r>
            </m:num>
            <m:den>
              <m:r>
                <w:rPr>
                  <w:rFonts w:ascii="Cambria Math" w:hAnsi="Cambria Math" w:cs="Arial"/>
                  <w:sz w:val="20"/>
                  <w:szCs w:val="20"/>
                </w:rPr>
                <m:t>Pasivo Corriente</m:t>
              </m:r>
            </m:den>
          </m:f>
        </m:oMath>
      </m:oMathPara>
    </w:p>
    <w:p w14:paraId="6A8DB40B" w14:textId="77777777"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t>Endeudamiento del Activo</w:t>
      </w:r>
    </w:p>
    <w:p w14:paraId="5940EE66" w14:textId="09B5737F"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 xml:space="preserve">Este índice permite determinar el nivel de autonomía financiera. Cuando el índice es alto indica que la empresa depende mucho de sus acreedores y que dispone de una limitada capacidad de endeudamiento, o lo que es lo mismo, se está descapitalizando y función con una estructura financiera más arriesgada </w:t>
      </w:r>
      <w:sdt>
        <w:sdtPr>
          <w:rPr>
            <w:rFonts w:ascii="Arial" w:hAnsi="Arial"/>
            <w:sz w:val="24"/>
            <w:szCs w:val="24"/>
          </w:rPr>
          <w:id w:val="-536283461"/>
          <w:citation/>
        </w:sdtPr>
        <w:sdtEndPr/>
        <w:sdtContent>
          <w:r w:rsidRPr="00966A7B">
            <w:rPr>
              <w:rFonts w:ascii="Arial" w:hAnsi="Arial"/>
              <w:sz w:val="24"/>
              <w:szCs w:val="24"/>
            </w:rPr>
            <w:fldChar w:fldCharType="begin"/>
          </w:r>
          <w:r w:rsidRPr="00966A7B">
            <w:rPr>
              <w:rFonts w:ascii="Arial" w:hAnsi="Arial"/>
              <w:sz w:val="24"/>
              <w:szCs w:val="24"/>
            </w:rPr>
            <w:instrText xml:space="preserve"> CITATION Sup \l 12298 </w:instrText>
          </w:r>
          <w:r w:rsidRPr="00966A7B">
            <w:rPr>
              <w:rFonts w:ascii="Arial" w:hAnsi="Arial"/>
              <w:sz w:val="24"/>
              <w:szCs w:val="24"/>
            </w:rPr>
            <w:fldChar w:fldCharType="separate"/>
          </w:r>
          <w:r w:rsidR="000246A0" w:rsidRPr="000246A0">
            <w:rPr>
              <w:rFonts w:ascii="Arial" w:hAnsi="Arial"/>
              <w:noProof/>
              <w:sz w:val="24"/>
              <w:szCs w:val="24"/>
            </w:rPr>
            <w:t>(Superintendencia de Compañias, Valores y Seguros, s.f.)</w:t>
          </w:r>
          <w:r w:rsidRPr="00966A7B">
            <w:rPr>
              <w:rFonts w:ascii="Arial" w:hAnsi="Arial"/>
              <w:sz w:val="24"/>
              <w:szCs w:val="24"/>
            </w:rPr>
            <w:fldChar w:fldCharType="end"/>
          </w:r>
        </w:sdtContent>
      </w:sdt>
      <w:r w:rsidRPr="00966A7B">
        <w:rPr>
          <w:rFonts w:ascii="Arial" w:hAnsi="Arial"/>
          <w:sz w:val="24"/>
          <w:szCs w:val="24"/>
        </w:rPr>
        <w:t xml:space="preserve"> </w:t>
      </w:r>
    </w:p>
    <w:p w14:paraId="2B06A82E" w14:textId="77777777" w:rsidR="00966A7B" w:rsidRPr="00966A7B" w:rsidRDefault="00966A7B" w:rsidP="00966A7B">
      <w:pPr>
        <w:spacing w:after="0" w:line="480" w:lineRule="auto"/>
        <w:ind w:firstLine="720"/>
        <w:jc w:val="center"/>
        <w:rPr>
          <w:rFonts w:ascii="Arial" w:hAnsi="Arial" w:cs="Arial"/>
          <w:sz w:val="20"/>
          <w:szCs w:val="20"/>
        </w:rPr>
      </w:pPr>
      <m:oMathPara>
        <m:oMathParaPr>
          <m:jc m:val="center"/>
        </m:oMathParaPr>
        <m:oMath>
          <m:r>
            <w:rPr>
              <w:rFonts w:ascii="Cambria Math" w:hAnsi="Cambria Math" w:cs="Arial"/>
              <w:sz w:val="20"/>
              <w:szCs w:val="20"/>
            </w:rPr>
            <m:t>Endeudamiento del activo=</m:t>
          </m:r>
          <m:f>
            <m:fPr>
              <m:ctrlPr>
                <w:rPr>
                  <w:rFonts w:ascii="Cambria Math" w:hAnsi="Cambria Math" w:cs="Arial"/>
                  <w:sz w:val="20"/>
                  <w:szCs w:val="20"/>
                </w:rPr>
              </m:ctrlPr>
            </m:fPr>
            <m:num>
              <m:r>
                <w:rPr>
                  <w:rFonts w:ascii="Cambria Math" w:hAnsi="Cambria Math" w:cs="Arial"/>
                  <w:sz w:val="20"/>
                  <w:szCs w:val="20"/>
                </w:rPr>
                <m:t>Pasivo total</m:t>
              </m:r>
            </m:num>
            <m:den>
              <m:r>
                <w:rPr>
                  <w:rFonts w:ascii="Cambria Math" w:hAnsi="Cambria Math" w:cs="Arial"/>
                  <w:sz w:val="20"/>
                  <w:szCs w:val="20"/>
                </w:rPr>
                <m:t>Activo total</m:t>
              </m:r>
            </m:den>
          </m:f>
        </m:oMath>
      </m:oMathPara>
    </w:p>
    <w:p w14:paraId="396EC07B" w14:textId="77777777"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t>Endeudamiento del Patrimonio</w:t>
      </w:r>
    </w:p>
    <w:p w14:paraId="68DB0B5E" w14:textId="2934554E"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 xml:space="preserve">Este indicador mide el grado de compromiso del patrimonio para con los acreedores de la empresa. No debe entenderse como que los pasivos se puedan pagar con patrimonio, puesto que, en el fondo, ambos constituyen un </w:t>
      </w:r>
      <w:r w:rsidRPr="00966A7B">
        <w:rPr>
          <w:rFonts w:ascii="Arial" w:hAnsi="Arial"/>
          <w:sz w:val="24"/>
          <w:szCs w:val="24"/>
        </w:rPr>
        <w:lastRenderedPageBreak/>
        <w:t xml:space="preserve">compromiso para la empresa </w:t>
      </w:r>
      <w:sdt>
        <w:sdtPr>
          <w:rPr>
            <w:rFonts w:ascii="Arial" w:hAnsi="Arial"/>
            <w:sz w:val="24"/>
            <w:szCs w:val="24"/>
          </w:rPr>
          <w:id w:val="-1018232288"/>
          <w:citation/>
        </w:sdtPr>
        <w:sdtEndPr/>
        <w:sdtContent>
          <w:r w:rsidRPr="00966A7B">
            <w:rPr>
              <w:rFonts w:ascii="Arial" w:hAnsi="Arial"/>
              <w:sz w:val="24"/>
              <w:szCs w:val="24"/>
            </w:rPr>
            <w:fldChar w:fldCharType="begin"/>
          </w:r>
          <w:r w:rsidRPr="00966A7B">
            <w:rPr>
              <w:rFonts w:ascii="Arial" w:hAnsi="Arial"/>
              <w:sz w:val="24"/>
              <w:szCs w:val="24"/>
            </w:rPr>
            <w:instrText xml:space="preserve"> CITATION Sup \l 12298 </w:instrText>
          </w:r>
          <w:r w:rsidRPr="00966A7B">
            <w:rPr>
              <w:rFonts w:ascii="Arial" w:hAnsi="Arial"/>
              <w:sz w:val="24"/>
              <w:szCs w:val="24"/>
            </w:rPr>
            <w:fldChar w:fldCharType="separate"/>
          </w:r>
          <w:r w:rsidR="000246A0" w:rsidRPr="000246A0">
            <w:rPr>
              <w:rFonts w:ascii="Arial" w:hAnsi="Arial"/>
              <w:noProof/>
              <w:sz w:val="24"/>
              <w:szCs w:val="24"/>
            </w:rPr>
            <w:t>(Superintendencia de Compañias, Valores y Seguros, s.f.)</w:t>
          </w:r>
          <w:r w:rsidRPr="00966A7B">
            <w:rPr>
              <w:rFonts w:ascii="Arial" w:hAnsi="Arial"/>
              <w:sz w:val="24"/>
              <w:szCs w:val="24"/>
            </w:rPr>
            <w:fldChar w:fldCharType="end"/>
          </w:r>
        </w:sdtContent>
      </w:sdt>
    </w:p>
    <w:p w14:paraId="36500970" w14:textId="77777777" w:rsidR="00966A7B" w:rsidRPr="00966A7B" w:rsidRDefault="00966A7B" w:rsidP="00966A7B">
      <w:pPr>
        <w:spacing w:after="0" w:line="480" w:lineRule="auto"/>
        <w:ind w:firstLine="720"/>
        <w:jc w:val="center"/>
        <w:rPr>
          <w:rFonts w:ascii="Arial" w:hAnsi="Arial" w:cs="Arial"/>
          <w:sz w:val="20"/>
          <w:szCs w:val="20"/>
        </w:rPr>
      </w:pPr>
      <m:oMathPara>
        <m:oMath>
          <m:r>
            <w:rPr>
              <w:rFonts w:ascii="Cambria Math" w:hAnsi="Cambria Math" w:cs="Arial"/>
              <w:sz w:val="20"/>
              <w:szCs w:val="20"/>
            </w:rPr>
            <m:t>Endeudamiento del patrimonio=</m:t>
          </m:r>
          <m:f>
            <m:fPr>
              <m:ctrlPr>
                <w:rPr>
                  <w:rFonts w:ascii="Cambria Math" w:hAnsi="Cambria Math" w:cs="Arial"/>
                  <w:sz w:val="20"/>
                  <w:szCs w:val="20"/>
                </w:rPr>
              </m:ctrlPr>
            </m:fPr>
            <m:num>
              <m:r>
                <w:rPr>
                  <w:rFonts w:ascii="Cambria Math" w:hAnsi="Cambria Math" w:cs="Arial"/>
                  <w:sz w:val="20"/>
                  <w:szCs w:val="20"/>
                </w:rPr>
                <m:t>Pasivo total</m:t>
              </m:r>
            </m:num>
            <m:den>
              <m:r>
                <w:rPr>
                  <w:rFonts w:ascii="Cambria Math" w:hAnsi="Cambria Math" w:cs="Arial"/>
                  <w:sz w:val="20"/>
                  <w:szCs w:val="20"/>
                </w:rPr>
                <m:t>Patrimonio</m:t>
              </m:r>
            </m:den>
          </m:f>
        </m:oMath>
      </m:oMathPara>
    </w:p>
    <w:p w14:paraId="3786E3EE" w14:textId="77777777" w:rsidR="00966A7B" w:rsidRPr="00966A7B" w:rsidRDefault="00966A7B" w:rsidP="00966A7B">
      <w:pPr>
        <w:spacing w:after="0" w:line="480" w:lineRule="auto"/>
        <w:contextualSpacing/>
        <w:rPr>
          <w:rFonts w:ascii="Arial" w:eastAsiaTheme="majorEastAsia" w:hAnsi="Arial" w:cstheme="majorBidi"/>
          <w:b/>
          <w:i/>
          <w:spacing w:val="-10"/>
          <w:kern w:val="28"/>
          <w:szCs w:val="56"/>
        </w:rPr>
      </w:pPr>
    </w:p>
    <w:p w14:paraId="4CE2FDEC" w14:textId="77777777"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t>Endeudamiento Patrimonial Corriente</w:t>
      </w:r>
    </w:p>
    <w:p w14:paraId="3B34261E" w14:textId="2F4DBA0C"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 xml:space="preserve">Este coeficiente indica el grado de cobertura que puede tener el patrimonio con las obligaciones contraídas a corto plazo, es decir nos ayuda a ver cuál es la dependencia de la empresa con respecto a los fondos prestados a tercero en un plazo menor a 1 año </w:t>
      </w:r>
      <w:sdt>
        <w:sdtPr>
          <w:rPr>
            <w:rFonts w:ascii="Arial" w:hAnsi="Arial"/>
            <w:sz w:val="24"/>
            <w:szCs w:val="24"/>
          </w:rPr>
          <w:id w:val="418528605"/>
          <w:citation/>
        </w:sdtPr>
        <w:sdtEndPr/>
        <w:sdtContent>
          <w:r w:rsidRPr="00966A7B">
            <w:rPr>
              <w:rFonts w:ascii="Arial" w:hAnsi="Arial"/>
              <w:sz w:val="24"/>
              <w:szCs w:val="24"/>
            </w:rPr>
            <w:fldChar w:fldCharType="begin"/>
          </w:r>
          <w:r w:rsidRPr="00966A7B">
            <w:rPr>
              <w:rFonts w:ascii="Arial" w:hAnsi="Arial"/>
              <w:sz w:val="24"/>
              <w:szCs w:val="24"/>
            </w:rPr>
            <w:instrText xml:space="preserve"> CITATION Sup \l 12298 </w:instrText>
          </w:r>
          <w:r w:rsidRPr="00966A7B">
            <w:rPr>
              <w:rFonts w:ascii="Arial" w:hAnsi="Arial"/>
              <w:sz w:val="24"/>
              <w:szCs w:val="24"/>
            </w:rPr>
            <w:fldChar w:fldCharType="separate"/>
          </w:r>
          <w:r w:rsidR="000246A0" w:rsidRPr="000246A0">
            <w:rPr>
              <w:rFonts w:ascii="Arial" w:hAnsi="Arial"/>
              <w:noProof/>
              <w:sz w:val="24"/>
              <w:szCs w:val="24"/>
            </w:rPr>
            <w:t>(Superintendencia de Compañias, Valores y Seguros, s.f.)</w:t>
          </w:r>
          <w:r w:rsidRPr="00966A7B">
            <w:rPr>
              <w:rFonts w:ascii="Arial" w:hAnsi="Arial"/>
              <w:sz w:val="24"/>
              <w:szCs w:val="24"/>
            </w:rPr>
            <w:fldChar w:fldCharType="end"/>
          </w:r>
        </w:sdtContent>
      </w:sdt>
    </w:p>
    <w:p w14:paraId="1D5CDE13" w14:textId="77777777" w:rsidR="00966A7B" w:rsidRPr="00966A7B" w:rsidRDefault="00966A7B" w:rsidP="00966A7B">
      <w:pPr>
        <w:spacing w:after="0" w:line="480" w:lineRule="auto"/>
        <w:ind w:firstLine="720"/>
        <w:jc w:val="center"/>
        <w:rPr>
          <w:rFonts w:ascii="Arial" w:eastAsiaTheme="minorEastAsia" w:hAnsi="Arial"/>
          <w:sz w:val="20"/>
          <w:szCs w:val="20"/>
        </w:rPr>
      </w:pPr>
    </w:p>
    <w:p w14:paraId="5AA72F81" w14:textId="3AC4722C" w:rsidR="00966A7B" w:rsidRPr="00966A7B" w:rsidRDefault="00966A7B" w:rsidP="00966A7B">
      <w:pPr>
        <w:spacing w:after="0" w:line="480" w:lineRule="auto"/>
        <w:ind w:firstLine="720"/>
        <w:jc w:val="center"/>
        <w:rPr>
          <w:rFonts w:ascii="Arial" w:hAnsi="Arial" w:cs="Arial"/>
          <w:sz w:val="20"/>
          <w:szCs w:val="20"/>
        </w:rPr>
      </w:pPr>
      <m:oMathPara>
        <m:oMath>
          <m:r>
            <w:rPr>
              <w:rFonts w:ascii="Cambria Math" w:hAnsi="Cambria Math" w:cs="Arial"/>
              <w:sz w:val="20"/>
              <w:szCs w:val="20"/>
            </w:rPr>
            <m:t>Endeudamiento patrimonial corriente=</m:t>
          </m:r>
          <m:f>
            <m:fPr>
              <m:ctrlPr>
                <w:rPr>
                  <w:rFonts w:ascii="Cambria Math" w:hAnsi="Cambria Math" w:cs="Arial"/>
                  <w:sz w:val="20"/>
                  <w:szCs w:val="20"/>
                </w:rPr>
              </m:ctrlPr>
            </m:fPr>
            <m:num>
              <m:r>
                <w:rPr>
                  <w:rFonts w:ascii="Cambria Math" w:hAnsi="Cambria Math" w:cs="Arial"/>
                  <w:sz w:val="20"/>
                  <w:szCs w:val="20"/>
                </w:rPr>
                <m:t>Cuentas y Documentos por pagar corto plazo</m:t>
              </m:r>
            </m:num>
            <m:den>
              <m:r>
                <w:rPr>
                  <w:rFonts w:ascii="Cambria Math" w:hAnsi="Cambria Math" w:cs="Arial"/>
                  <w:sz w:val="20"/>
                  <w:szCs w:val="20"/>
                </w:rPr>
                <m:t>Patrimonio</m:t>
              </m:r>
            </m:den>
          </m:f>
        </m:oMath>
      </m:oMathPara>
    </w:p>
    <w:p w14:paraId="5AD64333" w14:textId="77777777" w:rsidR="00966A7B" w:rsidRPr="00966A7B" w:rsidRDefault="00966A7B" w:rsidP="00966A7B">
      <w:pPr>
        <w:spacing w:after="0" w:line="480" w:lineRule="auto"/>
        <w:contextualSpacing/>
        <w:rPr>
          <w:rFonts w:ascii="Arial" w:eastAsiaTheme="majorEastAsia" w:hAnsi="Arial" w:cs="Arial"/>
          <w:b/>
          <w:i/>
          <w:spacing w:val="-10"/>
          <w:kern w:val="28"/>
          <w:sz w:val="20"/>
          <w:szCs w:val="20"/>
        </w:rPr>
      </w:pPr>
    </w:p>
    <w:p w14:paraId="68DCE579" w14:textId="77777777"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t>Endeudamiento Patrimonial no Corriente</w:t>
      </w:r>
    </w:p>
    <w:p w14:paraId="7D5C4D03" w14:textId="55ABFF77"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 xml:space="preserve">Este indicador permite medir el grado de dependencia en función a la obtención y procedencia de los recursos financieros a largo plazo en relación con el patrimonio de la empresa </w:t>
      </w:r>
      <w:sdt>
        <w:sdtPr>
          <w:rPr>
            <w:rFonts w:ascii="Arial" w:hAnsi="Arial"/>
            <w:sz w:val="24"/>
            <w:szCs w:val="24"/>
          </w:rPr>
          <w:id w:val="-235022669"/>
          <w:citation/>
        </w:sdtPr>
        <w:sdtEndPr/>
        <w:sdtContent>
          <w:r w:rsidRPr="00966A7B">
            <w:rPr>
              <w:rFonts w:ascii="Arial" w:hAnsi="Arial"/>
              <w:sz w:val="24"/>
              <w:szCs w:val="24"/>
            </w:rPr>
            <w:fldChar w:fldCharType="begin"/>
          </w:r>
          <w:r w:rsidRPr="00966A7B">
            <w:rPr>
              <w:rFonts w:ascii="Arial" w:hAnsi="Arial"/>
              <w:sz w:val="24"/>
              <w:szCs w:val="24"/>
            </w:rPr>
            <w:instrText xml:space="preserve"> CITATION Sup \l 12298 </w:instrText>
          </w:r>
          <w:r w:rsidRPr="00966A7B">
            <w:rPr>
              <w:rFonts w:ascii="Arial" w:hAnsi="Arial"/>
              <w:sz w:val="24"/>
              <w:szCs w:val="24"/>
            </w:rPr>
            <w:fldChar w:fldCharType="separate"/>
          </w:r>
          <w:r w:rsidR="000246A0" w:rsidRPr="000246A0">
            <w:rPr>
              <w:rFonts w:ascii="Arial" w:hAnsi="Arial"/>
              <w:noProof/>
              <w:sz w:val="24"/>
              <w:szCs w:val="24"/>
            </w:rPr>
            <w:t>(Superintendencia de Compañias, Valores y Seguros, s.f.)</w:t>
          </w:r>
          <w:r w:rsidRPr="00966A7B">
            <w:rPr>
              <w:rFonts w:ascii="Arial" w:hAnsi="Arial"/>
              <w:sz w:val="24"/>
              <w:szCs w:val="24"/>
            </w:rPr>
            <w:fldChar w:fldCharType="end"/>
          </w:r>
        </w:sdtContent>
      </w:sdt>
    </w:p>
    <w:p w14:paraId="5903682B" w14:textId="77777777" w:rsidR="00966A7B" w:rsidRPr="00966A7B" w:rsidRDefault="00966A7B" w:rsidP="00966A7B">
      <w:pPr>
        <w:spacing w:after="0" w:line="480" w:lineRule="auto"/>
        <w:ind w:firstLine="720"/>
        <w:jc w:val="center"/>
        <w:rPr>
          <w:rFonts w:ascii="Arial" w:hAnsi="Arial"/>
        </w:rPr>
      </w:pPr>
      <m:oMathPara>
        <m:oMath>
          <m:r>
            <w:rPr>
              <w:rFonts w:ascii="Cambria Math" w:hAnsi="Cambria Math" w:cs="Arial"/>
              <w:sz w:val="20"/>
              <w:szCs w:val="20"/>
            </w:rPr>
            <m:t>Endeudamiento patrimonial no corriente=</m:t>
          </m:r>
          <m:f>
            <m:fPr>
              <m:ctrlPr>
                <w:rPr>
                  <w:rFonts w:ascii="Cambria Math" w:hAnsi="Cambria Math" w:cs="Arial"/>
                  <w:sz w:val="20"/>
                  <w:szCs w:val="20"/>
                </w:rPr>
              </m:ctrlPr>
            </m:fPr>
            <m:num>
              <m:r>
                <w:rPr>
                  <w:rFonts w:ascii="Cambria Math" w:hAnsi="Cambria Math" w:cs="Arial"/>
                  <w:sz w:val="20"/>
                  <w:szCs w:val="20"/>
                </w:rPr>
                <m:t>Cuentas y Documentos por pagar largo plazo</m:t>
              </m:r>
            </m:num>
            <m:den>
              <m:r>
                <w:rPr>
                  <w:rFonts w:ascii="Cambria Math" w:hAnsi="Cambria Math" w:cs="Arial"/>
                  <w:sz w:val="20"/>
                  <w:szCs w:val="20"/>
                </w:rPr>
                <m:t>Patrimonio</m:t>
              </m:r>
            </m:den>
          </m:f>
        </m:oMath>
      </m:oMathPara>
    </w:p>
    <w:p w14:paraId="6259CCCB" w14:textId="77777777" w:rsidR="00AD2114" w:rsidRDefault="00AD2114" w:rsidP="00966A7B">
      <w:pPr>
        <w:spacing w:after="0" w:line="480" w:lineRule="auto"/>
        <w:contextualSpacing/>
        <w:rPr>
          <w:rFonts w:ascii="Arial" w:eastAsiaTheme="majorEastAsia" w:hAnsi="Arial" w:cstheme="majorBidi"/>
          <w:b/>
          <w:iCs/>
          <w:spacing w:val="-10"/>
          <w:kern w:val="28"/>
          <w:sz w:val="24"/>
          <w:szCs w:val="24"/>
        </w:rPr>
      </w:pPr>
    </w:p>
    <w:p w14:paraId="72C03207" w14:textId="50017106"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t>ROE</w:t>
      </w:r>
    </w:p>
    <w:p w14:paraId="524C32C6" w14:textId="77777777"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Este indicador también es denominado como el de rentabilidad financiera, en donde va a relacionar los rendimientos, o las utilidades netas, con los recursos que se necesitan para obtenerla</w:t>
      </w:r>
    </w:p>
    <w:p w14:paraId="5044B610" w14:textId="77777777" w:rsidR="00966A7B" w:rsidRPr="00966A7B" w:rsidRDefault="00966A7B" w:rsidP="00966A7B">
      <w:pPr>
        <w:spacing w:after="0" w:line="480" w:lineRule="auto"/>
        <w:ind w:firstLine="720"/>
        <w:jc w:val="center"/>
        <w:rPr>
          <w:rFonts w:ascii="Arial" w:hAnsi="Arial" w:cs="Arial"/>
          <w:sz w:val="20"/>
          <w:szCs w:val="20"/>
        </w:rPr>
      </w:pPr>
      <m:oMathPara>
        <m:oMath>
          <m:r>
            <w:rPr>
              <w:rFonts w:ascii="Cambria Math" w:hAnsi="Cambria Math" w:cs="Arial"/>
              <w:sz w:val="20"/>
              <w:szCs w:val="20"/>
            </w:rPr>
            <m:t>ROE=</m:t>
          </m:r>
          <m:f>
            <m:fPr>
              <m:ctrlPr>
                <w:rPr>
                  <w:rFonts w:ascii="Cambria Math" w:hAnsi="Cambria Math" w:cs="Arial"/>
                  <w:sz w:val="20"/>
                  <w:szCs w:val="20"/>
                </w:rPr>
              </m:ctrlPr>
            </m:fPr>
            <m:num>
              <m:r>
                <w:rPr>
                  <w:rFonts w:ascii="Cambria Math" w:hAnsi="Cambria Math" w:cs="Arial"/>
                  <w:sz w:val="20"/>
                  <w:szCs w:val="20"/>
                </w:rPr>
                <m:t>Utilidad neta</m:t>
              </m:r>
            </m:num>
            <m:den>
              <m:r>
                <w:rPr>
                  <w:rFonts w:ascii="Cambria Math" w:hAnsi="Cambria Math" w:cs="Arial"/>
                  <w:sz w:val="20"/>
                  <w:szCs w:val="20"/>
                </w:rPr>
                <m:t>Patrimonio</m:t>
              </m:r>
            </m:den>
          </m:f>
        </m:oMath>
      </m:oMathPara>
    </w:p>
    <w:p w14:paraId="77095F5F" w14:textId="77777777" w:rsidR="00966A7B" w:rsidRPr="00966A7B" w:rsidRDefault="00966A7B" w:rsidP="00966A7B">
      <w:pPr>
        <w:spacing w:after="0" w:line="480" w:lineRule="auto"/>
        <w:jc w:val="both"/>
        <w:rPr>
          <w:rFonts w:ascii="Arial" w:hAnsi="Arial"/>
        </w:rPr>
      </w:pPr>
    </w:p>
    <w:p w14:paraId="3D9CBE5E" w14:textId="77777777" w:rsidR="00966A7B" w:rsidRPr="00966A7B" w:rsidRDefault="00966A7B" w:rsidP="00966A7B">
      <w:pPr>
        <w:spacing w:after="0" w:line="480" w:lineRule="auto"/>
        <w:contextualSpacing/>
        <w:rPr>
          <w:rFonts w:ascii="Arial" w:eastAsiaTheme="majorEastAsia" w:hAnsi="Arial" w:cstheme="majorBidi"/>
          <w:b/>
          <w:iCs/>
          <w:spacing w:val="-10"/>
          <w:kern w:val="28"/>
          <w:sz w:val="24"/>
          <w:szCs w:val="24"/>
        </w:rPr>
      </w:pPr>
      <w:r w:rsidRPr="00966A7B">
        <w:rPr>
          <w:rFonts w:ascii="Arial" w:eastAsiaTheme="majorEastAsia" w:hAnsi="Arial" w:cstheme="majorBidi"/>
          <w:b/>
          <w:iCs/>
          <w:spacing w:val="-10"/>
          <w:kern w:val="28"/>
          <w:sz w:val="24"/>
          <w:szCs w:val="24"/>
        </w:rPr>
        <w:lastRenderedPageBreak/>
        <w:t>ROA</w:t>
      </w:r>
    </w:p>
    <w:p w14:paraId="413FE38E" w14:textId="77777777" w:rsidR="00966A7B" w:rsidRPr="00966A7B" w:rsidRDefault="00966A7B" w:rsidP="00966A7B">
      <w:pPr>
        <w:spacing w:after="0" w:line="480" w:lineRule="auto"/>
        <w:jc w:val="both"/>
        <w:rPr>
          <w:rFonts w:ascii="Arial" w:hAnsi="Arial"/>
          <w:sz w:val="24"/>
          <w:szCs w:val="24"/>
        </w:rPr>
      </w:pPr>
      <w:r w:rsidRPr="00966A7B">
        <w:rPr>
          <w:rFonts w:ascii="Arial" w:hAnsi="Arial"/>
          <w:sz w:val="24"/>
          <w:szCs w:val="24"/>
        </w:rPr>
        <w:t>Este indicador mide la rentabilidad de los activos, puede interpretarse como la utilidad que recibe la empresa por cada dólar invertido en sus distintos bienes y de los cuales se esperan ganancias en un futuro.</w:t>
      </w:r>
    </w:p>
    <w:p w14:paraId="4B099C65" w14:textId="77777777" w:rsidR="00966A7B" w:rsidRPr="00966A7B" w:rsidRDefault="00966A7B" w:rsidP="00966A7B">
      <w:pPr>
        <w:spacing w:after="0" w:line="480" w:lineRule="auto"/>
        <w:ind w:firstLine="720"/>
        <w:jc w:val="center"/>
        <w:rPr>
          <w:rFonts w:ascii="Arial" w:hAnsi="Arial" w:cs="Arial"/>
          <w:sz w:val="20"/>
          <w:szCs w:val="20"/>
        </w:rPr>
      </w:pPr>
      <m:oMathPara>
        <m:oMath>
          <m:r>
            <w:rPr>
              <w:rFonts w:ascii="Cambria Math" w:hAnsi="Cambria Math" w:cs="Arial"/>
              <w:sz w:val="20"/>
              <w:szCs w:val="20"/>
            </w:rPr>
            <m:t>ROA=</m:t>
          </m:r>
          <m:f>
            <m:fPr>
              <m:ctrlPr>
                <w:rPr>
                  <w:rFonts w:ascii="Cambria Math" w:hAnsi="Cambria Math" w:cs="Arial"/>
                  <w:sz w:val="20"/>
                  <w:szCs w:val="20"/>
                </w:rPr>
              </m:ctrlPr>
            </m:fPr>
            <m:num>
              <m:r>
                <w:rPr>
                  <w:rFonts w:ascii="Cambria Math" w:hAnsi="Cambria Math" w:cs="Arial"/>
                  <w:sz w:val="20"/>
                  <w:szCs w:val="20"/>
                </w:rPr>
                <m:t>Utilidad neta</m:t>
              </m:r>
            </m:num>
            <m:den>
              <m:r>
                <w:rPr>
                  <w:rFonts w:ascii="Cambria Math" w:hAnsi="Cambria Math" w:cs="Arial"/>
                  <w:sz w:val="20"/>
                  <w:szCs w:val="20"/>
                </w:rPr>
                <m:t>Total activos</m:t>
              </m:r>
            </m:den>
          </m:f>
        </m:oMath>
      </m:oMathPara>
    </w:p>
    <w:p w14:paraId="6F172E84" w14:textId="44EB8316" w:rsidR="00565BA7" w:rsidRDefault="00565BA7" w:rsidP="00762552">
      <w:p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p>
    <w:p w14:paraId="1644D6E4" w14:textId="351EC90F" w:rsidR="00C175E1" w:rsidRDefault="00C175E1" w:rsidP="00C175E1">
      <w:pPr>
        <w:pStyle w:val="Prrafodelista"/>
        <w:numPr>
          <w:ilvl w:val="0"/>
          <w:numId w:val="2"/>
        </w:numPr>
        <w:shd w:val="clear" w:color="auto" w:fill="FFFFFF"/>
        <w:spacing w:before="100" w:beforeAutospacing="1" w:after="100" w:afterAutospacing="1" w:line="360" w:lineRule="auto"/>
        <w:jc w:val="both"/>
        <w:rPr>
          <w:rFonts w:ascii="Arial" w:eastAsia="Times New Roman" w:hAnsi="Arial" w:cs="Arial"/>
          <w:color w:val="000000"/>
          <w:sz w:val="24"/>
          <w:szCs w:val="24"/>
          <w:lang w:eastAsia="es-EC"/>
        </w:rPr>
      </w:pPr>
      <w:r>
        <w:rPr>
          <w:rFonts w:ascii="Arial" w:eastAsia="Times New Roman" w:hAnsi="Arial" w:cs="Arial"/>
          <w:color w:val="000000"/>
          <w:sz w:val="24"/>
          <w:szCs w:val="24"/>
          <w:lang w:eastAsia="es-EC"/>
        </w:rPr>
        <w:t>METODOLOGIA</w:t>
      </w:r>
    </w:p>
    <w:p w14:paraId="4D9570D7" w14:textId="77777777" w:rsidR="00D405FD" w:rsidRPr="00AD2114" w:rsidRDefault="00401209" w:rsidP="00D405FD">
      <w:pPr>
        <w:spacing w:line="360" w:lineRule="auto"/>
        <w:jc w:val="both"/>
        <w:rPr>
          <w:rFonts w:ascii="Arial" w:hAnsi="Arial"/>
          <w:sz w:val="24"/>
          <w:szCs w:val="24"/>
        </w:rPr>
      </w:pPr>
      <w:r w:rsidRPr="00AD2114">
        <w:rPr>
          <w:rFonts w:ascii="Arial" w:hAnsi="Arial" w:cs="Arial"/>
          <w:color w:val="000000"/>
          <w:sz w:val="24"/>
          <w:szCs w:val="24"/>
          <w:shd w:val="clear" w:color="auto" w:fill="FFFFFF"/>
        </w:rPr>
        <w:t>Para alcanzar los objetivos propuestos, planteamos un estudio exploratorio, empírico y cuantitativo sobre las medianas empresas</w:t>
      </w:r>
      <w:r w:rsidR="00424EC8" w:rsidRPr="00AD2114">
        <w:rPr>
          <w:rFonts w:ascii="Arial" w:hAnsi="Arial" w:cs="Arial"/>
          <w:color w:val="000000"/>
          <w:sz w:val="24"/>
          <w:szCs w:val="24"/>
          <w:shd w:val="clear" w:color="auto" w:fill="FFFFFF"/>
        </w:rPr>
        <w:t xml:space="preserve"> y grandes empresas</w:t>
      </w:r>
      <w:r w:rsidR="004A7240" w:rsidRPr="00AD2114">
        <w:rPr>
          <w:rFonts w:ascii="Arial" w:hAnsi="Arial" w:cs="Arial"/>
          <w:color w:val="000000"/>
          <w:sz w:val="24"/>
          <w:szCs w:val="24"/>
          <w:shd w:val="clear" w:color="auto" w:fill="FFFFFF"/>
        </w:rPr>
        <w:t xml:space="preserve"> </w:t>
      </w:r>
      <w:r w:rsidR="00D738B5" w:rsidRPr="00AD2114">
        <w:rPr>
          <w:rFonts w:ascii="Arial" w:hAnsi="Arial" w:cs="Arial"/>
          <w:color w:val="000000"/>
          <w:sz w:val="24"/>
          <w:szCs w:val="24"/>
          <w:shd w:val="clear" w:color="auto" w:fill="FFFFFF"/>
        </w:rPr>
        <w:t>M</w:t>
      </w:r>
      <w:r w:rsidRPr="00AD2114">
        <w:rPr>
          <w:rFonts w:ascii="Arial" w:hAnsi="Arial" w:cs="Arial"/>
          <w:color w:val="000000"/>
          <w:sz w:val="24"/>
          <w:szCs w:val="24"/>
          <w:shd w:val="clear" w:color="auto" w:fill="FFFFFF"/>
        </w:rPr>
        <w:t xml:space="preserve">anufactureras </w:t>
      </w:r>
      <w:r w:rsidR="00D738B5" w:rsidRPr="00AD2114">
        <w:rPr>
          <w:rFonts w:ascii="Arial" w:hAnsi="Arial" w:cs="Arial"/>
          <w:color w:val="000000"/>
          <w:sz w:val="24"/>
          <w:szCs w:val="24"/>
          <w:shd w:val="clear" w:color="auto" w:fill="FFFFFF"/>
        </w:rPr>
        <w:t>del Ecuador</w:t>
      </w:r>
      <w:r w:rsidRPr="00AD2114">
        <w:rPr>
          <w:rFonts w:ascii="Arial" w:hAnsi="Arial" w:cs="Arial"/>
          <w:color w:val="000000"/>
          <w:sz w:val="24"/>
          <w:szCs w:val="24"/>
          <w:shd w:val="clear" w:color="auto" w:fill="FFFFFF"/>
        </w:rPr>
        <w:t>, durante el periodo 201</w:t>
      </w:r>
      <w:r w:rsidR="00424EC8" w:rsidRPr="00AD2114">
        <w:rPr>
          <w:rFonts w:ascii="Arial" w:hAnsi="Arial" w:cs="Arial"/>
          <w:color w:val="000000"/>
          <w:sz w:val="24"/>
          <w:szCs w:val="24"/>
          <w:shd w:val="clear" w:color="auto" w:fill="FFFFFF"/>
        </w:rPr>
        <w:t>7</w:t>
      </w:r>
      <w:r w:rsidRPr="00AD2114">
        <w:rPr>
          <w:rFonts w:ascii="Arial" w:hAnsi="Arial" w:cs="Arial"/>
          <w:color w:val="000000"/>
          <w:sz w:val="24"/>
          <w:szCs w:val="24"/>
          <w:shd w:val="clear" w:color="auto" w:fill="FFFFFF"/>
        </w:rPr>
        <w:t>-201</w:t>
      </w:r>
      <w:r w:rsidR="00424EC8" w:rsidRPr="00AD2114">
        <w:rPr>
          <w:rFonts w:ascii="Arial" w:hAnsi="Arial" w:cs="Arial"/>
          <w:color w:val="000000"/>
          <w:sz w:val="24"/>
          <w:szCs w:val="24"/>
          <w:shd w:val="clear" w:color="auto" w:fill="FFFFFF"/>
        </w:rPr>
        <w:t>8</w:t>
      </w:r>
      <w:r w:rsidRPr="00AD2114">
        <w:rPr>
          <w:rFonts w:ascii="Arial" w:hAnsi="Arial" w:cs="Arial"/>
          <w:color w:val="000000"/>
          <w:sz w:val="24"/>
          <w:szCs w:val="24"/>
          <w:shd w:val="clear" w:color="auto" w:fill="FFFFFF"/>
        </w:rPr>
        <w:t xml:space="preserve">. </w:t>
      </w:r>
      <w:r w:rsidR="00D405FD" w:rsidRPr="00AD2114">
        <w:rPr>
          <w:rFonts w:ascii="Arial" w:hAnsi="Arial"/>
          <w:sz w:val="24"/>
          <w:szCs w:val="24"/>
        </w:rPr>
        <w:t>Tras este proceso la base de datos quedó conformada por 100 observaciones para el periodo 2017-2019. La tabla I recoge las variables empleadas y su naturaleza en la ecuación de regresión:</w:t>
      </w:r>
    </w:p>
    <w:p w14:paraId="427F3BDC" w14:textId="77777777" w:rsidR="001A2C62" w:rsidRDefault="001A2C62" w:rsidP="00D405FD">
      <w:pPr>
        <w:spacing w:line="360" w:lineRule="auto"/>
        <w:jc w:val="both"/>
        <w:rPr>
          <w:rFonts w:ascii="Arial" w:hAnsi="Arial"/>
        </w:rPr>
      </w:pPr>
    </w:p>
    <w:p w14:paraId="2E836954" w14:textId="3AAA6AAE" w:rsidR="001A2C62" w:rsidRDefault="001A2C62" w:rsidP="00D405FD">
      <w:pPr>
        <w:spacing w:line="360" w:lineRule="auto"/>
        <w:jc w:val="both"/>
        <w:rPr>
          <w:rFonts w:ascii="Arial" w:hAnsi="Arial"/>
        </w:rPr>
      </w:pPr>
      <w:r>
        <w:rPr>
          <w:rFonts w:ascii="Arial" w:hAnsi="Arial"/>
        </w:rPr>
        <w:t xml:space="preserve">Tabla 1: </w:t>
      </w:r>
      <w:r w:rsidR="00094ABE">
        <w:rPr>
          <w:rFonts w:ascii="Arial" w:hAnsi="Arial"/>
        </w:rPr>
        <w:t>Naturaleza de las variables empleadas</w:t>
      </w:r>
    </w:p>
    <w:tbl>
      <w:tblPr>
        <w:tblStyle w:val="Tablaconcuadrcula"/>
        <w:tblW w:w="7413" w:type="dxa"/>
        <w:jc w:val="center"/>
        <w:tblLook w:val="04A0" w:firstRow="1" w:lastRow="0" w:firstColumn="1" w:lastColumn="0" w:noHBand="0" w:noVBand="1"/>
      </w:tblPr>
      <w:tblGrid>
        <w:gridCol w:w="1995"/>
        <w:gridCol w:w="3476"/>
        <w:gridCol w:w="1942"/>
      </w:tblGrid>
      <w:tr w:rsidR="00094ABE" w:rsidRPr="00094ABE" w14:paraId="5998554E" w14:textId="77777777" w:rsidTr="00E9632C">
        <w:trPr>
          <w:trHeight w:val="20"/>
          <w:jc w:val="center"/>
        </w:trPr>
        <w:tc>
          <w:tcPr>
            <w:tcW w:w="1995" w:type="dxa"/>
          </w:tcPr>
          <w:p w14:paraId="145CFF19" w14:textId="1EE6EA41" w:rsidR="00094ABE" w:rsidRPr="00094ABE" w:rsidRDefault="00094ABE" w:rsidP="00094ABE">
            <w:pPr>
              <w:spacing w:line="480" w:lineRule="auto"/>
              <w:ind w:firstLine="720"/>
              <w:jc w:val="center"/>
              <w:rPr>
                <w:rFonts w:ascii="Arial" w:hAnsi="Arial" w:cs="Arial"/>
                <w:b/>
                <w:bCs/>
                <w:sz w:val="16"/>
                <w:szCs w:val="16"/>
              </w:rPr>
            </w:pPr>
            <w:r w:rsidRPr="00094ABE">
              <w:rPr>
                <w:rFonts w:ascii="Arial" w:hAnsi="Arial" w:cs="Arial"/>
                <w:b/>
                <w:bCs/>
                <w:sz w:val="16"/>
                <w:szCs w:val="16"/>
              </w:rPr>
              <w:t>VARIABLE</w:t>
            </w:r>
          </w:p>
        </w:tc>
        <w:tc>
          <w:tcPr>
            <w:tcW w:w="3476" w:type="dxa"/>
          </w:tcPr>
          <w:p w14:paraId="4EB312B6" w14:textId="1FAA75E0" w:rsidR="00094ABE" w:rsidRPr="00094ABE" w:rsidRDefault="00094ABE" w:rsidP="00094ABE">
            <w:pPr>
              <w:spacing w:line="480" w:lineRule="auto"/>
              <w:ind w:firstLine="720"/>
              <w:jc w:val="center"/>
              <w:rPr>
                <w:rFonts w:ascii="Arial" w:hAnsi="Arial" w:cs="Arial"/>
                <w:b/>
                <w:bCs/>
                <w:sz w:val="16"/>
                <w:szCs w:val="16"/>
              </w:rPr>
            </w:pPr>
            <w:r w:rsidRPr="00094ABE">
              <w:rPr>
                <w:rFonts w:ascii="Arial" w:hAnsi="Arial" w:cs="Arial"/>
                <w:b/>
                <w:bCs/>
                <w:sz w:val="16"/>
                <w:szCs w:val="16"/>
              </w:rPr>
              <w:t>DEFINICIÓN</w:t>
            </w:r>
          </w:p>
        </w:tc>
        <w:tc>
          <w:tcPr>
            <w:tcW w:w="1942" w:type="dxa"/>
          </w:tcPr>
          <w:p w14:paraId="46E1A589" w14:textId="5E1C3663" w:rsidR="00094ABE" w:rsidRPr="00094ABE" w:rsidRDefault="00094ABE" w:rsidP="00094ABE">
            <w:pPr>
              <w:spacing w:line="480" w:lineRule="auto"/>
              <w:jc w:val="center"/>
              <w:rPr>
                <w:rFonts w:ascii="Arial" w:hAnsi="Arial" w:cs="Arial"/>
                <w:b/>
                <w:bCs/>
                <w:sz w:val="16"/>
                <w:szCs w:val="16"/>
              </w:rPr>
            </w:pPr>
            <w:r w:rsidRPr="00094ABE">
              <w:rPr>
                <w:rFonts w:ascii="Arial" w:hAnsi="Arial" w:cs="Arial"/>
                <w:b/>
                <w:bCs/>
                <w:sz w:val="16"/>
                <w:szCs w:val="16"/>
              </w:rPr>
              <w:t>NATURALEZA VARIABLE</w:t>
            </w:r>
          </w:p>
        </w:tc>
      </w:tr>
      <w:tr w:rsidR="00094ABE" w:rsidRPr="00094ABE" w14:paraId="3F0ACD57" w14:textId="77777777" w:rsidTr="00E9632C">
        <w:trPr>
          <w:trHeight w:val="20"/>
          <w:jc w:val="center"/>
        </w:trPr>
        <w:tc>
          <w:tcPr>
            <w:tcW w:w="1995" w:type="dxa"/>
          </w:tcPr>
          <w:p w14:paraId="440D77B0"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ROA</w:t>
            </w:r>
          </w:p>
        </w:tc>
        <w:tc>
          <w:tcPr>
            <w:tcW w:w="3476" w:type="dxa"/>
          </w:tcPr>
          <w:p w14:paraId="53B5796C"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Utilidad neta/Total activo</w:t>
            </w:r>
          </w:p>
        </w:tc>
        <w:tc>
          <w:tcPr>
            <w:tcW w:w="1942" w:type="dxa"/>
          </w:tcPr>
          <w:p w14:paraId="73FFFFF2"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Dependiente</w:t>
            </w:r>
          </w:p>
        </w:tc>
      </w:tr>
      <w:tr w:rsidR="00094ABE" w:rsidRPr="00094ABE" w14:paraId="5922F975" w14:textId="77777777" w:rsidTr="00E9632C">
        <w:trPr>
          <w:trHeight w:val="20"/>
          <w:jc w:val="center"/>
        </w:trPr>
        <w:tc>
          <w:tcPr>
            <w:tcW w:w="1995" w:type="dxa"/>
          </w:tcPr>
          <w:p w14:paraId="1C746823"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ROE</w:t>
            </w:r>
          </w:p>
        </w:tc>
        <w:tc>
          <w:tcPr>
            <w:tcW w:w="3476" w:type="dxa"/>
          </w:tcPr>
          <w:p w14:paraId="38CBBEE9"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Utilidad neta/ Patrimonio</w:t>
            </w:r>
          </w:p>
        </w:tc>
        <w:tc>
          <w:tcPr>
            <w:tcW w:w="1942" w:type="dxa"/>
          </w:tcPr>
          <w:p w14:paraId="7B67D352"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Dependiente</w:t>
            </w:r>
          </w:p>
        </w:tc>
      </w:tr>
      <w:tr w:rsidR="00094ABE" w:rsidRPr="00094ABE" w14:paraId="509050C3" w14:textId="77777777" w:rsidTr="00E9632C">
        <w:trPr>
          <w:trHeight w:val="20"/>
          <w:jc w:val="center"/>
        </w:trPr>
        <w:tc>
          <w:tcPr>
            <w:tcW w:w="1995" w:type="dxa"/>
          </w:tcPr>
          <w:p w14:paraId="2DC8E355" w14:textId="41731D52"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END_ACT</w:t>
            </w:r>
          </w:p>
        </w:tc>
        <w:tc>
          <w:tcPr>
            <w:tcW w:w="3476" w:type="dxa"/>
          </w:tcPr>
          <w:p w14:paraId="0EC607F4"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Pasivo/Total activo</w:t>
            </w:r>
          </w:p>
        </w:tc>
        <w:tc>
          <w:tcPr>
            <w:tcW w:w="1942" w:type="dxa"/>
          </w:tcPr>
          <w:p w14:paraId="5E2BC779"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Independiente</w:t>
            </w:r>
          </w:p>
        </w:tc>
      </w:tr>
      <w:tr w:rsidR="00094ABE" w:rsidRPr="00094ABE" w14:paraId="43AA1352" w14:textId="77777777" w:rsidTr="00E9632C">
        <w:trPr>
          <w:trHeight w:val="20"/>
          <w:jc w:val="center"/>
        </w:trPr>
        <w:tc>
          <w:tcPr>
            <w:tcW w:w="1995" w:type="dxa"/>
          </w:tcPr>
          <w:p w14:paraId="4B772095" w14:textId="2E71EE9F"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END_PAT</w:t>
            </w:r>
          </w:p>
        </w:tc>
        <w:tc>
          <w:tcPr>
            <w:tcW w:w="3476" w:type="dxa"/>
          </w:tcPr>
          <w:p w14:paraId="3429C281"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Pasivo/ Patrimonio</w:t>
            </w:r>
          </w:p>
        </w:tc>
        <w:tc>
          <w:tcPr>
            <w:tcW w:w="1942" w:type="dxa"/>
          </w:tcPr>
          <w:p w14:paraId="4117A88D"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Independiente</w:t>
            </w:r>
          </w:p>
        </w:tc>
      </w:tr>
      <w:tr w:rsidR="00094ABE" w:rsidRPr="00094ABE" w14:paraId="4DB88D93" w14:textId="77777777" w:rsidTr="00E9632C">
        <w:trPr>
          <w:trHeight w:val="20"/>
          <w:jc w:val="center"/>
        </w:trPr>
        <w:tc>
          <w:tcPr>
            <w:tcW w:w="1995" w:type="dxa"/>
          </w:tcPr>
          <w:p w14:paraId="6EB4126B" w14:textId="7D63BCD1"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 xml:space="preserve"> END_PAT_CP</w:t>
            </w:r>
          </w:p>
        </w:tc>
        <w:tc>
          <w:tcPr>
            <w:tcW w:w="3476" w:type="dxa"/>
          </w:tcPr>
          <w:p w14:paraId="0D3386B7"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Cta. y Doc. por pagar largo plazo/ Patrimonio</w:t>
            </w:r>
          </w:p>
        </w:tc>
        <w:tc>
          <w:tcPr>
            <w:tcW w:w="1942" w:type="dxa"/>
          </w:tcPr>
          <w:p w14:paraId="0CC3C711"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Independiente</w:t>
            </w:r>
          </w:p>
        </w:tc>
      </w:tr>
      <w:tr w:rsidR="00094ABE" w:rsidRPr="00094ABE" w14:paraId="26A7816E" w14:textId="77777777" w:rsidTr="00E9632C">
        <w:trPr>
          <w:trHeight w:val="20"/>
          <w:jc w:val="center"/>
        </w:trPr>
        <w:tc>
          <w:tcPr>
            <w:tcW w:w="1995" w:type="dxa"/>
          </w:tcPr>
          <w:p w14:paraId="3C1C154C" w14:textId="74F24E90"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 xml:space="preserve"> END_PAT_LP</w:t>
            </w:r>
          </w:p>
        </w:tc>
        <w:tc>
          <w:tcPr>
            <w:tcW w:w="3476" w:type="dxa"/>
          </w:tcPr>
          <w:p w14:paraId="1C69D6BC"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Cta. y Doc. por pagar corto plazo/ Patrimonio</w:t>
            </w:r>
          </w:p>
        </w:tc>
        <w:tc>
          <w:tcPr>
            <w:tcW w:w="1942" w:type="dxa"/>
          </w:tcPr>
          <w:p w14:paraId="235FA0C6"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Independiente</w:t>
            </w:r>
          </w:p>
        </w:tc>
      </w:tr>
      <w:tr w:rsidR="00094ABE" w:rsidRPr="00094ABE" w14:paraId="274CF892" w14:textId="77777777" w:rsidTr="00E9632C">
        <w:trPr>
          <w:trHeight w:val="20"/>
          <w:jc w:val="center"/>
        </w:trPr>
        <w:tc>
          <w:tcPr>
            <w:tcW w:w="1995" w:type="dxa"/>
          </w:tcPr>
          <w:p w14:paraId="031D26F7" w14:textId="7F9D65C9"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LIQUIDEZ</w:t>
            </w:r>
          </w:p>
        </w:tc>
        <w:tc>
          <w:tcPr>
            <w:tcW w:w="3476" w:type="dxa"/>
          </w:tcPr>
          <w:p w14:paraId="106C8895"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 xml:space="preserve">Activo corriente / Pasivo corriente </w:t>
            </w:r>
          </w:p>
        </w:tc>
        <w:tc>
          <w:tcPr>
            <w:tcW w:w="1942" w:type="dxa"/>
          </w:tcPr>
          <w:p w14:paraId="2EC06E1C" w14:textId="77777777" w:rsidR="00094ABE" w:rsidRPr="00094ABE" w:rsidRDefault="00094ABE" w:rsidP="00094ABE">
            <w:pPr>
              <w:spacing w:line="480" w:lineRule="auto"/>
              <w:rPr>
                <w:rFonts w:ascii="Arial" w:hAnsi="Arial" w:cs="Arial"/>
                <w:sz w:val="16"/>
                <w:szCs w:val="16"/>
              </w:rPr>
            </w:pPr>
            <w:r w:rsidRPr="00094ABE">
              <w:rPr>
                <w:rFonts w:ascii="Arial" w:hAnsi="Arial" w:cs="Arial"/>
                <w:sz w:val="16"/>
                <w:szCs w:val="16"/>
              </w:rPr>
              <w:t>Control</w:t>
            </w:r>
          </w:p>
        </w:tc>
      </w:tr>
    </w:tbl>
    <w:p w14:paraId="32903881" w14:textId="77777777" w:rsidR="00094ABE" w:rsidRPr="00D405FD" w:rsidRDefault="00094ABE" w:rsidP="00D405FD">
      <w:pPr>
        <w:spacing w:line="360" w:lineRule="auto"/>
        <w:jc w:val="both"/>
        <w:rPr>
          <w:rFonts w:ascii="Arial" w:hAnsi="Arial"/>
        </w:rPr>
      </w:pPr>
    </w:p>
    <w:p w14:paraId="1809AFEA" w14:textId="1E8046D3"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1</w:t>
      </w:r>
      <w:r w:rsidRPr="00063129">
        <w:rPr>
          <w:rFonts w:ascii="Arial" w:hAnsi="Arial"/>
          <w:sz w:val="24"/>
          <w:szCs w:val="24"/>
          <w:lang w:val="es-ES_tradnl"/>
        </w:rPr>
        <w:t xml:space="preserve">: El ROE está relacionado con el endeudamiento del activo en las empresas </w:t>
      </w:r>
      <w:r>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46AE6F63" w14:textId="17DDD888"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lastRenderedPageBreak/>
        <w:t>H</w:t>
      </w:r>
      <w:r w:rsidRPr="00063129">
        <w:rPr>
          <w:rFonts w:ascii="Arial" w:hAnsi="Arial"/>
          <w:sz w:val="24"/>
          <w:szCs w:val="24"/>
          <w:vertAlign w:val="subscript"/>
          <w:lang w:val="es-ES_tradnl"/>
        </w:rPr>
        <w:t>2</w:t>
      </w:r>
      <w:r w:rsidRPr="00063129">
        <w:rPr>
          <w:rFonts w:ascii="Arial" w:hAnsi="Arial"/>
          <w:sz w:val="24"/>
          <w:szCs w:val="24"/>
          <w:lang w:val="es-ES_tradnl"/>
        </w:rPr>
        <w:t xml:space="preserve">: El ROE está relacionado con el endeudamiento patrimonial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2CF3F877" w14:textId="771B67DF"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3</w:t>
      </w:r>
      <w:r w:rsidRPr="00063129">
        <w:rPr>
          <w:rFonts w:ascii="Arial" w:hAnsi="Arial"/>
          <w:sz w:val="24"/>
          <w:szCs w:val="24"/>
          <w:lang w:val="es-ES_tradnl"/>
        </w:rPr>
        <w:t xml:space="preserve">: El ROE está relacionado con el endeudamiento patrimonial corriente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268FBC5B" w14:textId="25FF7F36"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4</w:t>
      </w:r>
      <w:r w:rsidRPr="00063129">
        <w:rPr>
          <w:rFonts w:ascii="Arial" w:hAnsi="Arial"/>
          <w:sz w:val="24"/>
          <w:szCs w:val="24"/>
          <w:lang w:val="es-ES_tradnl"/>
        </w:rPr>
        <w:t xml:space="preserve">: El ROE está relacionado con el endeudamiento patrimonial no corriente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7339C1B4" w14:textId="5B8295C7"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5</w:t>
      </w:r>
      <w:r w:rsidRPr="00063129">
        <w:rPr>
          <w:rFonts w:ascii="Arial" w:hAnsi="Arial"/>
          <w:sz w:val="24"/>
          <w:szCs w:val="24"/>
          <w:lang w:val="es-ES_tradnl"/>
        </w:rPr>
        <w:t xml:space="preserve">: El ROA está relacionado con el endeudamiento del activo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09C8FDA5" w14:textId="6CF0B1AD"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6</w:t>
      </w:r>
      <w:r w:rsidRPr="00063129">
        <w:rPr>
          <w:rFonts w:ascii="Arial" w:hAnsi="Arial"/>
          <w:sz w:val="24"/>
          <w:szCs w:val="24"/>
          <w:lang w:val="es-ES_tradnl"/>
        </w:rPr>
        <w:t xml:space="preserve">: El ROA está relacionado con el endeudamiento patrimonial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7EB7621A" w14:textId="4BBFF0CA"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7</w:t>
      </w:r>
      <w:r w:rsidRPr="00063129">
        <w:rPr>
          <w:rFonts w:ascii="Arial" w:hAnsi="Arial"/>
          <w:sz w:val="24"/>
          <w:szCs w:val="24"/>
          <w:lang w:val="es-ES_tradnl"/>
        </w:rPr>
        <w:t xml:space="preserve">: El ROA está relacionado con el endeudamiento patrimonial corriente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5C3B845E" w14:textId="419D5D0E" w:rsidR="00063129" w:rsidRPr="00063129" w:rsidRDefault="00063129" w:rsidP="00BF033C">
      <w:pPr>
        <w:numPr>
          <w:ilvl w:val="0"/>
          <w:numId w:val="3"/>
        </w:numPr>
        <w:spacing w:after="0" w:line="480" w:lineRule="auto"/>
        <w:contextualSpacing/>
        <w:jc w:val="both"/>
        <w:rPr>
          <w:rFonts w:ascii="Arial" w:hAnsi="Arial"/>
          <w:sz w:val="24"/>
          <w:szCs w:val="24"/>
          <w:lang w:val="es-ES_tradnl"/>
        </w:rPr>
      </w:pPr>
      <w:r w:rsidRPr="00063129">
        <w:rPr>
          <w:rFonts w:ascii="Arial" w:hAnsi="Arial"/>
          <w:sz w:val="24"/>
          <w:szCs w:val="24"/>
          <w:lang w:val="es-ES_tradnl"/>
        </w:rPr>
        <w:t>H</w:t>
      </w:r>
      <w:r w:rsidRPr="00063129">
        <w:rPr>
          <w:rFonts w:ascii="Arial" w:hAnsi="Arial"/>
          <w:sz w:val="24"/>
          <w:szCs w:val="24"/>
          <w:vertAlign w:val="subscript"/>
          <w:lang w:val="es-ES_tradnl"/>
        </w:rPr>
        <w:t>8</w:t>
      </w:r>
      <w:r w:rsidRPr="00063129">
        <w:rPr>
          <w:rFonts w:ascii="Arial" w:hAnsi="Arial"/>
          <w:sz w:val="24"/>
          <w:szCs w:val="24"/>
          <w:lang w:val="es-ES_tradnl"/>
        </w:rPr>
        <w:t xml:space="preserve">: El ROA está relacionado con el endeudamiento patrimonial no corriente en las empresas </w:t>
      </w:r>
      <w:r w:rsidR="0039086D">
        <w:rPr>
          <w:rFonts w:ascii="Arial" w:hAnsi="Arial"/>
          <w:sz w:val="24"/>
          <w:szCs w:val="24"/>
          <w:lang w:val="es-ES_tradnl"/>
        </w:rPr>
        <w:t>manufactureras</w:t>
      </w:r>
      <w:r w:rsidRPr="00063129">
        <w:rPr>
          <w:rFonts w:ascii="Arial" w:hAnsi="Arial"/>
          <w:sz w:val="24"/>
          <w:szCs w:val="24"/>
          <w:lang w:val="es-ES_tradnl"/>
        </w:rPr>
        <w:t xml:space="preserve"> ecuatorianas en el periodo 2017-2019</w:t>
      </w:r>
    </w:p>
    <w:p w14:paraId="7251ECFA" w14:textId="77777777" w:rsidR="00063129" w:rsidRPr="00063129" w:rsidRDefault="00063129" w:rsidP="00063129">
      <w:pPr>
        <w:spacing w:after="0" w:line="480" w:lineRule="auto"/>
        <w:jc w:val="both"/>
        <w:rPr>
          <w:rFonts w:ascii="Arial" w:hAnsi="Arial"/>
          <w:sz w:val="24"/>
          <w:szCs w:val="24"/>
          <w:lang w:val="es-ES_tradnl"/>
        </w:rPr>
      </w:pPr>
      <w:r w:rsidRPr="00063129">
        <w:rPr>
          <w:rFonts w:ascii="Arial" w:hAnsi="Arial"/>
          <w:sz w:val="24"/>
          <w:szCs w:val="24"/>
          <w:lang w:val="es-ES_tradnl"/>
        </w:rPr>
        <w:t>Los modelos econométricos son los siguientes para el periodo 2017-2019</w:t>
      </w:r>
    </w:p>
    <w:p w14:paraId="052C6B67" w14:textId="77777777" w:rsidR="00C363CE" w:rsidRPr="00C363CE" w:rsidRDefault="00AD2114" w:rsidP="00C363CE">
      <w:pPr>
        <w:spacing w:after="0" w:line="480" w:lineRule="auto"/>
        <w:ind w:left="360"/>
        <w:jc w:val="both"/>
        <w:rPr>
          <w:rFonts w:ascii="Arial" w:eastAsiaTheme="minorEastAsia"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ROE</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End_act</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(1)</m:t>
          </m:r>
        </m:oMath>
      </m:oMathPara>
    </w:p>
    <w:p w14:paraId="1421093D" w14:textId="77777777" w:rsidR="00C363CE" w:rsidRPr="00C363CE" w:rsidRDefault="00AD2114" w:rsidP="00C363CE">
      <w:pPr>
        <w:spacing w:after="0" w:line="480" w:lineRule="auto"/>
        <w:ind w:left="360"/>
        <w:jc w:val="both"/>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ROE</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End_pat</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(2)</m:t>
          </m:r>
        </m:oMath>
      </m:oMathPara>
    </w:p>
    <w:p w14:paraId="526C3330" w14:textId="77777777" w:rsidR="00C363CE" w:rsidRPr="00C363CE" w:rsidRDefault="00AD2114" w:rsidP="00C363CE">
      <w:pPr>
        <w:spacing w:after="0" w:line="480" w:lineRule="auto"/>
        <w:ind w:left="360"/>
        <w:jc w:val="both"/>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ROE</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End_pat_cp</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(3)</m:t>
          </m:r>
        </m:oMath>
      </m:oMathPara>
    </w:p>
    <w:p w14:paraId="1BF4A3F6" w14:textId="77777777" w:rsidR="00C363CE" w:rsidRPr="00C363CE" w:rsidRDefault="00AD2114" w:rsidP="00C363CE">
      <w:pPr>
        <w:spacing w:after="0" w:line="480" w:lineRule="auto"/>
        <w:ind w:left="360"/>
        <w:jc w:val="both"/>
        <w:rPr>
          <w:rFonts w:ascii="Arial" w:eastAsiaTheme="minorEastAsia"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ROE</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End_pat_lp</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(4)</m:t>
          </m:r>
        </m:oMath>
      </m:oMathPara>
    </w:p>
    <w:p w14:paraId="1342E0F2" w14:textId="77777777" w:rsidR="00C363CE" w:rsidRPr="00C363CE" w:rsidRDefault="00AD2114" w:rsidP="00C363CE">
      <w:pPr>
        <w:spacing w:after="0" w:line="480" w:lineRule="auto"/>
        <w:ind w:left="360"/>
        <w:jc w:val="both"/>
        <w:rPr>
          <w:rFonts w:ascii="Arial" w:eastAsiaTheme="minorEastAsia"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ROA</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End_act</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(5)</m:t>
          </m:r>
        </m:oMath>
      </m:oMathPara>
    </w:p>
    <w:p w14:paraId="07BC6FD2" w14:textId="77777777" w:rsidR="00C363CE" w:rsidRPr="00C363CE" w:rsidRDefault="00AD2114" w:rsidP="00C363CE">
      <w:pPr>
        <w:spacing w:after="0" w:line="480" w:lineRule="auto"/>
        <w:ind w:left="360"/>
        <w:jc w:val="both"/>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ROA</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End_pat</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(6)</m:t>
          </m:r>
        </m:oMath>
      </m:oMathPara>
    </w:p>
    <w:p w14:paraId="631A7ED7" w14:textId="77777777" w:rsidR="00C363CE" w:rsidRPr="00C363CE" w:rsidRDefault="00AD2114" w:rsidP="00C363CE">
      <w:pPr>
        <w:spacing w:after="0" w:line="480" w:lineRule="auto"/>
        <w:ind w:left="360"/>
        <w:jc w:val="both"/>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ROA</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End_pat_cp</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(7)</m:t>
          </m:r>
        </m:oMath>
      </m:oMathPara>
    </w:p>
    <w:p w14:paraId="0A80D6C0" w14:textId="77777777" w:rsidR="00C363CE" w:rsidRPr="00C363CE" w:rsidRDefault="00AD2114" w:rsidP="00C363CE">
      <w:pPr>
        <w:spacing w:after="0" w:line="480" w:lineRule="auto"/>
        <w:ind w:left="360"/>
        <w:jc w:val="both"/>
        <w:rPr>
          <w:rFonts w:ascii="Arial" w:eastAsiaTheme="minorEastAsia"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ROA</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1</m:t>
              </m:r>
            </m:sub>
          </m:sSub>
          <m:sSub>
            <m:sSubPr>
              <m:ctrlPr>
                <w:rPr>
                  <w:rFonts w:ascii="Cambria Math" w:hAnsi="Cambria Math" w:cs="Arial"/>
                  <w:i/>
                  <w:sz w:val="20"/>
                  <w:szCs w:val="20"/>
                </w:rPr>
              </m:ctrlPr>
            </m:sSubPr>
            <m:e>
              <m:r>
                <w:rPr>
                  <w:rFonts w:ascii="Cambria Math" w:hAnsi="Cambria Math" w:cs="Arial"/>
                  <w:sz w:val="20"/>
                  <w:szCs w:val="20"/>
                </w:rPr>
                <m:t>End_pat_lp</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β</m:t>
              </m:r>
            </m:e>
            <m:sub>
              <m:r>
                <w:rPr>
                  <w:rFonts w:ascii="Cambria Math" w:hAnsi="Cambria Math" w:cs="Arial"/>
                  <w:sz w:val="20"/>
                  <w:szCs w:val="20"/>
                </w:rPr>
                <m:t>3</m:t>
              </m:r>
            </m:sub>
          </m:sSub>
          <m:sSub>
            <m:sSubPr>
              <m:ctrlPr>
                <w:rPr>
                  <w:rFonts w:ascii="Cambria Math" w:hAnsi="Cambria Math" w:cs="Arial"/>
                  <w:i/>
                  <w:sz w:val="20"/>
                  <w:szCs w:val="20"/>
                </w:rPr>
              </m:ctrlPr>
            </m:sSubPr>
            <m:e>
              <m:r>
                <w:rPr>
                  <w:rFonts w:ascii="Cambria Math" w:hAnsi="Cambria Math" w:cs="Arial"/>
                  <w:sz w:val="20"/>
                  <w:szCs w:val="20"/>
                </w:rPr>
                <m:t>Liquidez</m:t>
              </m:r>
            </m:e>
            <m:sub>
              <m:r>
                <w:rPr>
                  <w:rFonts w:ascii="Cambria Math" w:hAnsi="Cambria Math" w:cs="Arial"/>
                  <w:sz w:val="20"/>
                  <w:szCs w:val="20"/>
                </w:rPr>
                <m:t>it</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μ</m:t>
              </m:r>
            </m:e>
            <m:sub>
              <m:r>
                <w:rPr>
                  <w:rFonts w:ascii="Cambria Math" w:hAnsi="Cambria Math" w:cs="Arial"/>
                  <w:sz w:val="20"/>
                  <w:szCs w:val="20"/>
                </w:rPr>
                <m:t>it</m:t>
              </m:r>
            </m:sub>
          </m:sSub>
          <m:r>
            <w:rPr>
              <w:rFonts w:ascii="Cambria Math" w:hAnsi="Cambria Math" w:cs="Arial"/>
              <w:sz w:val="20"/>
              <w:szCs w:val="20"/>
            </w:rPr>
            <m:t xml:space="preserve"> (8)</m:t>
          </m:r>
        </m:oMath>
      </m:oMathPara>
    </w:p>
    <w:p w14:paraId="0BBB32A9" w14:textId="7E2B4E81" w:rsidR="00C363CE" w:rsidRPr="000F08CB" w:rsidRDefault="00C363CE" w:rsidP="00BF033C">
      <w:pPr>
        <w:spacing w:after="0" w:line="480" w:lineRule="auto"/>
        <w:jc w:val="both"/>
        <w:rPr>
          <w:rFonts w:ascii="Arial" w:hAnsi="Arial"/>
          <w:sz w:val="24"/>
          <w:szCs w:val="24"/>
          <w:lang w:val="es-ES_tradnl"/>
        </w:rPr>
      </w:pPr>
      <w:r w:rsidRPr="00C363CE">
        <w:rPr>
          <w:rFonts w:ascii="Arial" w:hAnsi="Arial"/>
          <w:sz w:val="24"/>
          <w:szCs w:val="24"/>
          <w:lang w:val="es-ES_tradnl"/>
        </w:rPr>
        <w:lastRenderedPageBreak/>
        <w:t>Donde R es ROA o ROE, i representa a la empresa, t el tiempo, β el coeficiente de regresión y µ</w:t>
      </w:r>
      <w:proofErr w:type="spellStart"/>
      <w:r w:rsidRPr="00C363CE">
        <w:rPr>
          <w:rFonts w:ascii="Arial" w:hAnsi="Arial"/>
          <w:sz w:val="24"/>
          <w:szCs w:val="24"/>
          <w:lang w:val="es-ES_tradnl"/>
        </w:rPr>
        <w:t>it</w:t>
      </w:r>
      <w:proofErr w:type="spellEnd"/>
      <w:r w:rsidRPr="00C363CE">
        <w:rPr>
          <w:rFonts w:ascii="Arial" w:hAnsi="Arial"/>
          <w:sz w:val="24"/>
          <w:szCs w:val="24"/>
          <w:lang w:val="es-ES_tradnl"/>
        </w:rPr>
        <w:t xml:space="preserve"> el término de error.</w:t>
      </w:r>
    </w:p>
    <w:p w14:paraId="218901F7" w14:textId="77777777" w:rsidR="00000A34" w:rsidRPr="00000A34" w:rsidRDefault="00000A34" w:rsidP="00BF033C">
      <w:pPr>
        <w:spacing w:after="0" w:line="480" w:lineRule="auto"/>
        <w:jc w:val="both"/>
        <w:rPr>
          <w:rFonts w:ascii="Arial" w:hAnsi="Arial"/>
          <w:lang w:val="es-ES_tradnl"/>
        </w:rPr>
      </w:pPr>
    </w:p>
    <w:p w14:paraId="3D5393D6" w14:textId="0CFB1BB3" w:rsidR="00630E29" w:rsidRDefault="00000A34" w:rsidP="00AD2114">
      <w:pPr>
        <w:spacing w:after="0" w:line="480" w:lineRule="auto"/>
        <w:contextualSpacing/>
        <w:rPr>
          <w:rFonts w:ascii="Arial" w:eastAsiaTheme="majorEastAsia" w:hAnsi="Arial" w:cstheme="majorBidi"/>
          <w:b/>
          <w:iCs/>
          <w:spacing w:val="-10"/>
          <w:kern w:val="28"/>
          <w:sz w:val="24"/>
          <w:szCs w:val="24"/>
          <w:lang w:val="es-ES_tradnl"/>
        </w:rPr>
      </w:pPr>
      <w:r w:rsidRPr="00966A7B">
        <w:rPr>
          <w:rFonts w:ascii="Arial" w:eastAsiaTheme="majorEastAsia" w:hAnsi="Arial" w:cstheme="majorBidi"/>
          <w:b/>
          <w:iCs/>
          <w:spacing w:val="-10"/>
          <w:kern w:val="28"/>
          <w:sz w:val="24"/>
          <w:szCs w:val="24"/>
          <w:lang w:val="es-ES_tradnl"/>
        </w:rPr>
        <w:t>Efectos Fijos</w:t>
      </w:r>
    </w:p>
    <w:p w14:paraId="18625D73" w14:textId="77777777" w:rsidR="00AD2114" w:rsidRPr="00AD2114" w:rsidRDefault="00AD2114" w:rsidP="00AD2114">
      <w:pPr>
        <w:spacing w:after="0" w:line="480" w:lineRule="auto"/>
        <w:contextualSpacing/>
        <w:rPr>
          <w:rFonts w:ascii="Arial" w:eastAsiaTheme="majorEastAsia" w:hAnsi="Arial" w:cstheme="majorBidi"/>
          <w:b/>
          <w:iCs/>
          <w:spacing w:val="-10"/>
          <w:kern w:val="28"/>
          <w:sz w:val="24"/>
          <w:szCs w:val="24"/>
          <w:lang w:val="es-ES_tradnl"/>
        </w:rPr>
      </w:pPr>
    </w:p>
    <w:p w14:paraId="794909F3" w14:textId="65C54D87" w:rsidR="00000A34" w:rsidRPr="00FF0632" w:rsidRDefault="00FF0632" w:rsidP="00630E29">
      <w:pPr>
        <w:spacing w:after="0" w:line="480" w:lineRule="auto"/>
        <w:jc w:val="both"/>
        <w:rPr>
          <w:rFonts w:ascii="Arial" w:hAnsi="Arial"/>
          <w:sz w:val="24"/>
          <w:szCs w:val="24"/>
          <w:lang w:val="es-ES_tradnl"/>
        </w:rPr>
      </w:pPr>
      <w:r>
        <w:rPr>
          <w:rFonts w:ascii="Arial" w:hAnsi="Arial"/>
          <w:sz w:val="24"/>
          <w:szCs w:val="24"/>
          <w:lang w:val="es-ES_tradnl"/>
        </w:rPr>
        <w:t>Una</w:t>
      </w:r>
      <w:r w:rsidR="00000A34" w:rsidRPr="00000A34">
        <w:rPr>
          <w:rFonts w:ascii="Arial" w:hAnsi="Arial"/>
          <w:sz w:val="24"/>
          <w:szCs w:val="24"/>
          <w:lang w:val="es-ES_tradnl"/>
        </w:rPr>
        <w:t xml:space="preserve"> posibilidad es explicar los datos con el modelo de efectos fijos considera que existe un término constante </w:t>
      </w:r>
      <w:r w:rsidR="00000A34" w:rsidRPr="00FF0632">
        <w:rPr>
          <w:rFonts w:ascii="Arial" w:hAnsi="Arial"/>
          <w:sz w:val="24"/>
          <w:szCs w:val="24"/>
          <w:lang w:val="es-ES_tradnl"/>
        </w:rPr>
        <w:t xml:space="preserve">diferente para cada individuo, y supone que los efectos individuales son independientes entre sí. Con este modelo se considera que las variables explicativas afectan por igual a las unidades de corte transversal y que éstas se diferencian por características propias de cada una de ellas, medidas por medio del intercepto.  Es por ello que los N </w:t>
      </w:r>
      <w:proofErr w:type="spellStart"/>
      <w:r w:rsidR="00000A34" w:rsidRPr="00FF0632">
        <w:rPr>
          <w:rFonts w:ascii="Arial" w:hAnsi="Arial"/>
          <w:sz w:val="24"/>
          <w:szCs w:val="24"/>
          <w:lang w:val="es-ES_tradnl"/>
        </w:rPr>
        <w:t>interceptos</w:t>
      </w:r>
      <w:proofErr w:type="spellEnd"/>
      <w:r w:rsidR="00000A34" w:rsidRPr="00FF0632">
        <w:rPr>
          <w:rFonts w:ascii="Arial" w:hAnsi="Arial"/>
          <w:sz w:val="24"/>
          <w:szCs w:val="24"/>
          <w:lang w:val="es-ES_tradnl"/>
        </w:rPr>
        <w:t xml:space="preserve"> se asocian con variables </w:t>
      </w:r>
      <w:proofErr w:type="spellStart"/>
      <w:r w:rsidR="00000A34" w:rsidRPr="00FF0632">
        <w:rPr>
          <w:rFonts w:ascii="Arial" w:hAnsi="Arial"/>
          <w:sz w:val="24"/>
          <w:szCs w:val="24"/>
          <w:lang w:val="es-ES_tradnl"/>
        </w:rPr>
        <w:t>dummy</w:t>
      </w:r>
      <w:proofErr w:type="spellEnd"/>
      <w:r w:rsidR="00000A34" w:rsidRPr="00FF0632">
        <w:rPr>
          <w:rFonts w:ascii="Arial" w:hAnsi="Arial"/>
          <w:sz w:val="24"/>
          <w:szCs w:val="24"/>
          <w:lang w:val="es-ES_tradnl"/>
        </w:rPr>
        <w:t xml:space="preserve"> con coeficientes específicos para cada unidad, los cuales se deben estimar </w:t>
      </w:r>
      <w:r w:rsidR="00000A34" w:rsidRPr="00FF0632">
        <w:rPr>
          <w:rFonts w:ascii="Arial" w:hAnsi="Arial"/>
          <w:noProof/>
          <w:sz w:val="24"/>
          <w:szCs w:val="24"/>
        </w:rPr>
        <w:t>(Mayorga y Muñoz, 2000)</w:t>
      </w:r>
      <w:r w:rsidR="00000A34" w:rsidRPr="00FF0632">
        <w:rPr>
          <w:rFonts w:ascii="Arial" w:hAnsi="Arial"/>
          <w:sz w:val="24"/>
          <w:szCs w:val="24"/>
          <w:lang w:val="es-ES_tradnl"/>
        </w:rPr>
        <w:t>.</w:t>
      </w:r>
    </w:p>
    <w:p w14:paraId="2CA42DFE" w14:textId="77777777" w:rsidR="00630E29" w:rsidRPr="00FF0632" w:rsidRDefault="00630E29" w:rsidP="00630E29">
      <w:pPr>
        <w:spacing w:after="0" w:line="480" w:lineRule="auto"/>
        <w:jc w:val="both"/>
        <w:rPr>
          <w:rFonts w:ascii="Arial" w:hAnsi="Arial"/>
          <w:sz w:val="24"/>
          <w:szCs w:val="24"/>
          <w:lang w:val="es-ES_tradnl"/>
        </w:rPr>
      </w:pPr>
    </w:p>
    <w:p w14:paraId="020FBB2C" w14:textId="349D95FC" w:rsidR="00000A34" w:rsidRDefault="00000A34" w:rsidP="00000A34">
      <w:pPr>
        <w:keepNext/>
        <w:keepLines/>
        <w:spacing w:after="0" w:line="480" w:lineRule="auto"/>
        <w:outlineLvl w:val="1"/>
        <w:rPr>
          <w:rFonts w:ascii="Arial" w:eastAsiaTheme="minorEastAsia" w:hAnsi="Arial" w:cstheme="majorBidi"/>
          <w:b/>
          <w:sz w:val="24"/>
          <w:szCs w:val="24"/>
        </w:rPr>
      </w:pPr>
      <w:r w:rsidRPr="00FF0632">
        <w:rPr>
          <w:rFonts w:ascii="Arial" w:eastAsiaTheme="minorEastAsia" w:hAnsi="Arial" w:cstheme="majorBidi"/>
          <w:b/>
          <w:sz w:val="24"/>
          <w:szCs w:val="24"/>
        </w:rPr>
        <w:t>Resultados</w:t>
      </w:r>
    </w:p>
    <w:p w14:paraId="278A4001" w14:textId="014505F0" w:rsidR="004B1171" w:rsidRPr="000F08CB" w:rsidRDefault="004B1171" w:rsidP="004B1171">
      <w:pPr>
        <w:spacing w:after="0" w:line="480" w:lineRule="auto"/>
        <w:jc w:val="both"/>
        <w:rPr>
          <w:rFonts w:ascii="Arial" w:hAnsi="Arial"/>
          <w:sz w:val="24"/>
          <w:szCs w:val="24"/>
          <w:lang w:val="es-ES_tradnl"/>
        </w:rPr>
      </w:pPr>
    </w:p>
    <w:p w14:paraId="12841C7D" w14:textId="2F045F6E" w:rsidR="004B1171" w:rsidRPr="004B1171" w:rsidRDefault="004B1171" w:rsidP="004B1171">
      <w:pPr>
        <w:spacing w:after="0" w:line="480" w:lineRule="auto"/>
        <w:jc w:val="both"/>
        <w:rPr>
          <w:rFonts w:ascii="Arial" w:hAnsi="Arial"/>
          <w:sz w:val="24"/>
          <w:szCs w:val="24"/>
          <w:lang w:val="es-ES_tradnl"/>
        </w:rPr>
      </w:pPr>
      <w:r w:rsidRPr="000F08CB">
        <w:rPr>
          <w:rFonts w:ascii="Arial" w:hAnsi="Arial"/>
          <w:sz w:val="24"/>
          <w:szCs w:val="24"/>
          <w:lang w:val="es-ES_tradnl"/>
        </w:rPr>
        <w:t xml:space="preserve">Tabla </w:t>
      </w:r>
      <w:r>
        <w:rPr>
          <w:rFonts w:ascii="Arial" w:hAnsi="Arial"/>
          <w:sz w:val="24"/>
          <w:szCs w:val="24"/>
          <w:lang w:val="es-ES_tradnl"/>
        </w:rPr>
        <w:t>2</w:t>
      </w:r>
      <w:r w:rsidRPr="000F08CB">
        <w:rPr>
          <w:rFonts w:ascii="Arial" w:hAnsi="Arial"/>
          <w:sz w:val="24"/>
          <w:szCs w:val="24"/>
          <w:lang w:val="es-ES_tradnl"/>
        </w:rPr>
        <w:t>: Estadísticos Descriptivos 2017-2019</w:t>
      </w:r>
    </w:p>
    <w:tbl>
      <w:tblPr>
        <w:tblStyle w:val="Tablaconcuadrcula"/>
        <w:tblW w:w="0" w:type="auto"/>
        <w:tblLook w:val="04A0" w:firstRow="1" w:lastRow="0" w:firstColumn="1" w:lastColumn="0" w:noHBand="0" w:noVBand="1"/>
      </w:tblPr>
      <w:tblGrid>
        <w:gridCol w:w="1026"/>
        <w:gridCol w:w="937"/>
        <w:gridCol w:w="1278"/>
        <w:gridCol w:w="1278"/>
        <w:gridCol w:w="1278"/>
        <w:gridCol w:w="1332"/>
        <w:gridCol w:w="685"/>
        <w:gridCol w:w="680"/>
      </w:tblGrid>
      <w:tr w:rsidR="004B1171" w14:paraId="51677860" w14:textId="77777777" w:rsidTr="00340A4E">
        <w:tc>
          <w:tcPr>
            <w:tcW w:w="1026" w:type="dxa"/>
          </w:tcPr>
          <w:p w14:paraId="61A37D0D" w14:textId="77777777" w:rsidR="004B1171" w:rsidRDefault="004B1171" w:rsidP="00340A4E">
            <w:pPr>
              <w:spacing w:before="100" w:beforeAutospacing="1" w:after="100" w:afterAutospacing="1" w:line="360" w:lineRule="auto"/>
              <w:rPr>
                <w:rFonts w:ascii="Arial" w:hAnsi="Arial" w:cs="Arial"/>
                <w:color w:val="000000"/>
                <w:sz w:val="24"/>
                <w:szCs w:val="24"/>
              </w:rPr>
            </w:pPr>
          </w:p>
        </w:tc>
        <w:tc>
          <w:tcPr>
            <w:tcW w:w="937" w:type="dxa"/>
          </w:tcPr>
          <w:p w14:paraId="58013F27"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LIQUIDEZ CORRIENTE</w:t>
            </w:r>
          </w:p>
        </w:tc>
        <w:tc>
          <w:tcPr>
            <w:tcW w:w="1278" w:type="dxa"/>
          </w:tcPr>
          <w:p w14:paraId="42E0966E"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ENDEUDAMIENTO DEL ACTIVO</w:t>
            </w:r>
          </w:p>
        </w:tc>
        <w:tc>
          <w:tcPr>
            <w:tcW w:w="1278" w:type="dxa"/>
          </w:tcPr>
          <w:p w14:paraId="3CF7DCF1"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ENDEUDAMIENTO PATRIMONIAL</w:t>
            </w:r>
          </w:p>
        </w:tc>
        <w:tc>
          <w:tcPr>
            <w:tcW w:w="1278" w:type="dxa"/>
          </w:tcPr>
          <w:p w14:paraId="0BE3E15F"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ENDEUDAMIENTO PATRIMONIAL CORRIENTE</w:t>
            </w:r>
          </w:p>
        </w:tc>
        <w:tc>
          <w:tcPr>
            <w:tcW w:w="1332" w:type="dxa"/>
          </w:tcPr>
          <w:p w14:paraId="4049A87E"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ENDEUDAMIENTO PATRIMONIAL NO CORRIENTE</w:t>
            </w:r>
          </w:p>
        </w:tc>
        <w:tc>
          <w:tcPr>
            <w:tcW w:w="685" w:type="dxa"/>
          </w:tcPr>
          <w:p w14:paraId="64D1BF57"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ROE</w:t>
            </w:r>
          </w:p>
        </w:tc>
        <w:tc>
          <w:tcPr>
            <w:tcW w:w="680" w:type="dxa"/>
          </w:tcPr>
          <w:p w14:paraId="5DA65714" w14:textId="77777777" w:rsidR="004B1171" w:rsidRPr="00B94B39" w:rsidRDefault="004B1171" w:rsidP="00340A4E">
            <w:pPr>
              <w:spacing w:before="100" w:beforeAutospacing="1" w:after="100" w:afterAutospacing="1" w:line="360" w:lineRule="auto"/>
              <w:ind w:firstLine="0"/>
              <w:jc w:val="left"/>
              <w:rPr>
                <w:rFonts w:ascii="Arial" w:hAnsi="Arial" w:cs="Arial"/>
                <w:color w:val="000000"/>
                <w:sz w:val="12"/>
                <w:szCs w:val="12"/>
              </w:rPr>
            </w:pPr>
            <w:r w:rsidRPr="00B94B39">
              <w:rPr>
                <w:rFonts w:ascii="Arial" w:hAnsi="Arial" w:cs="Arial"/>
                <w:color w:val="000000"/>
                <w:sz w:val="12"/>
                <w:szCs w:val="12"/>
              </w:rPr>
              <w:t>ROA</w:t>
            </w:r>
          </w:p>
        </w:tc>
      </w:tr>
      <w:tr w:rsidR="004B1171" w14:paraId="6AEE74D4" w14:textId="77777777" w:rsidTr="00340A4E">
        <w:tc>
          <w:tcPr>
            <w:tcW w:w="1026" w:type="dxa"/>
          </w:tcPr>
          <w:p w14:paraId="0981DA1D" w14:textId="77777777" w:rsidR="004B1171" w:rsidRPr="004E46A3" w:rsidRDefault="004B1171" w:rsidP="00340A4E">
            <w:pPr>
              <w:spacing w:before="100" w:beforeAutospacing="1" w:after="100" w:afterAutospacing="1" w:line="360" w:lineRule="auto"/>
              <w:ind w:firstLine="0"/>
              <w:jc w:val="left"/>
              <w:rPr>
                <w:rFonts w:asciiTheme="minorHAnsi" w:hAnsiTheme="minorHAnsi" w:cstheme="minorHAnsi"/>
                <w:color w:val="000000"/>
                <w:sz w:val="16"/>
                <w:szCs w:val="16"/>
              </w:rPr>
            </w:pPr>
            <w:r w:rsidRPr="004E46A3">
              <w:rPr>
                <w:rFonts w:asciiTheme="minorHAnsi" w:hAnsiTheme="minorHAnsi" w:cstheme="minorHAnsi"/>
                <w:color w:val="000000"/>
                <w:sz w:val="16"/>
                <w:szCs w:val="16"/>
              </w:rPr>
              <w:t>VALID</w:t>
            </w:r>
          </w:p>
        </w:tc>
        <w:tc>
          <w:tcPr>
            <w:tcW w:w="937" w:type="dxa"/>
          </w:tcPr>
          <w:p w14:paraId="559938D7"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96</w:t>
            </w:r>
          </w:p>
        </w:tc>
        <w:tc>
          <w:tcPr>
            <w:tcW w:w="1278" w:type="dxa"/>
          </w:tcPr>
          <w:p w14:paraId="722673AF"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96</w:t>
            </w:r>
          </w:p>
        </w:tc>
        <w:tc>
          <w:tcPr>
            <w:tcW w:w="1278" w:type="dxa"/>
          </w:tcPr>
          <w:p w14:paraId="4830E9C6"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96</w:t>
            </w:r>
          </w:p>
        </w:tc>
        <w:tc>
          <w:tcPr>
            <w:tcW w:w="1278" w:type="dxa"/>
          </w:tcPr>
          <w:p w14:paraId="17852BAC"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96</w:t>
            </w:r>
          </w:p>
        </w:tc>
        <w:tc>
          <w:tcPr>
            <w:tcW w:w="1332" w:type="dxa"/>
          </w:tcPr>
          <w:p w14:paraId="6AE917AF"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96</w:t>
            </w:r>
          </w:p>
        </w:tc>
        <w:tc>
          <w:tcPr>
            <w:tcW w:w="685" w:type="dxa"/>
          </w:tcPr>
          <w:p w14:paraId="0B3E893E"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96</w:t>
            </w:r>
          </w:p>
        </w:tc>
        <w:tc>
          <w:tcPr>
            <w:tcW w:w="680" w:type="dxa"/>
          </w:tcPr>
          <w:p w14:paraId="7923BBF4"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96</w:t>
            </w:r>
          </w:p>
        </w:tc>
      </w:tr>
      <w:tr w:rsidR="004B1171" w14:paraId="2C9C4442" w14:textId="77777777" w:rsidTr="00340A4E">
        <w:tc>
          <w:tcPr>
            <w:tcW w:w="1026" w:type="dxa"/>
          </w:tcPr>
          <w:p w14:paraId="5904C626" w14:textId="77777777" w:rsidR="004B1171" w:rsidRPr="004E46A3" w:rsidRDefault="004B1171" w:rsidP="00340A4E">
            <w:pPr>
              <w:spacing w:before="100" w:beforeAutospacing="1" w:after="100" w:afterAutospacing="1" w:line="360" w:lineRule="auto"/>
              <w:ind w:firstLine="0"/>
              <w:jc w:val="left"/>
              <w:rPr>
                <w:rFonts w:asciiTheme="minorHAnsi" w:hAnsiTheme="minorHAnsi" w:cstheme="minorHAnsi"/>
                <w:color w:val="000000"/>
                <w:sz w:val="16"/>
                <w:szCs w:val="16"/>
              </w:rPr>
            </w:pPr>
            <w:r>
              <w:rPr>
                <w:rFonts w:asciiTheme="minorHAnsi" w:hAnsiTheme="minorHAnsi" w:cstheme="minorHAnsi"/>
                <w:color w:val="000000"/>
                <w:sz w:val="16"/>
                <w:szCs w:val="16"/>
              </w:rPr>
              <w:t>AUSENTE</w:t>
            </w:r>
          </w:p>
        </w:tc>
        <w:tc>
          <w:tcPr>
            <w:tcW w:w="937" w:type="dxa"/>
          </w:tcPr>
          <w:p w14:paraId="2732979E"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5</w:t>
            </w:r>
          </w:p>
        </w:tc>
        <w:tc>
          <w:tcPr>
            <w:tcW w:w="1278" w:type="dxa"/>
          </w:tcPr>
          <w:p w14:paraId="5AEF4CE2"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5</w:t>
            </w:r>
          </w:p>
        </w:tc>
        <w:tc>
          <w:tcPr>
            <w:tcW w:w="1278" w:type="dxa"/>
          </w:tcPr>
          <w:p w14:paraId="296554B1"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5</w:t>
            </w:r>
          </w:p>
        </w:tc>
        <w:tc>
          <w:tcPr>
            <w:tcW w:w="1278" w:type="dxa"/>
          </w:tcPr>
          <w:p w14:paraId="2F6ED4EE"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5</w:t>
            </w:r>
          </w:p>
        </w:tc>
        <w:tc>
          <w:tcPr>
            <w:tcW w:w="1332" w:type="dxa"/>
          </w:tcPr>
          <w:p w14:paraId="49EB8501"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5</w:t>
            </w:r>
          </w:p>
        </w:tc>
        <w:tc>
          <w:tcPr>
            <w:tcW w:w="685" w:type="dxa"/>
          </w:tcPr>
          <w:p w14:paraId="6B5A4955"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5</w:t>
            </w:r>
          </w:p>
        </w:tc>
        <w:tc>
          <w:tcPr>
            <w:tcW w:w="680" w:type="dxa"/>
          </w:tcPr>
          <w:p w14:paraId="01BC3725"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5</w:t>
            </w:r>
          </w:p>
        </w:tc>
      </w:tr>
      <w:tr w:rsidR="004B1171" w14:paraId="18ED03FF" w14:textId="77777777" w:rsidTr="00340A4E">
        <w:tc>
          <w:tcPr>
            <w:tcW w:w="1026" w:type="dxa"/>
          </w:tcPr>
          <w:p w14:paraId="01F36C34" w14:textId="77777777" w:rsidR="004B1171" w:rsidRPr="004E46A3" w:rsidRDefault="004B1171" w:rsidP="00340A4E">
            <w:pPr>
              <w:spacing w:before="100" w:beforeAutospacing="1" w:after="100" w:afterAutospacing="1" w:line="360" w:lineRule="auto"/>
              <w:ind w:firstLine="0"/>
              <w:jc w:val="left"/>
              <w:rPr>
                <w:rFonts w:asciiTheme="minorHAnsi" w:hAnsiTheme="minorHAnsi" w:cstheme="minorHAnsi"/>
                <w:color w:val="000000"/>
                <w:sz w:val="16"/>
                <w:szCs w:val="16"/>
              </w:rPr>
            </w:pPr>
            <w:r>
              <w:rPr>
                <w:rFonts w:asciiTheme="minorHAnsi" w:hAnsiTheme="minorHAnsi" w:cstheme="minorHAnsi"/>
                <w:color w:val="000000"/>
                <w:sz w:val="16"/>
                <w:szCs w:val="16"/>
              </w:rPr>
              <w:t>MEDIANA</w:t>
            </w:r>
          </w:p>
        </w:tc>
        <w:tc>
          <w:tcPr>
            <w:tcW w:w="937" w:type="dxa"/>
          </w:tcPr>
          <w:p w14:paraId="728AB14C"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2.401</w:t>
            </w:r>
          </w:p>
        </w:tc>
        <w:tc>
          <w:tcPr>
            <w:tcW w:w="1278" w:type="dxa"/>
          </w:tcPr>
          <w:p w14:paraId="4DC0A978"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0.621</w:t>
            </w:r>
          </w:p>
        </w:tc>
        <w:tc>
          <w:tcPr>
            <w:tcW w:w="1278" w:type="dxa"/>
          </w:tcPr>
          <w:p w14:paraId="733250E9"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2.980</w:t>
            </w:r>
          </w:p>
        </w:tc>
        <w:tc>
          <w:tcPr>
            <w:tcW w:w="1278" w:type="dxa"/>
          </w:tcPr>
          <w:p w14:paraId="6C56DF32"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1.201</w:t>
            </w:r>
          </w:p>
        </w:tc>
        <w:tc>
          <w:tcPr>
            <w:tcW w:w="1332" w:type="dxa"/>
          </w:tcPr>
          <w:p w14:paraId="5BBD7860"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0.492</w:t>
            </w:r>
          </w:p>
        </w:tc>
        <w:tc>
          <w:tcPr>
            <w:tcW w:w="685" w:type="dxa"/>
          </w:tcPr>
          <w:p w14:paraId="0EBFD46B"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0.066</w:t>
            </w:r>
          </w:p>
        </w:tc>
        <w:tc>
          <w:tcPr>
            <w:tcW w:w="680" w:type="dxa"/>
          </w:tcPr>
          <w:p w14:paraId="7044C2AB"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0.029</w:t>
            </w:r>
          </w:p>
        </w:tc>
      </w:tr>
      <w:tr w:rsidR="004B1171" w14:paraId="56D75754" w14:textId="77777777" w:rsidTr="00340A4E">
        <w:tc>
          <w:tcPr>
            <w:tcW w:w="1026" w:type="dxa"/>
          </w:tcPr>
          <w:p w14:paraId="57BF1A70" w14:textId="77777777" w:rsidR="004B1171" w:rsidRPr="004E46A3" w:rsidRDefault="004B1171" w:rsidP="00340A4E">
            <w:pPr>
              <w:spacing w:before="100" w:beforeAutospacing="1" w:after="100" w:afterAutospacing="1" w:line="360" w:lineRule="auto"/>
              <w:ind w:firstLine="0"/>
              <w:jc w:val="left"/>
              <w:rPr>
                <w:rFonts w:asciiTheme="minorHAnsi" w:hAnsiTheme="minorHAnsi" w:cstheme="minorHAnsi"/>
                <w:color w:val="000000"/>
                <w:sz w:val="16"/>
                <w:szCs w:val="16"/>
              </w:rPr>
            </w:pPr>
            <w:r>
              <w:rPr>
                <w:rFonts w:asciiTheme="minorHAnsi" w:hAnsiTheme="minorHAnsi" w:cstheme="minorHAnsi"/>
                <w:color w:val="000000"/>
                <w:sz w:val="16"/>
                <w:szCs w:val="16"/>
              </w:rPr>
              <w:t>DESVIACION TIPICA</w:t>
            </w:r>
          </w:p>
        </w:tc>
        <w:tc>
          <w:tcPr>
            <w:tcW w:w="937" w:type="dxa"/>
          </w:tcPr>
          <w:p w14:paraId="59661B7E"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3.418</w:t>
            </w:r>
          </w:p>
        </w:tc>
        <w:tc>
          <w:tcPr>
            <w:tcW w:w="1278" w:type="dxa"/>
          </w:tcPr>
          <w:p w14:paraId="3D39A4B0"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0.208</w:t>
            </w:r>
          </w:p>
        </w:tc>
        <w:tc>
          <w:tcPr>
            <w:tcW w:w="1278" w:type="dxa"/>
          </w:tcPr>
          <w:p w14:paraId="676FCDB3"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3.521</w:t>
            </w:r>
          </w:p>
        </w:tc>
        <w:tc>
          <w:tcPr>
            <w:tcW w:w="1278" w:type="dxa"/>
          </w:tcPr>
          <w:p w14:paraId="47333D18"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1.804</w:t>
            </w:r>
          </w:p>
        </w:tc>
        <w:tc>
          <w:tcPr>
            <w:tcW w:w="1332" w:type="dxa"/>
          </w:tcPr>
          <w:p w14:paraId="13BB9F3B"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1.050</w:t>
            </w:r>
          </w:p>
        </w:tc>
        <w:tc>
          <w:tcPr>
            <w:tcW w:w="685" w:type="dxa"/>
          </w:tcPr>
          <w:p w14:paraId="1FD86849"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0.207</w:t>
            </w:r>
          </w:p>
        </w:tc>
        <w:tc>
          <w:tcPr>
            <w:tcW w:w="680" w:type="dxa"/>
          </w:tcPr>
          <w:p w14:paraId="4C2587CB"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0.060</w:t>
            </w:r>
          </w:p>
        </w:tc>
      </w:tr>
      <w:tr w:rsidR="004B1171" w14:paraId="5551A0B4" w14:textId="77777777" w:rsidTr="00340A4E">
        <w:tc>
          <w:tcPr>
            <w:tcW w:w="1026" w:type="dxa"/>
          </w:tcPr>
          <w:p w14:paraId="1E3E1087" w14:textId="77777777" w:rsidR="004B1171" w:rsidRPr="004E46A3" w:rsidRDefault="004B1171" w:rsidP="00340A4E">
            <w:pPr>
              <w:spacing w:before="100" w:beforeAutospacing="1" w:after="100" w:afterAutospacing="1" w:line="360" w:lineRule="auto"/>
              <w:ind w:firstLine="0"/>
              <w:jc w:val="left"/>
              <w:rPr>
                <w:rFonts w:asciiTheme="minorHAnsi" w:hAnsiTheme="minorHAnsi" w:cstheme="minorHAnsi"/>
                <w:color w:val="000000"/>
                <w:sz w:val="16"/>
                <w:szCs w:val="16"/>
              </w:rPr>
            </w:pPr>
            <w:r w:rsidRPr="004E46A3">
              <w:rPr>
                <w:rFonts w:asciiTheme="minorHAnsi" w:hAnsiTheme="minorHAnsi" w:cstheme="minorHAnsi"/>
                <w:color w:val="000000"/>
                <w:sz w:val="16"/>
                <w:szCs w:val="16"/>
              </w:rPr>
              <w:t>MIN</w:t>
            </w:r>
            <w:r>
              <w:rPr>
                <w:rFonts w:asciiTheme="minorHAnsi" w:hAnsiTheme="minorHAnsi" w:cstheme="minorHAnsi"/>
                <w:color w:val="000000"/>
                <w:sz w:val="16"/>
                <w:szCs w:val="16"/>
              </w:rPr>
              <w:t>IMO</w:t>
            </w:r>
          </w:p>
        </w:tc>
        <w:tc>
          <w:tcPr>
            <w:tcW w:w="937" w:type="dxa"/>
          </w:tcPr>
          <w:p w14:paraId="4E0CCACE"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0.174</w:t>
            </w:r>
          </w:p>
        </w:tc>
        <w:tc>
          <w:tcPr>
            <w:tcW w:w="1278" w:type="dxa"/>
          </w:tcPr>
          <w:p w14:paraId="5BCD30C7"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0.116</w:t>
            </w:r>
          </w:p>
        </w:tc>
        <w:tc>
          <w:tcPr>
            <w:tcW w:w="1278" w:type="dxa"/>
          </w:tcPr>
          <w:p w14:paraId="69D52A5E"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0.131</w:t>
            </w:r>
          </w:p>
        </w:tc>
        <w:tc>
          <w:tcPr>
            <w:tcW w:w="1278" w:type="dxa"/>
          </w:tcPr>
          <w:p w14:paraId="31C73D74"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0.006</w:t>
            </w:r>
          </w:p>
        </w:tc>
        <w:tc>
          <w:tcPr>
            <w:tcW w:w="1332" w:type="dxa"/>
          </w:tcPr>
          <w:p w14:paraId="438D54CC"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0.000</w:t>
            </w:r>
          </w:p>
        </w:tc>
        <w:tc>
          <w:tcPr>
            <w:tcW w:w="685" w:type="dxa"/>
          </w:tcPr>
          <w:p w14:paraId="1FFADECB"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-1.032</w:t>
            </w:r>
          </w:p>
        </w:tc>
        <w:tc>
          <w:tcPr>
            <w:tcW w:w="680" w:type="dxa"/>
          </w:tcPr>
          <w:p w14:paraId="7641CC90"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-0.145</w:t>
            </w:r>
          </w:p>
        </w:tc>
      </w:tr>
      <w:tr w:rsidR="004B1171" w14:paraId="26525CD2" w14:textId="77777777" w:rsidTr="00340A4E">
        <w:tc>
          <w:tcPr>
            <w:tcW w:w="1026" w:type="dxa"/>
          </w:tcPr>
          <w:p w14:paraId="378F04EA" w14:textId="77777777" w:rsidR="004B1171" w:rsidRPr="004E46A3" w:rsidRDefault="004B1171" w:rsidP="00340A4E">
            <w:pPr>
              <w:spacing w:before="100" w:beforeAutospacing="1" w:after="100" w:afterAutospacing="1" w:line="360" w:lineRule="auto"/>
              <w:ind w:firstLine="0"/>
              <w:jc w:val="left"/>
              <w:rPr>
                <w:rFonts w:asciiTheme="minorHAnsi" w:hAnsiTheme="minorHAnsi" w:cstheme="minorHAnsi"/>
                <w:color w:val="000000"/>
                <w:sz w:val="16"/>
                <w:szCs w:val="16"/>
              </w:rPr>
            </w:pPr>
            <w:r w:rsidRPr="004E46A3">
              <w:rPr>
                <w:rFonts w:asciiTheme="minorHAnsi" w:hAnsiTheme="minorHAnsi" w:cstheme="minorHAnsi"/>
                <w:color w:val="000000"/>
                <w:sz w:val="16"/>
                <w:szCs w:val="16"/>
              </w:rPr>
              <w:t>MAX</w:t>
            </w:r>
            <w:r>
              <w:rPr>
                <w:rFonts w:asciiTheme="minorHAnsi" w:hAnsiTheme="minorHAnsi" w:cstheme="minorHAnsi"/>
                <w:color w:val="000000"/>
                <w:sz w:val="16"/>
                <w:szCs w:val="16"/>
              </w:rPr>
              <w:t>IMO</w:t>
            </w:r>
          </w:p>
        </w:tc>
        <w:tc>
          <w:tcPr>
            <w:tcW w:w="937" w:type="dxa"/>
          </w:tcPr>
          <w:p w14:paraId="04BC5197"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18.680</w:t>
            </w:r>
          </w:p>
        </w:tc>
        <w:tc>
          <w:tcPr>
            <w:tcW w:w="1278" w:type="dxa"/>
          </w:tcPr>
          <w:p w14:paraId="4792B365"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0.962</w:t>
            </w:r>
          </w:p>
        </w:tc>
        <w:tc>
          <w:tcPr>
            <w:tcW w:w="1278" w:type="dxa"/>
          </w:tcPr>
          <w:p w14:paraId="61F9039B"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25.603</w:t>
            </w:r>
          </w:p>
        </w:tc>
        <w:tc>
          <w:tcPr>
            <w:tcW w:w="1278" w:type="dxa"/>
          </w:tcPr>
          <w:p w14:paraId="290C29F3"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10.108</w:t>
            </w:r>
          </w:p>
        </w:tc>
        <w:tc>
          <w:tcPr>
            <w:tcW w:w="1332" w:type="dxa"/>
          </w:tcPr>
          <w:p w14:paraId="52B2248C" w14:textId="77777777" w:rsidR="004B1171" w:rsidRPr="002938E6" w:rsidRDefault="004B1171" w:rsidP="00340A4E">
            <w:pPr>
              <w:spacing w:before="100" w:beforeAutospacing="1" w:after="100" w:afterAutospacing="1" w:line="360" w:lineRule="auto"/>
              <w:rPr>
                <w:rFonts w:ascii="Arial" w:hAnsi="Arial" w:cs="Arial"/>
                <w:color w:val="000000"/>
                <w:sz w:val="16"/>
                <w:szCs w:val="16"/>
              </w:rPr>
            </w:pPr>
            <w:r w:rsidRPr="002938E6">
              <w:rPr>
                <w:rFonts w:ascii="Arial" w:hAnsi="Arial" w:cs="Arial"/>
                <w:color w:val="000000"/>
                <w:sz w:val="16"/>
                <w:szCs w:val="16"/>
              </w:rPr>
              <w:t>4.847</w:t>
            </w:r>
          </w:p>
        </w:tc>
        <w:tc>
          <w:tcPr>
            <w:tcW w:w="685" w:type="dxa"/>
          </w:tcPr>
          <w:p w14:paraId="1730DD76"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0.824</w:t>
            </w:r>
          </w:p>
        </w:tc>
        <w:tc>
          <w:tcPr>
            <w:tcW w:w="680" w:type="dxa"/>
          </w:tcPr>
          <w:p w14:paraId="48ACC019" w14:textId="77777777" w:rsidR="004B1171" w:rsidRPr="002938E6" w:rsidRDefault="004B1171" w:rsidP="00340A4E">
            <w:pPr>
              <w:spacing w:before="100" w:beforeAutospacing="1" w:after="100" w:afterAutospacing="1" w:line="360" w:lineRule="auto"/>
              <w:ind w:firstLine="0"/>
              <w:rPr>
                <w:rFonts w:ascii="Arial" w:hAnsi="Arial" w:cs="Arial"/>
                <w:color w:val="000000"/>
                <w:sz w:val="16"/>
                <w:szCs w:val="16"/>
              </w:rPr>
            </w:pPr>
            <w:r w:rsidRPr="002938E6">
              <w:rPr>
                <w:rFonts w:ascii="Arial" w:hAnsi="Arial" w:cs="Arial"/>
                <w:color w:val="000000"/>
                <w:sz w:val="16"/>
                <w:szCs w:val="16"/>
              </w:rPr>
              <w:t>0.367</w:t>
            </w:r>
          </w:p>
        </w:tc>
      </w:tr>
    </w:tbl>
    <w:p w14:paraId="10528B7E" w14:textId="77777777" w:rsidR="004B1171" w:rsidRPr="00FF0632" w:rsidRDefault="004B1171" w:rsidP="00000A34">
      <w:pPr>
        <w:keepNext/>
        <w:keepLines/>
        <w:spacing w:after="0" w:line="480" w:lineRule="auto"/>
        <w:outlineLvl w:val="1"/>
        <w:rPr>
          <w:rFonts w:ascii="Arial" w:eastAsiaTheme="minorEastAsia" w:hAnsi="Arial" w:cstheme="majorBidi"/>
          <w:b/>
          <w:sz w:val="24"/>
          <w:szCs w:val="24"/>
        </w:rPr>
      </w:pPr>
    </w:p>
    <w:p w14:paraId="3A8B4402" w14:textId="38E6E3D5" w:rsidR="001B40F0" w:rsidRDefault="00000A34" w:rsidP="001B40F0">
      <w:pPr>
        <w:spacing w:after="0" w:line="480" w:lineRule="auto"/>
        <w:jc w:val="both"/>
        <w:rPr>
          <w:rFonts w:ascii="Arial" w:hAnsi="Arial"/>
          <w:sz w:val="24"/>
          <w:szCs w:val="24"/>
        </w:rPr>
      </w:pPr>
      <w:r w:rsidRPr="00445F92">
        <w:rPr>
          <w:rFonts w:ascii="Arial" w:hAnsi="Arial"/>
          <w:sz w:val="24"/>
          <w:szCs w:val="24"/>
        </w:rPr>
        <w:t xml:space="preserve">La estadística descriptiva para el periodo 2017-2019 se representa en la tabla II. Se observan las diferentes variables que se emplean, en donde la liquidez es de </w:t>
      </w:r>
      <w:r w:rsidR="00FF0632" w:rsidRPr="00445F92">
        <w:rPr>
          <w:rFonts w:ascii="Arial" w:hAnsi="Arial"/>
          <w:sz w:val="24"/>
          <w:szCs w:val="24"/>
        </w:rPr>
        <w:lastRenderedPageBreak/>
        <w:t>2,401</w:t>
      </w:r>
      <w:r w:rsidRPr="00445F92">
        <w:rPr>
          <w:rFonts w:ascii="Arial" w:hAnsi="Arial"/>
          <w:sz w:val="24"/>
          <w:szCs w:val="24"/>
        </w:rPr>
        <w:t xml:space="preserve"> lo que quiere decir que tienen suficiente liquidez para cumplir con sus obligaciones a corto plazo, guardando un cierto margen de seguridad en prevención de alguna reducción o perdida en el valor de los activos corrientes, en el endeudamiento del activo es 0,</w:t>
      </w:r>
      <w:r w:rsidR="00FF0632" w:rsidRPr="00445F92">
        <w:rPr>
          <w:rFonts w:ascii="Arial" w:hAnsi="Arial"/>
          <w:sz w:val="24"/>
          <w:szCs w:val="24"/>
        </w:rPr>
        <w:t>621</w:t>
      </w:r>
      <w:r w:rsidRPr="00445F92">
        <w:rPr>
          <w:rFonts w:ascii="Arial" w:hAnsi="Arial"/>
          <w:sz w:val="24"/>
          <w:szCs w:val="24"/>
        </w:rPr>
        <w:t xml:space="preserve"> es bajo lo que representa un elevado grado de independencia de las empresas frente a sus acreedores, el endeudamiento del patrimonio es del </w:t>
      </w:r>
      <w:r w:rsidR="00FF0632" w:rsidRPr="00445F92">
        <w:rPr>
          <w:rFonts w:ascii="Arial" w:hAnsi="Arial"/>
          <w:sz w:val="24"/>
          <w:szCs w:val="24"/>
        </w:rPr>
        <w:t>30</w:t>
      </w:r>
      <w:r w:rsidRPr="00445F92">
        <w:rPr>
          <w:rFonts w:ascii="Arial" w:hAnsi="Arial"/>
          <w:sz w:val="24"/>
          <w:szCs w:val="24"/>
        </w:rPr>
        <w:t>% por lo que podemos decir tiene un nivel óptimo por lo que están financiando en partes iguales junto a los acreedores, el endeudamiento patrimonial corriente y no corriente hay casi el doble de variación en sus valores, es decir 1</w:t>
      </w:r>
      <w:r w:rsidR="00445F92" w:rsidRPr="00445F92">
        <w:rPr>
          <w:rFonts w:ascii="Arial" w:hAnsi="Arial"/>
          <w:sz w:val="24"/>
          <w:szCs w:val="24"/>
        </w:rPr>
        <w:t>2</w:t>
      </w:r>
      <w:r w:rsidRPr="00445F92">
        <w:rPr>
          <w:rFonts w:ascii="Arial" w:hAnsi="Arial"/>
          <w:sz w:val="24"/>
          <w:szCs w:val="24"/>
        </w:rPr>
        <w:t xml:space="preserve">% lo que es normal en este sector ya que se financian con capital externo y finalmente la rentabilidad son casi similares por lo que mencionamos han tenido una ganancia del </w:t>
      </w:r>
      <w:r w:rsidR="00445F92" w:rsidRPr="00445F92">
        <w:rPr>
          <w:rFonts w:ascii="Arial" w:hAnsi="Arial"/>
          <w:sz w:val="24"/>
          <w:szCs w:val="24"/>
        </w:rPr>
        <w:t>6</w:t>
      </w:r>
      <w:r w:rsidRPr="00445F92">
        <w:rPr>
          <w:rFonts w:ascii="Arial" w:hAnsi="Arial"/>
          <w:sz w:val="24"/>
          <w:szCs w:val="24"/>
        </w:rPr>
        <w:t>,</w:t>
      </w:r>
      <w:r w:rsidR="00445F92" w:rsidRPr="00445F92">
        <w:rPr>
          <w:rFonts w:ascii="Arial" w:hAnsi="Arial"/>
          <w:sz w:val="24"/>
          <w:szCs w:val="24"/>
        </w:rPr>
        <w:t>6</w:t>
      </w:r>
      <w:r w:rsidRPr="00445F92">
        <w:rPr>
          <w:rFonts w:ascii="Arial" w:hAnsi="Arial"/>
          <w:sz w:val="24"/>
          <w:szCs w:val="24"/>
        </w:rPr>
        <w:t>% sobre la inversión de bienes para periodo 2017-2019.</w:t>
      </w:r>
    </w:p>
    <w:p w14:paraId="0CBF3AF3" w14:textId="070BD540" w:rsidR="004B1171" w:rsidRDefault="004B1171" w:rsidP="001B40F0">
      <w:pPr>
        <w:spacing w:after="0" w:line="480" w:lineRule="auto"/>
        <w:jc w:val="both"/>
        <w:rPr>
          <w:rFonts w:ascii="Arial" w:hAnsi="Arial"/>
          <w:sz w:val="24"/>
          <w:szCs w:val="24"/>
        </w:rPr>
      </w:pPr>
    </w:p>
    <w:p w14:paraId="6C00B324" w14:textId="3BE3DA42" w:rsidR="004B1171" w:rsidRDefault="004B1171" w:rsidP="001B40F0">
      <w:pPr>
        <w:spacing w:after="0" w:line="480" w:lineRule="auto"/>
        <w:jc w:val="both"/>
        <w:rPr>
          <w:rFonts w:ascii="Arial" w:hAnsi="Arial"/>
          <w:sz w:val="24"/>
          <w:szCs w:val="24"/>
        </w:rPr>
      </w:pPr>
      <w:r>
        <w:rPr>
          <w:rFonts w:ascii="Arial" w:hAnsi="Arial"/>
          <w:sz w:val="24"/>
          <w:szCs w:val="24"/>
        </w:rPr>
        <w:t xml:space="preserve">Tabla </w:t>
      </w:r>
      <w:r w:rsidR="00D44EF1">
        <w:rPr>
          <w:rFonts w:ascii="Arial" w:hAnsi="Arial"/>
          <w:sz w:val="24"/>
          <w:szCs w:val="24"/>
        </w:rPr>
        <w:t>3</w:t>
      </w:r>
      <w:r>
        <w:rPr>
          <w:rFonts w:ascii="Arial" w:hAnsi="Arial"/>
          <w:sz w:val="24"/>
          <w:szCs w:val="24"/>
        </w:rPr>
        <w:t>: Matriz de Correlaciones 2017-2019</w:t>
      </w:r>
    </w:p>
    <w:p w14:paraId="79E23D59" w14:textId="3C83DA79" w:rsidR="004B1171" w:rsidRDefault="004B1171" w:rsidP="001B40F0">
      <w:pPr>
        <w:spacing w:after="0" w:line="480" w:lineRule="auto"/>
        <w:jc w:val="both"/>
        <w:rPr>
          <w:rFonts w:ascii="Arial" w:hAnsi="Arial"/>
          <w:sz w:val="24"/>
          <w:szCs w:val="24"/>
        </w:rPr>
      </w:pPr>
      <w:r>
        <w:rPr>
          <w:noProof/>
        </w:rPr>
        <w:drawing>
          <wp:inline distT="0" distB="0" distL="0" distR="0" wp14:anchorId="2961378A" wp14:editId="342BFC93">
            <wp:extent cx="5399111" cy="2448300"/>
            <wp:effectExtent l="19050" t="19050" r="11430" b="28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5016" r="65494" b="67170"/>
                    <a:stretch/>
                  </pic:blipFill>
                  <pic:spPr bwMode="auto">
                    <a:xfrm>
                      <a:off x="0" y="0"/>
                      <a:ext cx="5529256" cy="2507316"/>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19245C51" w14:textId="77777777" w:rsidR="004B1171" w:rsidRPr="004B1171" w:rsidRDefault="004B1171" w:rsidP="001B40F0">
      <w:pPr>
        <w:spacing w:after="0" w:line="480" w:lineRule="auto"/>
        <w:jc w:val="both"/>
        <w:rPr>
          <w:rFonts w:ascii="Arial" w:hAnsi="Arial"/>
          <w:sz w:val="24"/>
          <w:szCs w:val="24"/>
        </w:rPr>
      </w:pPr>
    </w:p>
    <w:p w14:paraId="4E838181" w14:textId="4D8DF7C0" w:rsidR="00445F92" w:rsidRDefault="001B40F0" w:rsidP="001B40F0">
      <w:pPr>
        <w:spacing w:after="0" w:line="480" w:lineRule="auto"/>
        <w:jc w:val="both"/>
        <w:rPr>
          <w:rFonts w:ascii="Arial" w:hAnsi="Arial"/>
        </w:rPr>
      </w:pPr>
      <w:r w:rsidRPr="00AD2114">
        <w:rPr>
          <w:rFonts w:ascii="Arial" w:hAnsi="Arial"/>
          <w:sz w:val="24"/>
          <w:szCs w:val="24"/>
        </w:rPr>
        <w:t xml:space="preserve">En la tabla </w:t>
      </w:r>
      <w:r w:rsidR="002A7172" w:rsidRPr="00AD2114">
        <w:rPr>
          <w:rFonts w:ascii="Arial" w:hAnsi="Arial"/>
          <w:sz w:val="24"/>
          <w:szCs w:val="24"/>
        </w:rPr>
        <w:t>3</w:t>
      </w:r>
      <w:r w:rsidRPr="00AD2114">
        <w:rPr>
          <w:rFonts w:ascii="Arial" w:hAnsi="Arial"/>
          <w:sz w:val="24"/>
          <w:szCs w:val="24"/>
        </w:rPr>
        <w:t xml:space="preserve"> se </w:t>
      </w:r>
      <w:r w:rsidR="00DB698C" w:rsidRPr="00AD2114">
        <w:rPr>
          <w:rFonts w:ascii="Arial" w:hAnsi="Arial"/>
          <w:sz w:val="24"/>
          <w:szCs w:val="24"/>
        </w:rPr>
        <w:t>observa</w:t>
      </w:r>
      <w:r w:rsidRPr="00AD2114">
        <w:rPr>
          <w:rFonts w:ascii="Arial" w:hAnsi="Arial"/>
          <w:sz w:val="24"/>
          <w:szCs w:val="24"/>
        </w:rPr>
        <w:t xml:space="preserve"> la</w:t>
      </w:r>
      <w:r w:rsidR="00DB698C" w:rsidRPr="00AD2114">
        <w:rPr>
          <w:rFonts w:ascii="Arial" w:hAnsi="Arial"/>
          <w:sz w:val="24"/>
          <w:szCs w:val="24"/>
        </w:rPr>
        <w:t>s</w:t>
      </w:r>
      <w:r w:rsidRPr="00AD2114">
        <w:rPr>
          <w:rFonts w:ascii="Arial" w:hAnsi="Arial"/>
          <w:sz w:val="24"/>
          <w:szCs w:val="24"/>
        </w:rPr>
        <w:t xml:space="preserve"> correlaciones para el periodo 2017-2019, en donde la liquidez tiene una correlación positiva débil en relación con el </w:t>
      </w:r>
      <w:r w:rsidR="007210E5" w:rsidRPr="00AD2114">
        <w:rPr>
          <w:rFonts w:ascii="Arial" w:hAnsi="Arial"/>
          <w:sz w:val="24"/>
          <w:szCs w:val="24"/>
        </w:rPr>
        <w:t>e</w:t>
      </w:r>
      <w:r w:rsidRPr="00AD2114">
        <w:rPr>
          <w:rFonts w:ascii="Arial" w:hAnsi="Arial"/>
          <w:sz w:val="24"/>
          <w:szCs w:val="24"/>
        </w:rPr>
        <w:t>n</w:t>
      </w:r>
      <w:r w:rsidR="005E3D1D" w:rsidRPr="00AD2114">
        <w:rPr>
          <w:rFonts w:ascii="Arial" w:hAnsi="Arial"/>
          <w:sz w:val="24"/>
          <w:szCs w:val="24"/>
        </w:rPr>
        <w:t>deudamiento del patrimonio no corriente</w:t>
      </w:r>
      <w:r w:rsidRPr="00AD2114">
        <w:rPr>
          <w:rFonts w:ascii="Arial" w:hAnsi="Arial"/>
          <w:sz w:val="24"/>
          <w:szCs w:val="24"/>
        </w:rPr>
        <w:t xml:space="preserve"> y ROA, el endeudamiento del activo tiene una </w:t>
      </w:r>
      <w:r w:rsidRPr="00AD2114">
        <w:rPr>
          <w:rFonts w:ascii="Arial" w:hAnsi="Arial"/>
          <w:sz w:val="24"/>
          <w:szCs w:val="24"/>
        </w:rPr>
        <w:lastRenderedPageBreak/>
        <w:t>correlación fuerte con el en</w:t>
      </w:r>
      <w:r w:rsidR="007210E5" w:rsidRPr="00AD2114">
        <w:rPr>
          <w:rFonts w:ascii="Arial" w:hAnsi="Arial"/>
          <w:sz w:val="24"/>
          <w:szCs w:val="24"/>
        </w:rPr>
        <w:t>deudamiento del patrimonio</w:t>
      </w:r>
      <w:r w:rsidRPr="00AD2114">
        <w:rPr>
          <w:rFonts w:ascii="Arial" w:hAnsi="Arial"/>
          <w:sz w:val="24"/>
          <w:szCs w:val="24"/>
        </w:rPr>
        <w:t xml:space="preserve">, y  esta a su vez tiene una correlación moderada positiva con el </w:t>
      </w:r>
      <w:r w:rsidR="00A8780F" w:rsidRPr="00AD2114">
        <w:rPr>
          <w:rFonts w:ascii="Arial" w:hAnsi="Arial"/>
          <w:sz w:val="24"/>
          <w:szCs w:val="24"/>
        </w:rPr>
        <w:t>endeudamiento patrimonial</w:t>
      </w:r>
      <w:r w:rsidR="00911A87" w:rsidRPr="00AD2114">
        <w:rPr>
          <w:rFonts w:ascii="Arial" w:hAnsi="Arial"/>
          <w:sz w:val="24"/>
          <w:szCs w:val="24"/>
        </w:rPr>
        <w:t xml:space="preserve"> corriente</w:t>
      </w:r>
      <w:r w:rsidRPr="00AD2114">
        <w:rPr>
          <w:rFonts w:ascii="Arial" w:hAnsi="Arial"/>
          <w:sz w:val="24"/>
          <w:szCs w:val="24"/>
        </w:rPr>
        <w:t xml:space="preserve">, por lo que las empresas </w:t>
      </w:r>
      <w:r w:rsidR="00911A87" w:rsidRPr="00AD2114">
        <w:rPr>
          <w:rFonts w:ascii="Arial" w:hAnsi="Arial"/>
          <w:sz w:val="24"/>
          <w:szCs w:val="24"/>
        </w:rPr>
        <w:t>manufactureras</w:t>
      </w:r>
      <w:r w:rsidRPr="00AD2114">
        <w:rPr>
          <w:rFonts w:ascii="Arial" w:hAnsi="Arial"/>
          <w:sz w:val="24"/>
          <w:szCs w:val="24"/>
        </w:rPr>
        <w:t xml:space="preserve"> se están financiando con capital externo, hay correlación positivo fuerte entre el ROE y ROA, las  variables están cercanas a 0 por lo que </w:t>
      </w:r>
      <w:r w:rsidR="001F61D4" w:rsidRPr="00AD2114">
        <w:rPr>
          <w:rFonts w:ascii="Arial" w:hAnsi="Arial"/>
          <w:sz w:val="24"/>
          <w:szCs w:val="24"/>
        </w:rPr>
        <w:t xml:space="preserve">se </w:t>
      </w:r>
      <w:r w:rsidRPr="00AD2114">
        <w:rPr>
          <w:rFonts w:ascii="Arial" w:hAnsi="Arial"/>
          <w:sz w:val="24"/>
          <w:szCs w:val="24"/>
        </w:rPr>
        <w:t xml:space="preserve"> determina que no hay relación.</w:t>
      </w:r>
    </w:p>
    <w:p w14:paraId="7B891E4D" w14:textId="2AF96426" w:rsidR="003D6C24" w:rsidRDefault="003D6C24" w:rsidP="0060154D">
      <w:pPr>
        <w:spacing w:after="0" w:line="480" w:lineRule="auto"/>
        <w:jc w:val="both"/>
        <w:rPr>
          <w:rFonts w:ascii="Arial" w:hAnsi="Arial"/>
        </w:rPr>
      </w:pPr>
    </w:p>
    <w:p w14:paraId="5BA7BF35" w14:textId="0C8EF8CF" w:rsidR="0060154D" w:rsidRPr="00CA5686" w:rsidRDefault="00CA5686" w:rsidP="0060154D">
      <w:pPr>
        <w:spacing w:after="0" w:line="480" w:lineRule="auto"/>
        <w:jc w:val="both"/>
        <w:rPr>
          <w:rFonts w:ascii="Arial" w:hAnsi="Arial" w:cs="Arial"/>
          <w:b/>
          <w:bCs/>
          <w:sz w:val="24"/>
          <w:szCs w:val="24"/>
        </w:rPr>
      </w:pPr>
      <w:r w:rsidRPr="00CA5686">
        <w:rPr>
          <w:rFonts w:ascii="Arial" w:eastAsia="Times New Roman" w:hAnsi="Arial" w:cs="Arial"/>
          <w:color w:val="000000"/>
          <w:sz w:val="24"/>
          <w:szCs w:val="24"/>
          <w:lang w:eastAsia="es-EC"/>
        </w:rPr>
        <w:t xml:space="preserve">Tabla </w:t>
      </w:r>
      <w:r w:rsidR="00D44EF1">
        <w:rPr>
          <w:rFonts w:ascii="Arial" w:eastAsia="Times New Roman" w:hAnsi="Arial" w:cs="Arial"/>
          <w:color w:val="000000"/>
          <w:sz w:val="24"/>
          <w:szCs w:val="24"/>
          <w:lang w:eastAsia="es-EC"/>
        </w:rPr>
        <w:t>4</w:t>
      </w:r>
      <w:r w:rsidRPr="00CA5686">
        <w:rPr>
          <w:rFonts w:ascii="Arial" w:eastAsia="Times New Roman" w:hAnsi="Arial" w:cs="Arial"/>
          <w:color w:val="000000"/>
          <w:sz w:val="24"/>
          <w:szCs w:val="24"/>
          <w:lang w:eastAsia="es-EC"/>
        </w:rPr>
        <w:t>:</w:t>
      </w:r>
      <w:r w:rsidRPr="00CA5686">
        <w:rPr>
          <w:rFonts w:ascii="Arial" w:eastAsia="Times New Roman" w:hAnsi="Arial" w:cs="Arial"/>
          <w:b/>
          <w:bCs/>
          <w:color w:val="000000"/>
          <w:sz w:val="24"/>
          <w:szCs w:val="24"/>
          <w:lang w:eastAsia="es-EC"/>
        </w:rPr>
        <w:t xml:space="preserve"> </w:t>
      </w:r>
      <w:r w:rsidRPr="00CA5686">
        <w:rPr>
          <w:rFonts w:ascii="Arial" w:eastAsia="Times New Roman" w:hAnsi="Arial" w:cs="Arial"/>
          <w:color w:val="000000"/>
          <w:sz w:val="24"/>
          <w:szCs w:val="24"/>
          <w:lang w:eastAsia="es-EC"/>
        </w:rPr>
        <w:t>Estructura de capital y rentabilidad sobre los activos (ROA) y rentabilidad sobre el patrimonio (ROE) Efectos Fijos 2017-2019</w:t>
      </w:r>
    </w:p>
    <w:tbl>
      <w:tblPr>
        <w:tblW w:w="8970" w:type="dxa"/>
        <w:tblCellMar>
          <w:left w:w="70" w:type="dxa"/>
          <w:right w:w="70" w:type="dxa"/>
        </w:tblCellMar>
        <w:tblLook w:val="04A0" w:firstRow="1" w:lastRow="0" w:firstColumn="1" w:lastColumn="0" w:noHBand="0" w:noVBand="1"/>
      </w:tblPr>
      <w:tblGrid>
        <w:gridCol w:w="1181"/>
        <w:gridCol w:w="955"/>
        <w:gridCol w:w="939"/>
        <w:gridCol w:w="995"/>
        <w:gridCol w:w="932"/>
        <w:gridCol w:w="995"/>
        <w:gridCol w:w="995"/>
        <w:gridCol w:w="995"/>
        <w:gridCol w:w="983"/>
      </w:tblGrid>
      <w:tr w:rsidR="00CA5686" w:rsidRPr="00CF099E" w14:paraId="42D28382" w14:textId="77777777" w:rsidTr="00340A4E">
        <w:trPr>
          <w:trHeight w:val="300"/>
        </w:trPr>
        <w:tc>
          <w:tcPr>
            <w:tcW w:w="1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770AB" w14:textId="77777777" w:rsidR="00CA5686" w:rsidRPr="00CF099E" w:rsidRDefault="00CA5686" w:rsidP="00340A4E">
            <w:pPr>
              <w:spacing w:after="0" w:line="240" w:lineRule="auto"/>
              <w:rPr>
                <w:rFonts w:ascii="Arial" w:eastAsia="Times New Roman" w:hAnsi="Arial" w:cs="Arial"/>
                <w:b/>
                <w:bCs/>
                <w:color w:val="000000"/>
                <w:sz w:val="18"/>
                <w:szCs w:val="18"/>
                <w:lang w:eastAsia="es-EC"/>
              </w:rPr>
            </w:pPr>
            <w:r w:rsidRPr="00AA4C57">
              <w:rPr>
                <w:rFonts w:ascii="Arial" w:eastAsia="Times New Roman" w:hAnsi="Arial" w:cs="Arial"/>
                <w:b/>
                <w:bCs/>
                <w:color w:val="000000"/>
                <w:sz w:val="18"/>
                <w:szCs w:val="18"/>
                <w:lang w:eastAsia="es-EC"/>
              </w:rPr>
              <w:t>VARIABLES</w:t>
            </w:r>
          </w:p>
        </w:tc>
        <w:tc>
          <w:tcPr>
            <w:tcW w:w="3821" w:type="dxa"/>
            <w:gridSpan w:val="4"/>
            <w:tcBorders>
              <w:top w:val="single" w:sz="4" w:space="0" w:color="auto"/>
              <w:left w:val="nil"/>
              <w:bottom w:val="single" w:sz="4" w:space="0" w:color="auto"/>
              <w:right w:val="single" w:sz="4" w:space="0" w:color="auto"/>
            </w:tcBorders>
            <w:shd w:val="clear" w:color="auto" w:fill="auto"/>
            <w:noWrap/>
            <w:vAlign w:val="center"/>
            <w:hideMark/>
          </w:tcPr>
          <w:p w14:paraId="0DDA0F97" w14:textId="77777777" w:rsidR="00CA5686" w:rsidRPr="00CF099E" w:rsidRDefault="00CA5686" w:rsidP="00340A4E">
            <w:pPr>
              <w:spacing w:after="0" w:line="240" w:lineRule="auto"/>
              <w:jc w:val="center"/>
              <w:rPr>
                <w:rFonts w:ascii="Arial" w:eastAsia="Times New Roman" w:hAnsi="Arial" w:cs="Arial"/>
                <w:b/>
                <w:bCs/>
                <w:color w:val="000000"/>
                <w:sz w:val="18"/>
                <w:szCs w:val="18"/>
                <w:lang w:eastAsia="es-EC"/>
              </w:rPr>
            </w:pPr>
            <w:r w:rsidRPr="00AA4C57">
              <w:rPr>
                <w:rFonts w:ascii="Arial" w:eastAsia="Times New Roman" w:hAnsi="Arial" w:cs="Arial"/>
                <w:b/>
                <w:bCs/>
                <w:color w:val="000000"/>
                <w:sz w:val="18"/>
                <w:szCs w:val="18"/>
                <w:lang w:eastAsia="es-EC"/>
              </w:rPr>
              <w:t>VARIABLE DEPENDIENTE: ROE 2017-2019</w:t>
            </w:r>
          </w:p>
        </w:tc>
        <w:tc>
          <w:tcPr>
            <w:tcW w:w="3968" w:type="dxa"/>
            <w:gridSpan w:val="4"/>
            <w:tcBorders>
              <w:top w:val="single" w:sz="4" w:space="0" w:color="auto"/>
              <w:left w:val="nil"/>
              <w:bottom w:val="single" w:sz="4" w:space="0" w:color="auto"/>
              <w:right w:val="single" w:sz="4" w:space="0" w:color="auto"/>
            </w:tcBorders>
            <w:shd w:val="clear" w:color="auto" w:fill="auto"/>
            <w:noWrap/>
            <w:vAlign w:val="center"/>
            <w:hideMark/>
          </w:tcPr>
          <w:p w14:paraId="0194C191" w14:textId="77777777" w:rsidR="00CA5686" w:rsidRPr="00CF099E" w:rsidRDefault="00CA5686" w:rsidP="00340A4E">
            <w:pPr>
              <w:spacing w:after="0" w:line="240" w:lineRule="auto"/>
              <w:jc w:val="center"/>
              <w:rPr>
                <w:rFonts w:ascii="Arial" w:eastAsia="Times New Roman" w:hAnsi="Arial" w:cs="Arial"/>
                <w:b/>
                <w:bCs/>
                <w:color w:val="000000"/>
                <w:sz w:val="18"/>
                <w:szCs w:val="18"/>
                <w:lang w:eastAsia="es-EC"/>
              </w:rPr>
            </w:pPr>
            <w:r w:rsidRPr="00AA4C57">
              <w:rPr>
                <w:rFonts w:ascii="Arial" w:eastAsia="Times New Roman" w:hAnsi="Arial" w:cs="Arial"/>
                <w:b/>
                <w:bCs/>
                <w:color w:val="000000"/>
                <w:sz w:val="18"/>
                <w:szCs w:val="18"/>
                <w:lang w:eastAsia="es-EC"/>
              </w:rPr>
              <w:t>VARIABLE DEPENDIENTE: ROA 2017-2019</w:t>
            </w:r>
          </w:p>
        </w:tc>
      </w:tr>
      <w:tr w:rsidR="00CA5686" w:rsidRPr="00CF099E" w14:paraId="10520305"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210BF60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62EA741C"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1</w:t>
            </w:r>
          </w:p>
        </w:tc>
        <w:tc>
          <w:tcPr>
            <w:tcW w:w="939" w:type="dxa"/>
            <w:tcBorders>
              <w:top w:val="nil"/>
              <w:left w:val="nil"/>
              <w:bottom w:val="single" w:sz="4" w:space="0" w:color="auto"/>
              <w:right w:val="single" w:sz="4" w:space="0" w:color="auto"/>
            </w:tcBorders>
            <w:shd w:val="clear" w:color="auto" w:fill="auto"/>
            <w:vAlign w:val="center"/>
            <w:hideMark/>
          </w:tcPr>
          <w:p w14:paraId="577542E4"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2</w:t>
            </w:r>
          </w:p>
        </w:tc>
        <w:tc>
          <w:tcPr>
            <w:tcW w:w="995" w:type="dxa"/>
            <w:tcBorders>
              <w:top w:val="nil"/>
              <w:left w:val="nil"/>
              <w:bottom w:val="single" w:sz="4" w:space="0" w:color="auto"/>
              <w:right w:val="single" w:sz="4" w:space="0" w:color="auto"/>
            </w:tcBorders>
            <w:shd w:val="clear" w:color="auto" w:fill="auto"/>
            <w:vAlign w:val="center"/>
            <w:hideMark/>
          </w:tcPr>
          <w:p w14:paraId="4894142C"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3</w:t>
            </w:r>
          </w:p>
        </w:tc>
        <w:tc>
          <w:tcPr>
            <w:tcW w:w="932" w:type="dxa"/>
            <w:tcBorders>
              <w:top w:val="nil"/>
              <w:left w:val="nil"/>
              <w:bottom w:val="single" w:sz="4" w:space="0" w:color="auto"/>
              <w:right w:val="single" w:sz="4" w:space="0" w:color="auto"/>
            </w:tcBorders>
            <w:shd w:val="clear" w:color="auto" w:fill="auto"/>
            <w:vAlign w:val="center"/>
            <w:hideMark/>
          </w:tcPr>
          <w:p w14:paraId="73D6B2AC"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4</w:t>
            </w:r>
          </w:p>
        </w:tc>
        <w:tc>
          <w:tcPr>
            <w:tcW w:w="995" w:type="dxa"/>
            <w:tcBorders>
              <w:top w:val="nil"/>
              <w:left w:val="nil"/>
              <w:bottom w:val="single" w:sz="4" w:space="0" w:color="auto"/>
              <w:right w:val="single" w:sz="4" w:space="0" w:color="auto"/>
            </w:tcBorders>
            <w:shd w:val="clear" w:color="auto" w:fill="auto"/>
            <w:vAlign w:val="center"/>
            <w:hideMark/>
          </w:tcPr>
          <w:p w14:paraId="0E9176C2"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5</w:t>
            </w:r>
          </w:p>
        </w:tc>
        <w:tc>
          <w:tcPr>
            <w:tcW w:w="995" w:type="dxa"/>
            <w:tcBorders>
              <w:top w:val="nil"/>
              <w:left w:val="nil"/>
              <w:bottom w:val="single" w:sz="4" w:space="0" w:color="auto"/>
              <w:right w:val="single" w:sz="4" w:space="0" w:color="auto"/>
            </w:tcBorders>
            <w:shd w:val="clear" w:color="auto" w:fill="auto"/>
            <w:vAlign w:val="center"/>
            <w:hideMark/>
          </w:tcPr>
          <w:p w14:paraId="7D85B721"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6</w:t>
            </w:r>
          </w:p>
        </w:tc>
        <w:tc>
          <w:tcPr>
            <w:tcW w:w="995" w:type="dxa"/>
            <w:tcBorders>
              <w:top w:val="nil"/>
              <w:left w:val="nil"/>
              <w:bottom w:val="single" w:sz="4" w:space="0" w:color="auto"/>
              <w:right w:val="single" w:sz="4" w:space="0" w:color="auto"/>
            </w:tcBorders>
            <w:shd w:val="clear" w:color="auto" w:fill="auto"/>
            <w:vAlign w:val="center"/>
            <w:hideMark/>
          </w:tcPr>
          <w:p w14:paraId="0DCF7835"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7</w:t>
            </w:r>
          </w:p>
        </w:tc>
        <w:tc>
          <w:tcPr>
            <w:tcW w:w="983" w:type="dxa"/>
            <w:tcBorders>
              <w:top w:val="nil"/>
              <w:left w:val="nil"/>
              <w:bottom w:val="single" w:sz="4" w:space="0" w:color="auto"/>
              <w:right w:val="single" w:sz="4" w:space="0" w:color="auto"/>
            </w:tcBorders>
            <w:shd w:val="clear" w:color="auto" w:fill="auto"/>
            <w:vAlign w:val="center"/>
            <w:hideMark/>
          </w:tcPr>
          <w:p w14:paraId="6B434F9C" w14:textId="77777777" w:rsidR="00CA5686" w:rsidRPr="00CF099E" w:rsidRDefault="00CA5686" w:rsidP="00340A4E">
            <w:pPr>
              <w:spacing w:after="0" w:line="240" w:lineRule="auto"/>
              <w:jc w:val="center"/>
              <w:rPr>
                <w:rFonts w:ascii="Arial" w:eastAsia="Times New Roman" w:hAnsi="Arial" w:cs="Arial"/>
                <w:b/>
                <w:bCs/>
                <w:color w:val="000000"/>
                <w:sz w:val="20"/>
                <w:szCs w:val="20"/>
                <w:lang w:eastAsia="es-EC"/>
              </w:rPr>
            </w:pPr>
            <w:r w:rsidRPr="00CF099E">
              <w:rPr>
                <w:rFonts w:ascii="Arial" w:eastAsia="Times New Roman" w:hAnsi="Arial" w:cs="Arial"/>
                <w:b/>
                <w:bCs/>
                <w:color w:val="000000"/>
                <w:sz w:val="20"/>
                <w:szCs w:val="20"/>
                <w:lang w:eastAsia="es-EC"/>
              </w:rPr>
              <w:t>8</w:t>
            </w:r>
          </w:p>
        </w:tc>
      </w:tr>
      <w:tr w:rsidR="00CA5686" w:rsidRPr="00CF099E" w14:paraId="37C17048"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354A874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roofErr w:type="spellStart"/>
            <w:r w:rsidRPr="00CF099E">
              <w:rPr>
                <w:rFonts w:ascii="Arial" w:eastAsia="Times New Roman" w:hAnsi="Arial" w:cs="Arial"/>
                <w:color w:val="000000"/>
                <w:sz w:val="16"/>
                <w:szCs w:val="16"/>
                <w:lang w:eastAsia="es-EC"/>
              </w:rPr>
              <w:t>const</w:t>
            </w:r>
            <w:proofErr w:type="spellEnd"/>
          </w:p>
        </w:tc>
        <w:tc>
          <w:tcPr>
            <w:tcW w:w="955" w:type="dxa"/>
            <w:tcBorders>
              <w:top w:val="nil"/>
              <w:left w:val="nil"/>
              <w:bottom w:val="single" w:sz="4" w:space="0" w:color="auto"/>
              <w:right w:val="single" w:sz="4" w:space="0" w:color="auto"/>
            </w:tcBorders>
            <w:shd w:val="clear" w:color="auto" w:fill="auto"/>
            <w:vAlign w:val="center"/>
            <w:hideMark/>
          </w:tcPr>
          <w:p w14:paraId="07353618"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0,1329</w:t>
            </w:r>
            <w:r w:rsidRPr="00CF099E">
              <w:rPr>
                <w:rFonts w:ascii="Arial" w:eastAsia="Times New Roman" w:hAnsi="Arial" w:cs="Arial"/>
                <w:color w:val="000000"/>
                <w:sz w:val="16"/>
                <w:szCs w:val="16"/>
                <w:lang w:eastAsia="es-EC"/>
              </w:rPr>
              <w:t>*</w:t>
            </w:r>
          </w:p>
        </w:tc>
        <w:tc>
          <w:tcPr>
            <w:tcW w:w="939" w:type="dxa"/>
            <w:tcBorders>
              <w:top w:val="nil"/>
              <w:left w:val="nil"/>
              <w:bottom w:val="single" w:sz="4" w:space="0" w:color="auto"/>
              <w:right w:val="single" w:sz="4" w:space="0" w:color="auto"/>
            </w:tcBorders>
            <w:shd w:val="clear" w:color="auto" w:fill="auto"/>
            <w:vAlign w:val="center"/>
            <w:hideMark/>
          </w:tcPr>
          <w:p w14:paraId="1F68F52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F93A40">
              <w:rPr>
                <w:rFonts w:ascii="Arial" w:eastAsia="Times New Roman" w:hAnsi="Arial" w:cs="Arial"/>
                <w:color w:val="000000"/>
                <w:sz w:val="16"/>
                <w:szCs w:val="16"/>
                <w:lang w:eastAsia="es-EC"/>
              </w:rPr>
              <w:t>0,09582***</w:t>
            </w:r>
          </w:p>
        </w:tc>
        <w:tc>
          <w:tcPr>
            <w:tcW w:w="995" w:type="dxa"/>
            <w:tcBorders>
              <w:top w:val="nil"/>
              <w:left w:val="nil"/>
              <w:bottom w:val="single" w:sz="4" w:space="0" w:color="auto"/>
              <w:right w:val="single" w:sz="4" w:space="0" w:color="auto"/>
            </w:tcBorders>
            <w:shd w:val="clear" w:color="auto" w:fill="auto"/>
            <w:vAlign w:val="center"/>
            <w:hideMark/>
          </w:tcPr>
          <w:p w14:paraId="1890FEF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0,07035</w:t>
            </w:r>
            <w:r w:rsidRPr="00CF099E">
              <w:rPr>
                <w:rFonts w:ascii="Arial" w:eastAsia="Times New Roman" w:hAnsi="Arial" w:cs="Arial"/>
                <w:color w:val="000000"/>
                <w:sz w:val="16"/>
                <w:szCs w:val="16"/>
                <w:lang w:eastAsia="es-EC"/>
              </w:rPr>
              <w:t>**</w:t>
            </w:r>
          </w:p>
        </w:tc>
        <w:tc>
          <w:tcPr>
            <w:tcW w:w="932" w:type="dxa"/>
            <w:tcBorders>
              <w:top w:val="nil"/>
              <w:left w:val="nil"/>
              <w:bottom w:val="single" w:sz="4" w:space="0" w:color="auto"/>
              <w:right w:val="single" w:sz="4" w:space="0" w:color="auto"/>
            </w:tcBorders>
            <w:shd w:val="clear" w:color="auto" w:fill="auto"/>
            <w:vAlign w:val="center"/>
            <w:hideMark/>
          </w:tcPr>
          <w:p w14:paraId="0D91BC2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0.08679*</w:t>
            </w:r>
            <w:r w:rsidRPr="00CF099E">
              <w:rPr>
                <w:rFonts w:ascii="Arial" w:eastAsia="Times New Roman" w:hAnsi="Arial" w:cs="Arial"/>
                <w:color w:val="000000"/>
                <w:sz w:val="16"/>
                <w:szCs w:val="16"/>
                <w:lang w:eastAsia="es-EC"/>
              </w:rPr>
              <w:t>**</w:t>
            </w:r>
          </w:p>
        </w:tc>
        <w:tc>
          <w:tcPr>
            <w:tcW w:w="995" w:type="dxa"/>
            <w:tcBorders>
              <w:top w:val="nil"/>
              <w:left w:val="nil"/>
              <w:bottom w:val="single" w:sz="4" w:space="0" w:color="auto"/>
              <w:right w:val="single" w:sz="4" w:space="0" w:color="auto"/>
            </w:tcBorders>
            <w:shd w:val="clear" w:color="auto" w:fill="auto"/>
            <w:vAlign w:val="center"/>
            <w:hideMark/>
          </w:tcPr>
          <w:p w14:paraId="2AEC9C2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0,08117***</w:t>
            </w:r>
          </w:p>
        </w:tc>
        <w:tc>
          <w:tcPr>
            <w:tcW w:w="995" w:type="dxa"/>
            <w:tcBorders>
              <w:top w:val="nil"/>
              <w:left w:val="nil"/>
              <w:bottom w:val="single" w:sz="4" w:space="0" w:color="auto"/>
              <w:right w:val="single" w:sz="4" w:space="0" w:color="auto"/>
            </w:tcBorders>
            <w:shd w:val="clear" w:color="auto" w:fill="auto"/>
            <w:vAlign w:val="center"/>
            <w:hideMark/>
          </w:tcPr>
          <w:p w14:paraId="5230736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0,04291***</w:t>
            </w:r>
          </w:p>
        </w:tc>
        <w:tc>
          <w:tcPr>
            <w:tcW w:w="995" w:type="dxa"/>
            <w:tcBorders>
              <w:top w:val="nil"/>
              <w:left w:val="nil"/>
              <w:bottom w:val="single" w:sz="4" w:space="0" w:color="auto"/>
              <w:right w:val="single" w:sz="4" w:space="0" w:color="auto"/>
            </w:tcBorders>
            <w:shd w:val="clear" w:color="auto" w:fill="auto"/>
            <w:vAlign w:val="center"/>
            <w:hideMark/>
          </w:tcPr>
          <w:p w14:paraId="27C7A5A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0,02978***</w:t>
            </w:r>
          </w:p>
        </w:tc>
        <w:tc>
          <w:tcPr>
            <w:tcW w:w="983" w:type="dxa"/>
            <w:tcBorders>
              <w:top w:val="nil"/>
              <w:left w:val="nil"/>
              <w:bottom w:val="single" w:sz="4" w:space="0" w:color="auto"/>
              <w:right w:val="single" w:sz="4" w:space="0" w:color="auto"/>
            </w:tcBorders>
            <w:shd w:val="clear" w:color="auto" w:fill="auto"/>
            <w:vAlign w:val="center"/>
            <w:hideMark/>
          </w:tcPr>
          <w:p w14:paraId="312A1DA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0,03319***</w:t>
            </w:r>
          </w:p>
        </w:tc>
      </w:tr>
      <w:tr w:rsidR="00CA5686" w:rsidRPr="00CF099E" w14:paraId="6A4B78CE"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12FD4C5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1A66FC8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(0,07048)</w:t>
            </w:r>
          </w:p>
        </w:tc>
        <w:tc>
          <w:tcPr>
            <w:tcW w:w="939" w:type="dxa"/>
            <w:tcBorders>
              <w:top w:val="nil"/>
              <w:left w:val="nil"/>
              <w:bottom w:val="single" w:sz="4" w:space="0" w:color="auto"/>
              <w:right w:val="single" w:sz="4" w:space="0" w:color="auto"/>
            </w:tcBorders>
            <w:shd w:val="clear" w:color="auto" w:fill="auto"/>
            <w:vAlign w:val="center"/>
            <w:hideMark/>
          </w:tcPr>
          <w:p w14:paraId="7BF1923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F93A40">
              <w:rPr>
                <w:rFonts w:ascii="Arial" w:eastAsia="Times New Roman" w:hAnsi="Arial" w:cs="Arial"/>
                <w:color w:val="000000"/>
                <w:sz w:val="16"/>
                <w:szCs w:val="16"/>
                <w:lang w:eastAsia="es-EC"/>
              </w:rPr>
              <w:t>(0,03262)</w:t>
            </w:r>
          </w:p>
        </w:tc>
        <w:tc>
          <w:tcPr>
            <w:tcW w:w="995" w:type="dxa"/>
            <w:tcBorders>
              <w:top w:val="nil"/>
              <w:left w:val="nil"/>
              <w:bottom w:val="single" w:sz="4" w:space="0" w:color="auto"/>
              <w:right w:val="single" w:sz="4" w:space="0" w:color="auto"/>
            </w:tcBorders>
            <w:shd w:val="clear" w:color="auto" w:fill="auto"/>
            <w:vAlign w:val="center"/>
            <w:hideMark/>
          </w:tcPr>
          <w:p w14:paraId="7D8422E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w:t>
            </w:r>
            <w:r>
              <w:rPr>
                <w:rFonts w:ascii="Arial" w:eastAsia="Times New Roman" w:hAnsi="Arial" w:cs="Arial"/>
                <w:color w:val="000000"/>
                <w:sz w:val="16"/>
                <w:szCs w:val="16"/>
                <w:lang w:eastAsia="es-EC"/>
              </w:rPr>
              <w:t>03195</w:t>
            </w:r>
            <w:r w:rsidRPr="00CF099E">
              <w:rPr>
                <w:rFonts w:ascii="Arial" w:eastAsia="Times New Roman" w:hAnsi="Arial" w:cs="Arial"/>
                <w:color w:val="000000"/>
                <w:sz w:val="16"/>
                <w:szCs w:val="16"/>
                <w:lang w:eastAsia="es-EC"/>
              </w:rPr>
              <w:t>)</w:t>
            </w:r>
          </w:p>
        </w:tc>
        <w:tc>
          <w:tcPr>
            <w:tcW w:w="932" w:type="dxa"/>
            <w:tcBorders>
              <w:top w:val="nil"/>
              <w:left w:val="nil"/>
              <w:bottom w:val="single" w:sz="4" w:space="0" w:color="auto"/>
              <w:right w:val="single" w:sz="4" w:space="0" w:color="auto"/>
            </w:tcBorders>
            <w:shd w:val="clear" w:color="auto" w:fill="auto"/>
            <w:vAlign w:val="center"/>
            <w:hideMark/>
          </w:tcPr>
          <w:p w14:paraId="513BAB6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w:t>
            </w:r>
            <w:r>
              <w:rPr>
                <w:rFonts w:ascii="Arial" w:eastAsia="Times New Roman" w:hAnsi="Arial" w:cs="Arial"/>
                <w:color w:val="000000"/>
                <w:sz w:val="16"/>
                <w:szCs w:val="16"/>
                <w:lang w:eastAsia="es-EC"/>
              </w:rPr>
              <w:t>2510</w:t>
            </w:r>
            <w:r w:rsidRPr="00CF099E">
              <w:rPr>
                <w:rFonts w:ascii="Arial" w:eastAsia="Times New Roman" w:hAnsi="Arial" w:cs="Arial"/>
                <w:color w:val="000000"/>
                <w:sz w:val="16"/>
                <w:szCs w:val="16"/>
                <w:lang w:eastAsia="es-EC"/>
              </w:rPr>
              <w:t>)</w:t>
            </w:r>
          </w:p>
        </w:tc>
        <w:tc>
          <w:tcPr>
            <w:tcW w:w="995" w:type="dxa"/>
            <w:tcBorders>
              <w:top w:val="nil"/>
              <w:left w:val="nil"/>
              <w:bottom w:val="single" w:sz="4" w:space="0" w:color="auto"/>
              <w:right w:val="single" w:sz="4" w:space="0" w:color="auto"/>
            </w:tcBorders>
            <w:shd w:val="clear" w:color="auto" w:fill="auto"/>
            <w:vAlign w:val="center"/>
            <w:hideMark/>
          </w:tcPr>
          <w:p w14:paraId="792B136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(0,01968)</w:t>
            </w:r>
          </w:p>
        </w:tc>
        <w:tc>
          <w:tcPr>
            <w:tcW w:w="995" w:type="dxa"/>
            <w:tcBorders>
              <w:top w:val="nil"/>
              <w:left w:val="nil"/>
              <w:bottom w:val="single" w:sz="4" w:space="0" w:color="auto"/>
              <w:right w:val="single" w:sz="4" w:space="0" w:color="auto"/>
            </w:tcBorders>
            <w:shd w:val="clear" w:color="auto" w:fill="auto"/>
            <w:vAlign w:val="center"/>
            <w:hideMark/>
          </w:tcPr>
          <w:p w14:paraId="0495900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(0,009235)</w:t>
            </w:r>
          </w:p>
        </w:tc>
        <w:tc>
          <w:tcPr>
            <w:tcW w:w="995" w:type="dxa"/>
            <w:tcBorders>
              <w:top w:val="nil"/>
              <w:left w:val="nil"/>
              <w:bottom w:val="single" w:sz="4" w:space="0" w:color="auto"/>
              <w:right w:val="single" w:sz="4" w:space="0" w:color="auto"/>
            </w:tcBorders>
            <w:shd w:val="clear" w:color="auto" w:fill="auto"/>
            <w:vAlign w:val="center"/>
            <w:hideMark/>
          </w:tcPr>
          <w:p w14:paraId="78C3E69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(0,007550)</w:t>
            </w:r>
          </w:p>
        </w:tc>
        <w:tc>
          <w:tcPr>
            <w:tcW w:w="983" w:type="dxa"/>
            <w:tcBorders>
              <w:top w:val="nil"/>
              <w:left w:val="nil"/>
              <w:bottom w:val="single" w:sz="4" w:space="0" w:color="auto"/>
              <w:right w:val="single" w:sz="4" w:space="0" w:color="auto"/>
            </w:tcBorders>
            <w:shd w:val="clear" w:color="auto" w:fill="auto"/>
            <w:vAlign w:val="center"/>
            <w:hideMark/>
          </w:tcPr>
          <w:p w14:paraId="0E72EF1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(0,007278)</w:t>
            </w:r>
          </w:p>
        </w:tc>
      </w:tr>
      <w:tr w:rsidR="00CA5686" w:rsidRPr="00CF099E" w14:paraId="3524090C"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6C66782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Liquidez</w:t>
            </w:r>
          </w:p>
        </w:tc>
        <w:tc>
          <w:tcPr>
            <w:tcW w:w="955" w:type="dxa"/>
            <w:tcBorders>
              <w:top w:val="nil"/>
              <w:left w:val="nil"/>
              <w:bottom w:val="single" w:sz="4" w:space="0" w:color="auto"/>
              <w:right w:val="single" w:sz="4" w:space="0" w:color="auto"/>
            </w:tcBorders>
            <w:shd w:val="clear" w:color="auto" w:fill="auto"/>
            <w:vAlign w:val="center"/>
            <w:hideMark/>
          </w:tcPr>
          <w:p w14:paraId="321CAA5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(0,006298)</w:t>
            </w:r>
          </w:p>
        </w:tc>
        <w:tc>
          <w:tcPr>
            <w:tcW w:w="939" w:type="dxa"/>
            <w:tcBorders>
              <w:top w:val="nil"/>
              <w:left w:val="nil"/>
              <w:bottom w:val="single" w:sz="4" w:space="0" w:color="auto"/>
              <w:right w:val="single" w:sz="4" w:space="0" w:color="auto"/>
            </w:tcBorders>
            <w:shd w:val="clear" w:color="auto" w:fill="auto"/>
            <w:vAlign w:val="center"/>
            <w:hideMark/>
          </w:tcPr>
          <w:p w14:paraId="10C09A2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F93A40">
              <w:rPr>
                <w:rFonts w:ascii="Arial" w:eastAsia="Times New Roman" w:hAnsi="Arial" w:cs="Arial"/>
                <w:color w:val="000000"/>
                <w:sz w:val="16"/>
                <w:szCs w:val="16"/>
                <w:lang w:eastAsia="es-EC"/>
              </w:rPr>
              <w:t>-0,004185</w:t>
            </w:r>
          </w:p>
        </w:tc>
        <w:tc>
          <w:tcPr>
            <w:tcW w:w="995" w:type="dxa"/>
            <w:tcBorders>
              <w:top w:val="nil"/>
              <w:left w:val="nil"/>
              <w:bottom w:val="single" w:sz="4" w:space="0" w:color="auto"/>
              <w:right w:val="single" w:sz="4" w:space="0" w:color="auto"/>
            </w:tcBorders>
            <w:shd w:val="clear" w:color="auto" w:fill="auto"/>
            <w:vAlign w:val="center"/>
            <w:hideMark/>
          </w:tcPr>
          <w:p w14:paraId="47E6F1B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-0,004185</w:t>
            </w:r>
          </w:p>
        </w:tc>
        <w:tc>
          <w:tcPr>
            <w:tcW w:w="932" w:type="dxa"/>
            <w:tcBorders>
              <w:top w:val="nil"/>
              <w:left w:val="nil"/>
              <w:bottom w:val="single" w:sz="4" w:space="0" w:color="auto"/>
              <w:right w:val="single" w:sz="4" w:space="0" w:color="auto"/>
            </w:tcBorders>
            <w:shd w:val="clear" w:color="auto" w:fill="auto"/>
            <w:vAlign w:val="center"/>
            <w:hideMark/>
          </w:tcPr>
          <w:p w14:paraId="01D38C4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0,00</w:t>
            </w:r>
            <w:r>
              <w:rPr>
                <w:rFonts w:ascii="Arial" w:eastAsia="Times New Roman" w:hAnsi="Arial" w:cs="Arial"/>
                <w:color w:val="000000"/>
                <w:sz w:val="16"/>
                <w:szCs w:val="16"/>
                <w:lang w:eastAsia="es-EC"/>
              </w:rPr>
              <w:t>5708</w:t>
            </w:r>
          </w:p>
        </w:tc>
        <w:tc>
          <w:tcPr>
            <w:tcW w:w="995" w:type="dxa"/>
            <w:tcBorders>
              <w:top w:val="nil"/>
              <w:left w:val="nil"/>
              <w:bottom w:val="single" w:sz="4" w:space="0" w:color="auto"/>
              <w:right w:val="single" w:sz="4" w:space="0" w:color="auto"/>
            </w:tcBorders>
            <w:shd w:val="clear" w:color="auto" w:fill="auto"/>
            <w:vAlign w:val="center"/>
            <w:hideMark/>
          </w:tcPr>
          <w:p w14:paraId="2BB9BD10"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-0,0007686</w:t>
            </w:r>
          </w:p>
        </w:tc>
        <w:tc>
          <w:tcPr>
            <w:tcW w:w="995" w:type="dxa"/>
            <w:tcBorders>
              <w:top w:val="nil"/>
              <w:left w:val="nil"/>
              <w:bottom w:val="single" w:sz="4" w:space="0" w:color="auto"/>
              <w:right w:val="single" w:sz="4" w:space="0" w:color="auto"/>
            </w:tcBorders>
            <w:shd w:val="clear" w:color="auto" w:fill="auto"/>
            <w:vAlign w:val="center"/>
            <w:hideMark/>
          </w:tcPr>
          <w:p w14:paraId="0F96E1E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-0,0007411</w:t>
            </w:r>
          </w:p>
        </w:tc>
        <w:tc>
          <w:tcPr>
            <w:tcW w:w="995" w:type="dxa"/>
            <w:tcBorders>
              <w:top w:val="nil"/>
              <w:left w:val="nil"/>
              <w:bottom w:val="single" w:sz="4" w:space="0" w:color="auto"/>
              <w:right w:val="single" w:sz="4" w:space="0" w:color="auto"/>
            </w:tcBorders>
            <w:shd w:val="clear" w:color="auto" w:fill="auto"/>
            <w:vAlign w:val="center"/>
            <w:hideMark/>
          </w:tcPr>
          <w:p w14:paraId="2A6582F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-0,0003635</w:t>
            </w:r>
          </w:p>
        </w:tc>
        <w:tc>
          <w:tcPr>
            <w:tcW w:w="983" w:type="dxa"/>
            <w:tcBorders>
              <w:top w:val="nil"/>
              <w:left w:val="nil"/>
              <w:bottom w:val="single" w:sz="4" w:space="0" w:color="auto"/>
              <w:right w:val="single" w:sz="4" w:space="0" w:color="auto"/>
            </w:tcBorders>
            <w:shd w:val="clear" w:color="auto" w:fill="auto"/>
            <w:vAlign w:val="center"/>
            <w:hideMark/>
          </w:tcPr>
          <w:p w14:paraId="135EC12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0,002318</w:t>
            </w:r>
          </w:p>
        </w:tc>
      </w:tr>
      <w:tr w:rsidR="00CA5686" w:rsidRPr="00CF099E" w14:paraId="607E866E"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427BE71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265CBC50"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
        </w:tc>
        <w:tc>
          <w:tcPr>
            <w:tcW w:w="939" w:type="dxa"/>
            <w:tcBorders>
              <w:top w:val="nil"/>
              <w:left w:val="nil"/>
              <w:bottom w:val="single" w:sz="4" w:space="0" w:color="auto"/>
              <w:right w:val="single" w:sz="4" w:space="0" w:color="auto"/>
            </w:tcBorders>
            <w:shd w:val="clear" w:color="auto" w:fill="auto"/>
            <w:vAlign w:val="center"/>
            <w:hideMark/>
          </w:tcPr>
          <w:p w14:paraId="4EB11EE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(0,00</w:t>
            </w:r>
            <w:r>
              <w:rPr>
                <w:rFonts w:ascii="Arial" w:eastAsia="Times New Roman" w:hAnsi="Arial" w:cs="Arial"/>
                <w:color w:val="000000"/>
                <w:sz w:val="16"/>
                <w:szCs w:val="16"/>
                <w:lang w:eastAsia="es-EC"/>
              </w:rPr>
              <w:t>6290</w:t>
            </w:r>
            <w:r w:rsidRPr="00CF099E">
              <w:rPr>
                <w:rFonts w:ascii="Arial" w:eastAsia="Times New Roman" w:hAnsi="Arial" w:cs="Arial"/>
                <w:color w:val="000000"/>
                <w:sz w:val="16"/>
                <w:szCs w:val="16"/>
                <w:lang w:eastAsia="es-EC"/>
              </w:rPr>
              <w:t>)</w:t>
            </w:r>
          </w:p>
        </w:tc>
        <w:tc>
          <w:tcPr>
            <w:tcW w:w="995" w:type="dxa"/>
            <w:tcBorders>
              <w:top w:val="nil"/>
              <w:left w:val="nil"/>
              <w:bottom w:val="single" w:sz="4" w:space="0" w:color="auto"/>
              <w:right w:val="single" w:sz="4" w:space="0" w:color="auto"/>
            </w:tcBorders>
            <w:shd w:val="clear" w:color="auto" w:fill="auto"/>
            <w:vAlign w:val="center"/>
            <w:hideMark/>
          </w:tcPr>
          <w:p w14:paraId="7BFC707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(0,00</w:t>
            </w:r>
            <w:r>
              <w:rPr>
                <w:rFonts w:ascii="Arial" w:eastAsia="Times New Roman" w:hAnsi="Arial" w:cs="Arial"/>
                <w:color w:val="000000"/>
                <w:sz w:val="16"/>
                <w:szCs w:val="16"/>
                <w:lang w:eastAsia="es-EC"/>
              </w:rPr>
              <w:t>6290</w:t>
            </w:r>
            <w:r w:rsidRPr="00CF099E">
              <w:rPr>
                <w:rFonts w:ascii="Arial" w:eastAsia="Times New Roman" w:hAnsi="Arial" w:cs="Arial"/>
                <w:color w:val="000000"/>
                <w:sz w:val="16"/>
                <w:szCs w:val="16"/>
                <w:lang w:eastAsia="es-EC"/>
              </w:rPr>
              <w:t>)</w:t>
            </w:r>
          </w:p>
        </w:tc>
        <w:tc>
          <w:tcPr>
            <w:tcW w:w="932" w:type="dxa"/>
            <w:tcBorders>
              <w:top w:val="nil"/>
              <w:left w:val="nil"/>
              <w:bottom w:val="single" w:sz="4" w:space="0" w:color="auto"/>
              <w:right w:val="single" w:sz="4" w:space="0" w:color="auto"/>
            </w:tcBorders>
            <w:shd w:val="clear" w:color="auto" w:fill="auto"/>
            <w:vAlign w:val="center"/>
            <w:hideMark/>
          </w:tcPr>
          <w:p w14:paraId="1E72930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(0,00</w:t>
            </w:r>
            <w:r>
              <w:rPr>
                <w:rFonts w:ascii="Arial" w:eastAsia="Times New Roman" w:hAnsi="Arial" w:cs="Arial"/>
                <w:color w:val="000000"/>
                <w:sz w:val="16"/>
                <w:szCs w:val="16"/>
                <w:lang w:eastAsia="es-EC"/>
              </w:rPr>
              <w:t>6641</w:t>
            </w:r>
            <w:r w:rsidRPr="00CF099E">
              <w:rPr>
                <w:rFonts w:ascii="Arial" w:eastAsia="Times New Roman" w:hAnsi="Arial" w:cs="Arial"/>
                <w:color w:val="000000"/>
                <w:sz w:val="16"/>
                <w:szCs w:val="16"/>
                <w:lang w:eastAsia="es-EC"/>
              </w:rPr>
              <w:t>)</w:t>
            </w:r>
          </w:p>
        </w:tc>
        <w:tc>
          <w:tcPr>
            <w:tcW w:w="995" w:type="dxa"/>
            <w:tcBorders>
              <w:top w:val="nil"/>
              <w:left w:val="nil"/>
              <w:bottom w:val="single" w:sz="4" w:space="0" w:color="auto"/>
              <w:right w:val="single" w:sz="4" w:space="0" w:color="auto"/>
            </w:tcBorders>
            <w:shd w:val="clear" w:color="auto" w:fill="auto"/>
            <w:vAlign w:val="center"/>
            <w:hideMark/>
          </w:tcPr>
          <w:p w14:paraId="2C7FC75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(0,001758)</w:t>
            </w:r>
          </w:p>
        </w:tc>
        <w:tc>
          <w:tcPr>
            <w:tcW w:w="995" w:type="dxa"/>
            <w:tcBorders>
              <w:top w:val="nil"/>
              <w:left w:val="nil"/>
              <w:bottom w:val="single" w:sz="4" w:space="0" w:color="auto"/>
              <w:right w:val="single" w:sz="4" w:space="0" w:color="auto"/>
            </w:tcBorders>
            <w:shd w:val="clear" w:color="auto" w:fill="auto"/>
            <w:vAlign w:val="center"/>
            <w:hideMark/>
          </w:tcPr>
          <w:p w14:paraId="3D1027B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(0,001781)</w:t>
            </w:r>
          </w:p>
        </w:tc>
        <w:tc>
          <w:tcPr>
            <w:tcW w:w="995" w:type="dxa"/>
            <w:tcBorders>
              <w:top w:val="nil"/>
              <w:left w:val="nil"/>
              <w:bottom w:val="single" w:sz="4" w:space="0" w:color="auto"/>
              <w:right w:val="single" w:sz="4" w:space="0" w:color="auto"/>
            </w:tcBorders>
            <w:shd w:val="clear" w:color="auto" w:fill="auto"/>
            <w:vAlign w:val="center"/>
            <w:hideMark/>
          </w:tcPr>
          <w:p w14:paraId="2FD10ED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(0,001817)</w:t>
            </w:r>
          </w:p>
        </w:tc>
        <w:tc>
          <w:tcPr>
            <w:tcW w:w="983" w:type="dxa"/>
            <w:tcBorders>
              <w:top w:val="nil"/>
              <w:left w:val="nil"/>
              <w:bottom w:val="single" w:sz="4" w:space="0" w:color="auto"/>
              <w:right w:val="single" w:sz="4" w:space="0" w:color="auto"/>
            </w:tcBorders>
            <w:shd w:val="clear" w:color="auto" w:fill="auto"/>
            <w:vAlign w:val="center"/>
            <w:hideMark/>
          </w:tcPr>
          <w:p w14:paraId="0232589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(0,001926)</w:t>
            </w:r>
          </w:p>
        </w:tc>
      </w:tr>
      <w:tr w:rsidR="00CA5686" w:rsidRPr="00CF099E" w14:paraId="10421689"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70F80C6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roofErr w:type="spellStart"/>
            <w:r w:rsidRPr="00CF099E">
              <w:rPr>
                <w:rFonts w:ascii="Arial" w:eastAsia="Times New Roman" w:hAnsi="Arial" w:cs="Arial"/>
                <w:color w:val="000000"/>
                <w:sz w:val="16"/>
                <w:szCs w:val="16"/>
                <w:lang w:eastAsia="es-EC"/>
              </w:rPr>
              <w:t>End_act</w:t>
            </w:r>
            <w:proofErr w:type="spellEnd"/>
          </w:p>
        </w:tc>
        <w:tc>
          <w:tcPr>
            <w:tcW w:w="955" w:type="dxa"/>
            <w:tcBorders>
              <w:top w:val="nil"/>
              <w:left w:val="nil"/>
              <w:bottom w:val="single" w:sz="4" w:space="0" w:color="auto"/>
              <w:right w:val="single" w:sz="4" w:space="0" w:color="auto"/>
            </w:tcBorders>
            <w:shd w:val="clear" w:color="auto" w:fill="auto"/>
            <w:vAlign w:val="center"/>
            <w:hideMark/>
          </w:tcPr>
          <w:p w14:paraId="77014946"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-0,09152</w:t>
            </w:r>
          </w:p>
        </w:tc>
        <w:tc>
          <w:tcPr>
            <w:tcW w:w="939" w:type="dxa"/>
            <w:tcBorders>
              <w:top w:val="nil"/>
              <w:left w:val="nil"/>
              <w:bottom w:val="single" w:sz="4" w:space="0" w:color="auto"/>
              <w:right w:val="single" w:sz="4" w:space="0" w:color="auto"/>
            </w:tcBorders>
            <w:shd w:val="clear" w:color="auto" w:fill="auto"/>
            <w:vAlign w:val="center"/>
            <w:hideMark/>
          </w:tcPr>
          <w:p w14:paraId="0764EB8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45AD7A6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2" w:type="dxa"/>
            <w:tcBorders>
              <w:top w:val="nil"/>
              <w:left w:val="nil"/>
              <w:bottom w:val="single" w:sz="4" w:space="0" w:color="auto"/>
              <w:right w:val="single" w:sz="4" w:space="0" w:color="auto"/>
            </w:tcBorders>
            <w:shd w:val="clear" w:color="auto" w:fill="auto"/>
            <w:vAlign w:val="center"/>
            <w:hideMark/>
          </w:tcPr>
          <w:p w14:paraId="2B3EB19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1F30C435" w14:textId="77777777" w:rsidR="00CA5686" w:rsidRPr="00CF099E" w:rsidRDefault="00CA5686" w:rsidP="00340A4E">
            <w:pPr>
              <w:spacing w:after="0" w:line="240" w:lineRule="auto"/>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-0,08124***</w:t>
            </w:r>
          </w:p>
        </w:tc>
        <w:tc>
          <w:tcPr>
            <w:tcW w:w="995" w:type="dxa"/>
            <w:tcBorders>
              <w:top w:val="nil"/>
              <w:left w:val="nil"/>
              <w:bottom w:val="single" w:sz="4" w:space="0" w:color="auto"/>
              <w:right w:val="single" w:sz="4" w:space="0" w:color="auto"/>
            </w:tcBorders>
            <w:shd w:val="clear" w:color="auto" w:fill="auto"/>
            <w:vAlign w:val="center"/>
            <w:hideMark/>
          </w:tcPr>
          <w:p w14:paraId="2CE3D58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3B82B52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83" w:type="dxa"/>
            <w:tcBorders>
              <w:top w:val="nil"/>
              <w:left w:val="nil"/>
              <w:bottom w:val="single" w:sz="4" w:space="0" w:color="auto"/>
              <w:right w:val="single" w:sz="4" w:space="0" w:color="auto"/>
            </w:tcBorders>
            <w:shd w:val="clear" w:color="auto" w:fill="auto"/>
            <w:vAlign w:val="center"/>
            <w:hideMark/>
          </w:tcPr>
          <w:p w14:paraId="206CFD6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r>
      <w:tr w:rsidR="00CA5686" w:rsidRPr="00CF099E" w14:paraId="3A77E9A3"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52674F80"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6061B126"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(0,1</w:t>
            </w:r>
            <w:r>
              <w:rPr>
                <w:rFonts w:ascii="Arial" w:eastAsia="Times New Roman" w:hAnsi="Arial" w:cs="Arial"/>
                <w:color w:val="000000"/>
                <w:sz w:val="16"/>
                <w:szCs w:val="16"/>
                <w:lang w:eastAsia="es-EC"/>
              </w:rPr>
              <w:t>035</w:t>
            </w:r>
            <w:r w:rsidRPr="00CF099E">
              <w:rPr>
                <w:rFonts w:ascii="Arial" w:eastAsia="Times New Roman" w:hAnsi="Arial" w:cs="Arial"/>
                <w:color w:val="000000"/>
                <w:sz w:val="16"/>
                <w:szCs w:val="16"/>
                <w:lang w:eastAsia="es-EC"/>
              </w:rPr>
              <w:t>)</w:t>
            </w:r>
          </w:p>
        </w:tc>
        <w:tc>
          <w:tcPr>
            <w:tcW w:w="939" w:type="dxa"/>
            <w:tcBorders>
              <w:top w:val="nil"/>
              <w:left w:val="nil"/>
              <w:bottom w:val="single" w:sz="4" w:space="0" w:color="auto"/>
              <w:right w:val="single" w:sz="4" w:space="0" w:color="auto"/>
            </w:tcBorders>
            <w:shd w:val="clear" w:color="auto" w:fill="auto"/>
            <w:vAlign w:val="center"/>
            <w:hideMark/>
          </w:tcPr>
          <w:p w14:paraId="1ED5DBD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0D609E0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2" w:type="dxa"/>
            <w:tcBorders>
              <w:top w:val="nil"/>
              <w:left w:val="nil"/>
              <w:bottom w:val="single" w:sz="4" w:space="0" w:color="auto"/>
              <w:right w:val="single" w:sz="4" w:space="0" w:color="auto"/>
            </w:tcBorders>
            <w:shd w:val="clear" w:color="auto" w:fill="auto"/>
            <w:vAlign w:val="center"/>
            <w:hideMark/>
          </w:tcPr>
          <w:p w14:paraId="4E9C40B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5B6BD78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(0,02890)</w:t>
            </w:r>
          </w:p>
        </w:tc>
        <w:tc>
          <w:tcPr>
            <w:tcW w:w="995" w:type="dxa"/>
            <w:tcBorders>
              <w:top w:val="nil"/>
              <w:left w:val="nil"/>
              <w:bottom w:val="single" w:sz="4" w:space="0" w:color="auto"/>
              <w:right w:val="single" w:sz="4" w:space="0" w:color="auto"/>
            </w:tcBorders>
            <w:shd w:val="clear" w:color="auto" w:fill="auto"/>
            <w:vAlign w:val="center"/>
            <w:hideMark/>
          </w:tcPr>
          <w:p w14:paraId="5338BD4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42C1EEB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83" w:type="dxa"/>
            <w:tcBorders>
              <w:top w:val="nil"/>
              <w:left w:val="nil"/>
              <w:bottom w:val="single" w:sz="4" w:space="0" w:color="auto"/>
              <w:right w:val="single" w:sz="4" w:space="0" w:color="auto"/>
            </w:tcBorders>
            <w:shd w:val="clear" w:color="auto" w:fill="auto"/>
            <w:vAlign w:val="center"/>
            <w:hideMark/>
          </w:tcPr>
          <w:p w14:paraId="24F0870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r>
      <w:tr w:rsidR="00CA5686" w:rsidRPr="00CF099E" w14:paraId="10C82B28"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254AD58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roofErr w:type="spellStart"/>
            <w:r w:rsidRPr="00CF099E">
              <w:rPr>
                <w:rFonts w:ascii="Arial" w:eastAsia="Times New Roman" w:hAnsi="Arial" w:cs="Arial"/>
                <w:color w:val="000000"/>
                <w:sz w:val="16"/>
                <w:szCs w:val="16"/>
                <w:lang w:eastAsia="es-EC"/>
              </w:rPr>
              <w:t>End_pat</w:t>
            </w:r>
            <w:proofErr w:type="spellEnd"/>
          </w:p>
        </w:tc>
        <w:tc>
          <w:tcPr>
            <w:tcW w:w="955" w:type="dxa"/>
            <w:tcBorders>
              <w:top w:val="nil"/>
              <w:left w:val="nil"/>
              <w:bottom w:val="single" w:sz="4" w:space="0" w:color="auto"/>
              <w:right w:val="single" w:sz="4" w:space="0" w:color="auto"/>
            </w:tcBorders>
            <w:shd w:val="clear" w:color="auto" w:fill="auto"/>
            <w:vAlign w:val="center"/>
            <w:hideMark/>
          </w:tcPr>
          <w:p w14:paraId="42ED6DA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9" w:type="dxa"/>
            <w:tcBorders>
              <w:top w:val="nil"/>
              <w:left w:val="nil"/>
              <w:bottom w:val="single" w:sz="4" w:space="0" w:color="auto"/>
              <w:right w:val="single" w:sz="4" w:space="0" w:color="auto"/>
            </w:tcBorders>
            <w:shd w:val="clear" w:color="auto" w:fill="auto"/>
            <w:vAlign w:val="center"/>
            <w:hideMark/>
          </w:tcPr>
          <w:p w14:paraId="2995B8C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w:t>
            </w:r>
            <w:r>
              <w:rPr>
                <w:rFonts w:ascii="Arial" w:eastAsia="Times New Roman" w:hAnsi="Arial" w:cs="Arial"/>
                <w:color w:val="000000"/>
                <w:sz w:val="16"/>
                <w:szCs w:val="16"/>
                <w:lang w:eastAsia="es-EC"/>
              </w:rPr>
              <w:t>06511</w:t>
            </w:r>
          </w:p>
        </w:tc>
        <w:tc>
          <w:tcPr>
            <w:tcW w:w="995" w:type="dxa"/>
            <w:tcBorders>
              <w:top w:val="nil"/>
              <w:left w:val="nil"/>
              <w:bottom w:val="single" w:sz="4" w:space="0" w:color="auto"/>
              <w:right w:val="single" w:sz="4" w:space="0" w:color="auto"/>
            </w:tcBorders>
            <w:shd w:val="clear" w:color="auto" w:fill="auto"/>
            <w:vAlign w:val="center"/>
            <w:hideMark/>
          </w:tcPr>
          <w:p w14:paraId="6FDE7AD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2" w:type="dxa"/>
            <w:tcBorders>
              <w:top w:val="nil"/>
              <w:left w:val="nil"/>
              <w:bottom w:val="single" w:sz="4" w:space="0" w:color="auto"/>
              <w:right w:val="single" w:sz="4" w:space="0" w:color="auto"/>
            </w:tcBorders>
            <w:shd w:val="clear" w:color="auto" w:fill="auto"/>
            <w:vAlign w:val="center"/>
            <w:hideMark/>
          </w:tcPr>
          <w:p w14:paraId="451B6E0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485A1B4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43D546D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-0,004103**</w:t>
            </w:r>
          </w:p>
        </w:tc>
        <w:tc>
          <w:tcPr>
            <w:tcW w:w="995" w:type="dxa"/>
            <w:tcBorders>
              <w:top w:val="nil"/>
              <w:left w:val="nil"/>
              <w:bottom w:val="single" w:sz="4" w:space="0" w:color="auto"/>
              <w:right w:val="single" w:sz="4" w:space="0" w:color="auto"/>
            </w:tcBorders>
            <w:shd w:val="clear" w:color="auto" w:fill="auto"/>
            <w:vAlign w:val="center"/>
            <w:hideMark/>
          </w:tcPr>
          <w:p w14:paraId="680C5E7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83" w:type="dxa"/>
            <w:tcBorders>
              <w:top w:val="nil"/>
              <w:left w:val="nil"/>
              <w:bottom w:val="single" w:sz="4" w:space="0" w:color="auto"/>
              <w:right w:val="single" w:sz="4" w:space="0" w:color="auto"/>
            </w:tcBorders>
            <w:shd w:val="clear" w:color="auto" w:fill="auto"/>
            <w:vAlign w:val="center"/>
            <w:hideMark/>
          </w:tcPr>
          <w:p w14:paraId="3D91787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r>
      <w:tr w:rsidR="00CA5686" w:rsidRPr="00CF099E" w14:paraId="6A8E779C"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6A2C458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3F74BF30"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9" w:type="dxa"/>
            <w:tcBorders>
              <w:top w:val="nil"/>
              <w:left w:val="nil"/>
              <w:bottom w:val="single" w:sz="4" w:space="0" w:color="auto"/>
              <w:right w:val="single" w:sz="4" w:space="0" w:color="auto"/>
            </w:tcBorders>
            <w:shd w:val="clear" w:color="auto" w:fill="auto"/>
            <w:vAlign w:val="center"/>
            <w:hideMark/>
          </w:tcPr>
          <w:p w14:paraId="7CD7582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w:t>
            </w:r>
            <w:r>
              <w:rPr>
                <w:rFonts w:ascii="Arial" w:eastAsia="Times New Roman" w:hAnsi="Arial" w:cs="Arial"/>
                <w:color w:val="000000"/>
                <w:sz w:val="16"/>
                <w:szCs w:val="16"/>
                <w:lang w:eastAsia="es-EC"/>
              </w:rPr>
              <w:t>06142</w:t>
            </w:r>
            <w:r w:rsidRPr="00CF099E">
              <w:rPr>
                <w:rFonts w:ascii="Arial" w:eastAsia="Times New Roman" w:hAnsi="Arial" w:cs="Arial"/>
                <w:color w:val="000000"/>
                <w:sz w:val="16"/>
                <w:szCs w:val="16"/>
                <w:lang w:eastAsia="es-EC"/>
              </w:rPr>
              <w:t>)</w:t>
            </w:r>
          </w:p>
        </w:tc>
        <w:tc>
          <w:tcPr>
            <w:tcW w:w="995" w:type="dxa"/>
            <w:tcBorders>
              <w:top w:val="nil"/>
              <w:left w:val="nil"/>
              <w:bottom w:val="single" w:sz="4" w:space="0" w:color="auto"/>
              <w:right w:val="single" w:sz="4" w:space="0" w:color="auto"/>
            </w:tcBorders>
            <w:shd w:val="clear" w:color="auto" w:fill="auto"/>
            <w:vAlign w:val="center"/>
            <w:hideMark/>
          </w:tcPr>
          <w:p w14:paraId="6C5E719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2" w:type="dxa"/>
            <w:tcBorders>
              <w:top w:val="nil"/>
              <w:left w:val="nil"/>
              <w:bottom w:val="single" w:sz="4" w:space="0" w:color="auto"/>
              <w:right w:val="single" w:sz="4" w:space="0" w:color="auto"/>
            </w:tcBorders>
            <w:shd w:val="clear" w:color="auto" w:fill="auto"/>
            <w:vAlign w:val="center"/>
            <w:hideMark/>
          </w:tcPr>
          <w:p w14:paraId="7E3987F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00214F1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18E503A6"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(0,001739)</w:t>
            </w:r>
          </w:p>
        </w:tc>
        <w:tc>
          <w:tcPr>
            <w:tcW w:w="995" w:type="dxa"/>
            <w:tcBorders>
              <w:top w:val="nil"/>
              <w:left w:val="nil"/>
              <w:bottom w:val="single" w:sz="4" w:space="0" w:color="auto"/>
              <w:right w:val="single" w:sz="4" w:space="0" w:color="auto"/>
            </w:tcBorders>
            <w:shd w:val="clear" w:color="auto" w:fill="auto"/>
            <w:vAlign w:val="center"/>
            <w:hideMark/>
          </w:tcPr>
          <w:p w14:paraId="24C9B14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83" w:type="dxa"/>
            <w:tcBorders>
              <w:top w:val="nil"/>
              <w:left w:val="nil"/>
              <w:bottom w:val="single" w:sz="4" w:space="0" w:color="auto"/>
              <w:right w:val="single" w:sz="4" w:space="0" w:color="auto"/>
            </w:tcBorders>
            <w:shd w:val="clear" w:color="auto" w:fill="auto"/>
            <w:vAlign w:val="center"/>
            <w:hideMark/>
          </w:tcPr>
          <w:p w14:paraId="68A3AF7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r>
      <w:tr w:rsidR="00CA5686" w:rsidRPr="00CF099E" w14:paraId="3100EE0D"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768F9BA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roofErr w:type="spellStart"/>
            <w:r w:rsidRPr="00CF099E">
              <w:rPr>
                <w:rFonts w:ascii="Arial" w:eastAsia="Times New Roman" w:hAnsi="Arial" w:cs="Arial"/>
                <w:color w:val="000000"/>
                <w:sz w:val="16"/>
                <w:szCs w:val="16"/>
                <w:lang w:eastAsia="es-EC"/>
              </w:rPr>
              <w:t>End_pat_cp</w:t>
            </w:r>
            <w:proofErr w:type="spellEnd"/>
          </w:p>
        </w:tc>
        <w:tc>
          <w:tcPr>
            <w:tcW w:w="955" w:type="dxa"/>
            <w:tcBorders>
              <w:top w:val="nil"/>
              <w:left w:val="nil"/>
              <w:bottom w:val="single" w:sz="4" w:space="0" w:color="auto"/>
              <w:right w:val="single" w:sz="4" w:space="0" w:color="auto"/>
            </w:tcBorders>
            <w:shd w:val="clear" w:color="auto" w:fill="auto"/>
            <w:vAlign w:val="center"/>
            <w:hideMark/>
          </w:tcPr>
          <w:p w14:paraId="7E53126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9" w:type="dxa"/>
            <w:tcBorders>
              <w:top w:val="nil"/>
              <w:left w:val="nil"/>
              <w:bottom w:val="single" w:sz="4" w:space="0" w:color="auto"/>
              <w:right w:val="single" w:sz="4" w:space="0" w:color="auto"/>
            </w:tcBorders>
            <w:shd w:val="clear" w:color="auto" w:fill="auto"/>
            <w:vAlign w:val="center"/>
            <w:hideMark/>
          </w:tcPr>
          <w:p w14:paraId="53F7122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48803650"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0,3534***</w:t>
            </w:r>
          </w:p>
        </w:tc>
        <w:tc>
          <w:tcPr>
            <w:tcW w:w="932" w:type="dxa"/>
            <w:tcBorders>
              <w:top w:val="nil"/>
              <w:left w:val="nil"/>
              <w:bottom w:val="single" w:sz="4" w:space="0" w:color="auto"/>
              <w:right w:val="single" w:sz="4" w:space="0" w:color="auto"/>
            </w:tcBorders>
            <w:shd w:val="clear" w:color="auto" w:fill="auto"/>
            <w:vAlign w:val="center"/>
            <w:hideMark/>
          </w:tcPr>
          <w:p w14:paraId="79B0743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0167B4C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028E284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22AD0A2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
        </w:tc>
        <w:tc>
          <w:tcPr>
            <w:tcW w:w="983" w:type="dxa"/>
            <w:tcBorders>
              <w:top w:val="nil"/>
              <w:left w:val="nil"/>
              <w:bottom w:val="single" w:sz="4" w:space="0" w:color="auto"/>
              <w:right w:val="single" w:sz="4" w:space="0" w:color="auto"/>
            </w:tcBorders>
            <w:shd w:val="clear" w:color="auto" w:fill="auto"/>
            <w:vAlign w:val="center"/>
            <w:hideMark/>
          </w:tcPr>
          <w:p w14:paraId="636B935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r>
      <w:tr w:rsidR="00CA5686" w:rsidRPr="00CF099E" w14:paraId="1A7F98BF"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0BB93EB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5CA8C69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9" w:type="dxa"/>
            <w:tcBorders>
              <w:top w:val="nil"/>
              <w:left w:val="nil"/>
              <w:bottom w:val="single" w:sz="4" w:space="0" w:color="auto"/>
              <w:right w:val="single" w:sz="4" w:space="0" w:color="auto"/>
            </w:tcBorders>
            <w:shd w:val="clear" w:color="auto" w:fill="auto"/>
            <w:vAlign w:val="center"/>
            <w:hideMark/>
          </w:tcPr>
          <w:p w14:paraId="51D7078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41480E1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(0,09962)</w:t>
            </w:r>
          </w:p>
        </w:tc>
        <w:tc>
          <w:tcPr>
            <w:tcW w:w="932" w:type="dxa"/>
            <w:tcBorders>
              <w:top w:val="nil"/>
              <w:left w:val="nil"/>
              <w:bottom w:val="single" w:sz="4" w:space="0" w:color="auto"/>
              <w:right w:val="single" w:sz="4" w:space="0" w:color="auto"/>
            </w:tcBorders>
            <w:shd w:val="clear" w:color="auto" w:fill="auto"/>
            <w:vAlign w:val="center"/>
            <w:hideMark/>
          </w:tcPr>
          <w:p w14:paraId="0450AE7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2641001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26AD406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5F8DA02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
        </w:tc>
        <w:tc>
          <w:tcPr>
            <w:tcW w:w="983" w:type="dxa"/>
            <w:tcBorders>
              <w:top w:val="nil"/>
              <w:left w:val="nil"/>
              <w:bottom w:val="single" w:sz="4" w:space="0" w:color="auto"/>
              <w:right w:val="single" w:sz="4" w:space="0" w:color="auto"/>
            </w:tcBorders>
            <w:shd w:val="clear" w:color="auto" w:fill="auto"/>
            <w:vAlign w:val="center"/>
            <w:hideMark/>
          </w:tcPr>
          <w:p w14:paraId="5745594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r>
      <w:tr w:rsidR="00CA5686" w:rsidRPr="00CF099E" w14:paraId="591AB985"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2C138C96"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roofErr w:type="spellStart"/>
            <w:r w:rsidRPr="00CF099E">
              <w:rPr>
                <w:rFonts w:ascii="Arial" w:eastAsia="Times New Roman" w:hAnsi="Arial" w:cs="Arial"/>
                <w:color w:val="000000"/>
                <w:sz w:val="16"/>
                <w:szCs w:val="16"/>
                <w:lang w:eastAsia="es-EC"/>
              </w:rPr>
              <w:t>End_pat_lp</w:t>
            </w:r>
            <w:proofErr w:type="spellEnd"/>
          </w:p>
        </w:tc>
        <w:tc>
          <w:tcPr>
            <w:tcW w:w="955" w:type="dxa"/>
            <w:tcBorders>
              <w:top w:val="nil"/>
              <w:left w:val="nil"/>
              <w:bottom w:val="single" w:sz="4" w:space="0" w:color="auto"/>
              <w:right w:val="single" w:sz="4" w:space="0" w:color="auto"/>
            </w:tcBorders>
            <w:shd w:val="clear" w:color="auto" w:fill="auto"/>
            <w:vAlign w:val="center"/>
            <w:hideMark/>
          </w:tcPr>
          <w:p w14:paraId="05052EF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9" w:type="dxa"/>
            <w:tcBorders>
              <w:top w:val="nil"/>
              <w:left w:val="nil"/>
              <w:bottom w:val="single" w:sz="4" w:space="0" w:color="auto"/>
              <w:right w:val="single" w:sz="4" w:space="0" w:color="auto"/>
            </w:tcBorders>
            <w:shd w:val="clear" w:color="auto" w:fill="auto"/>
            <w:vAlign w:val="center"/>
            <w:hideMark/>
          </w:tcPr>
          <w:p w14:paraId="32E840E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130DCE9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2" w:type="dxa"/>
            <w:tcBorders>
              <w:top w:val="nil"/>
              <w:left w:val="nil"/>
              <w:bottom w:val="single" w:sz="4" w:space="0" w:color="auto"/>
              <w:right w:val="single" w:sz="4" w:space="0" w:color="auto"/>
            </w:tcBorders>
            <w:shd w:val="clear" w:color="auto" w:fill="auto"/>
            <w:vAlign w:val="center"/>
            <w:hideMark/>
          </w:tcPr>
          <w:p w14:paraId="13BAF19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w:t>
            </w:r>
            <w:r>
              <w:rPr>
                <w:rFonts w:ascii="Arial" w:eastAsia="Times New Roman" w:hAnsi="Arial" w:cs="Arial"/>
                <w:color w:val="000000"/>
                <w:sz w:val="16"/>
                <w:szCs w:val="16"/>
                <w:lang w:eastAsia="es-EC"/>
              </w:rPr>
              <w:t>6932***</w:t>
            </w:r>
          </w:p>
        </w:tc>
        <w:tc>
          <w:tcPr>
            <w:tcW w:w="995" w:type="dxa"/>
            <w:tcBorders>
              <w:top w:val="nil"/>
              <w:left w:val="nil"/>
              <w:bottom w:val="single" w:sz="4" w:space="0" w:color="auto"/>
              <w:right w:val="single" w:sz="4" w:space="0" w:color="auto"/>
            </w:tcBorders>
            <w:shd w:val="clear" w:color="auto" w:fill="auto"/>
            <w:vAlign w:val="center"/>
            <w:hideMark/>
          </w:tcPr>
          <w:p w14:paraId="05D3D27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2A3D6B6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114D4DC5"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83" w:type="dxa"/>
            <w:tcBorders>
              <w:top w:val="nil"/>
              <w:left w:val="nil"/>
              <w:bottom w:val="single" w:sz="4" w:space="0" w:color="auto"/>
              <w:right w:val="single" w:sz="4" w:space="0" w:color="auto"/>
            </w:tcBorders>
            <w:shd w:val="clear" w:color="auto" w:fill="auto"/>
            <w:vAlign w:val="center"/>
            <w:hideMark/>
          </w:tcPr>
          <w:p w14:paraId="5DAD36C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-0,02000***</w:t>
            </w:r>
          </w:p>
        </w:tc>
      </w:tr>
      <w:tr w:rsidR="00CA5686" w:rsidRPr="00CF099E" w14:paraId="64559FED"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714C059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55" w:type="dxa"/>
            <w:tcBorders>
              <w:top w:val="nil"/>
              <w:left w:val="nil"/>
              <w:bottom w:val="single" w:sz="4" w:space="0" w:color="auto"/>
              <w:right w:val="single" w:sz="4" w:space="0" w:color="auto"/>
            </w:tcBorders>
            <w:shd w:val="clear" w:color="auto" w:fill="auto"/>
            <w:vAlign w:val="center"/>
            <w:hideMark/>
          </w:tcPr>
          <w:p w14:paraId="0C808A98"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9" w:type="dxa"/>
            <w:tcBorders>
              <w:top w:val="nil"/>
              <w:left w:val="nil"/>
              <w:bottom w:val="single" w:sz="4" w:space="0" w:color="auto"/>
              <w:right w:val="single" w:sz="4" w:space="0" w:color="auto"/>
            </w:tcBorders>
            <w:shd w:val="clear" w:color="auto" w:fill="auto"/>
            <w:vAlign w:val="center"/>
            <w:hideMark/>
          </w:tcPr>
          <w:p w14:paraId="3A519700"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671AB42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32" w:type="dxa"/>
            <w:tcBorders>
              <w:top w:val="nil"/>
              <w:left w:val="nil"/>
              <w:bottom w:val="single" w:sz="4" w:space="0" w:color="auto"/>
              <w:right w:val="single" w:sz="4" w:space="0" w:color="auto"/>
            </w:tcBorders>
            <w:shd w:val="clear" w:color="auto" w:fill="auto"/>
            <w:vAlign w:val="center"/>
            <w:hideMark/>
          </w:tcPr>
          <w:p w14:paraId="067E8EF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(0,0</w:t>
            </w:r>
            <w:r>
              <w:rPr>
                <w:rFonts w:ascii="Arial" w:eastAsia="Times New Roman" w:hAnsi="Arial" w:cs="Arial"/>
                <w:color w:val="000000"/>
                <w:sz w:val="16"/>
                <w:szCs w:val="16"/>
                <w:lang w:eastAsia="es-EC"/>
              </w:rPr>
              <w:t>2162</w:t>
            </w:r>
            <w:r w:rsidRPr="00CF099E">
              <w:rPr>
                <w:rFonts w:ascii="Arial" w:eastAsia="Times New Roman" w:hAnsi="Arial" w:cs="Arial"/>
                <w:color w:val="000000"/>
                <w:sz w:val="16"/>
                <w:szCs w:val="16"/>
                <w:lang w:eastAsia="es-EC"/>
              </w:rPr>
              <w:t>)</w:t>
            </w:r>
          </w:p>
        </w:tc>
        <w:tc>
          <w:tcPr>
            <w:tcW w:w="995" w:type="dxa"/>
            <w:tcBorders>
              <w:top w:val="nil"/>
              <w:left w:val="nil"/>
              <w:bottom w:val="single" w:sz="4" w:space="0" w:color="auto"/>
              <w:right w:val="single" w:sz="4" w:space="0" w:color="auto"/>
            </w:tcBorders>
            <w:shd w:val="clear" w:color="auto" w:fill="auto"/>
            <w:vAlign w:val="center"/>
            <w:hideMark/>
          </w:tcPr>
          <w:p w14:paraId="403E8BA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3A80E9F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95" w:type="dxa"/>
            <w:tcBorders>
              <w:top w:val="nil"/>
              <w:left w:val="nil"/>
              <w:bottom w:val="single" w:sz="4" w:space="0" w:color="auto"/>
              <w:right w:val="single" w:sz="4" w:space="0" w:color="auto"/>
            </w:tcBorders>
            <w:shd w:val="clear" w:color="auto" w:fill="auto"/>
            <w:vAlign w:val="center"/>
            <w:hideMark/>
          </w:tcPr>
          <w:p w14:paraId="7E9CE0E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 </w:t>
            </w:r>
          </w:p>
        </w:tc>
        <w:tc>
          <w:tcPr>
            <w:tcW w:w="983" w:type="dxa"/>
            <w:tcBorders>
              <w:top w:val="nil"/>
              <w:left w:val="nil"/>
              <w:bottom w:val="single" w:sz="4" w:space="0" w:color="auto"/>
              <w:right w:val="single" w:sz="4" w:space="0" w:color="auto"/>
            </w:tcBorders>
            <w:shd w:val="clear" w:color="auto" w:fill="auto"/>
            <w:vAlign w:val="center"/>
            <w:hideMark/>
          </w:tcPr>
          <w:p w14:paraId="636CE9E3"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(0,006270)</w:t>
            </w:r>
          </w:p>
        </w:tc>
      </w:tr>
      <w:tr w:rsidR="00CA5686" w:rsidRPr="00CF099E" w14:paraId="42D4D3F5"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43E5279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n</w:t>
            </w:r>
          </w:p>
        </w:tc>
        <w:tc>
          <w:tcPr>
            <w:tcW w:w="955" w:type="dxa"/>
            <w:tcBorders>
              <w:top w:val="nil"/>
              <w:left w:val="nil"/>
              <w:bottom w:val="single" w:sz="4" w:space="0" w:color="auto"/>
              <w:right w:val="single" w:sz="4" w:space="0" w:color="auto"/>
            </w:tcBorders>
            <w:shd w:val="clear" w:color="auto" w:fill="auto"/>
            <w:vAlign w:val="center"/>
            <w:hideMark/>
          </w:tcPr>
          <w:p w14:paraId="492D3D5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39" w:type="dxa"/>
            <w:tcBorders>
              <w:top w:val="nil"/>
              <w:left w:val="nil"/>
              <w:bottom w:val="single" w:sz="4" w:space="0" w:color="auto"/>
              <w:right w:val="single" w:sz="4" w:space="0" w:color="auto"/>
            </w:tcBorders>
            <w:shd w:val="clear" w:color="auto" w:fill="auto"/>
            <w:vAlign w:val="center"/>
            <w:hideMark/>
          </w:tcPr>
          <w:p w14:paraId="6797699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95" w:type="dxa"/>
            <w:tcBorders>
              <w:top w:val="nil"/>
              <w:left w:val="nil"/>
              <w:bottom w:val="single" w:sz="4" w:space="0" w:color="auto"/>
              <w:right w:val="single" w:sz="4" w:space="0" w:color="auto"/>
            </w:tcBorders>
            <w:shd w:val="clear" w:color="auto" w:fill="auto"/>
            <w:vAlign w:val="center"/>
            <w:hideMark/>
          </w:tcPr>
          <w:p w14:paraId="36BA4256"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32" w:type="dxa"/>
            <w:tcBorders>
              <w:top w:val="nil"/>
              <w:left w:val="nil"/>
              <w:bottom w:val="single" w:sz="4" w:space="0" w:color="auto"/>
              <w:right w:val="single" w:sz="4" w:space="0" w:color="auto"/>
            </w:tcBorders>
            <w:shd w:val="clear" w:color="auto" w:fill="auto"/>
            <w:vAlign w:val="center"/>
            <w:hideMark/>
          </w:tcPr>
          <w:p w14:paraId="228FA27A"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95" w:type="dxa"/>
            <w:tcBorders>
              <w:top w:val="nil"/>
              <w:left w:val="nil"/>
              <w:bottom w:val="single" w:sz="4" w:space="0" w:color="auto"/>
              <w:right w:val="single" w:sz="4" w:space="0" w:color="auto"/>
            </w:tcBorders>
            <w:shd w:val="clear" w:color="auto" w:fill="auto"/>
            <w:vAlign w:val="center"/>
            <w:hideMark/>
          </w:tcPr>
          <w:p w14:paraId="7B58F5D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95" w:type="dxa"/>
            <w:tcBorders>
              <w:top w:val="nil"/>
              <w:left w:val="nil"/>
              <w:bottom w:val="single" w:sz="4" w:space="0" w:color="auto"/>
              <w:right w:val="single" w:sz="4" w:space="0" w:color="auto"/>
            </w:tcBorders>
            <w:shd w:val="clear" w:color="auto" w:fill="auto"/>
            <w:vAlign w:val="center"/>
            <w:hideMark/>
          </w:tcPr>
          <w:p w14:paraId="1EDD0D6F"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95" w:type="dxa"/>
            <w:tcBorders>
              <w:top w:val="nil"/>
              <w:left w:val="nil"/>
              <w:bottom w:val="single" w:sz="4" w:space="0" w:color="auto"/>
              <w:right w:val="single" w:sz="4" w:space="0" w:color="auto"/>
            </w:tcBorders>
            <w:shd w:val="clear" w:color="auto" w:fill="auto"/>
            <w:vAlign w:val="center"/>
            <w:hideMark/>
          </w:tcPr>
          <w:p w14:paraId="21590F67"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c>
          <w:tcPr>
            <w:tcW w:w="983" w:type="dxa"/>
            <w:tcBorders>
              <w:top w:val="nil"/>
              <w:left w:val="nil"/>
              <w:bottom w:val="single" w:sz="4" w:space="0" w:color="auto"/>
              <w:right w:val="single" w:sz="4" w:space="0" w:color="auto"/>
            </w:tcBorders>
            <w:shd w:val="clear" w:color="auto" w:fill="auto"/>
            <w:vAlign w:val="center"/>
            <w:hideMark/>
          </w:tcPr>
          <w:p w14:paraId="70B09F1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96</w:t>
            </w:r>
          </w:p>
        </w:tc>
      </w:tr>
      <w:tr w:rsidR="00CA5686" w:rsidRPr="00CF099E" w14:paraId="251950D6"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79D42F4C"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R</w:t>
            </w:r>
            <w:r w:rsidRPr="00CF099E">
              <w:rPr>
                <w:rFonts w:ascii="Arial" w:eastAsia="Times New Roman" w:hAnsi="Arial" w:cs="Arial"/>
                <w:color w:val="000000"/>
                <w:sz w:val="16"/>
                <w:szCs w:val="16"/>
                <w:vertAlign w:val="superscript"/>
                <w:lang w:eastAsia="es-EC"/>
              </w:rPr>
              <w:t>2</w:t>
            </w:r>
            <w:r w:rsidRPr="00CF099E">
              <w:rPr>
                <w:rFonts w:ascii="Arial" w:eastAsia="Times New Roman" w:hAnsi="Arial" w:cs="Arial"/>
                <w:color w:val="000000"/>
                <w:sz w:val="16"/>
                <w:szCs w:val="16"/>
                <w:lang w:eastAsia="es-EC"/>
              </w:rPr>
              <w:t xml:space="preserve"> corregido</w:t>
            </w:r>
          </w:p>
        </w:tc>
        <w:tc>
          <w:tcPr>
            <w:tcW w:w="955" w:type="dxa"/>
            <w:tcBorders>
              <w:top w:val="nil"/>
              <w:left w:val="nil"/>
              <w:bottom w:val="single" w:sz="4" w:space="0" w:color="auto"/>
              <w:right w:val="single" w:sz="4" w:space="0" w:color="auto"/>
            </w:tcBorders>
            <w:shd w:val="clear" w:color="auto" w:fill="auto"/>
            <w:vAlign w:val="center"/>
            <w:hideMark/>
          </w:tcPr>
          <w:p w14:paraId="5C2779E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w:t>
            </w:r>
            <w:r>
              <w:rPr>
                <w:rFonts w:ascii="Arial" w:eastAsia="Times New Roman" w:hAnsi="Arial" w:cs="Arial"/>
                <w:color w:val="000000"/>
                <w:sz w:val="16"/>
                <w:szCs w:val="16"/>
                <w:lang w:eastAsia="es-EC"/>
              </w:rPr>
              <w:t>0259</w:t>
            </w:r>
          </w:p>
        </w:tc>
        <w:tc>
          <w:tcPr>
            <w:tcW w:w="939" w:type="dxa"/>
            <w:tcBorders>
              <w:top w:val="nil"/>
              <w:left w:val="nil"/>
              <w:bottom w:val="single" w:sz="4" w:space="0" w:color="auto"/>
              <w:right w:val="single" w:sz="4" w:space="0" w:color="auto"/>
            </w:tcBorders>
            <w:shd w:val="clear" w:color="auto" w:fill="auto"/>
            <w:vAlign w:val="center"/>
            <w:hideMark/>
          </w:tcPr>
          <w:p w14:paraId="717BB5E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w:t>
            </w:r>
            <w:r>
              <w:rPr>
                <w:rFonts w:ascii="Arial" w:eastAsia="Times New Roman" w:hAnsi="Arial" w:cs="Arial"/>
                <w:color w:val="000000"/>
                <w:sz w:val="16"/>
                <w:szCs w:val="16"/>
                <w:lang w:eastAsia="es-EC"/>
              </w:rPr>
              <w:t>0295</w:t>
            </w:r>
          </w:p>
        </w:tc>
        <w:tc>
          <w:tcPr>
            <w:tcW w:w="995" w:type="dxa"/>
            <w:tcBorders>
              <w:top w:val="nil"/>
              <w:left w:val="nil"/>
              <w:bottom w:val="single" w:sz="4" w:space="0" w:color="auto"/>
              <w:right w:val="single" w:sz="4" w:space="0" w:color="auto"/>
            </w:tcBorders>
            <w:shd w:val="clear" w:color="auto" w:fill="auto"/>
            <w:vAlign w:val="center"/>
            <w:hideMark/>
          </w:tcPr>
          <w:p w14:paraId="31FF5BB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w:t>
            </w:r>
            <w:r>
              <w:rPr>
                <w:rFonts w:ascii="Arial" w:eastAsia="Times New Roman" w:hAnsi="Arial" w:cs="Arial"/>
                <w:color w:val="000000"/>
                <w:sz w:val="16"/>
                <w:szCs w:val="16"/>
                <w:lang w:eastAsia="es-EC"/>
              </w:rPr>
              <w:t>0182</w:t>
            </w:r>
          </w:p>
        </w:tc>
        <w:tc>
          <w:tcPr>
            <w:tcW w:w="932" w:type="dxa"/>
            <w:tcBorders>
              <w:top w:val="nil"/>
              <w:left w:val="nil"/>
              <w:bottom w:val="single" w:sz="4" w:space="0" w:color="auto"/>
              <w:right w:val="single" w:sz="4" w:space="0" w:color="auto"/>
            </w:tcBorders>
            <w:shd w:val="clear" w:color="auto" w:fill="auto"/>
            <w:vAlign w:val="center"/>
            <w:hideMark/>
          </w:tcPr>
          <w:p w14:paraId="2C6DE62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0,1</w:t>
            </w:r>
            <w:r>
              <w:rPr>
                <w:rFonts w:ascii="Arial" w:eastAsia="Times New Roman" w:hAnsi="Arial" w:cs="Arial"/>
                <w:color w:val="000000"/>
                <w:sz w:val="16"/>
                <w:szCs w:val="16"/>
                <w:lang w:eastAsia="es-EC"/>
              </w:rPr>
              <w:t>173</w:t>
            </w:r>
          </w:p>
        </w:tc>
        <w:tc>
          <w:tcPr>
            <w:tcW w:w="995" w:type="dxa"/>
            <w:tcBorders>
              <w:top w:val="nil"/>
              <w:left w:val="nil"/>
              <w:bottom w:val="single" w:sz="4" w:space="0" w:color="auto"/>
              <w:right w:val="single" w:sz="4" w:space="0" w:color="auto"/>
            </w:tcBorders>
            <w:shd w:val="clear" w:color="auto" w:fill="auto"/>
            <w:vAlign w:val="center"/>
            <w:hideMark/>
          </w:tcPr>
          <w:p w14:paraId="0F223C6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0,0803</w:t>
            </w:r>
          </w:p>
        </w:tc>
        <w:tc>
          <w:tcPr>
            <w:tcW w:w="995" w:type="dxa"/>
            <w:tcBorders>
              <w:top w:val="nil"/>
              <w:left w:val="nil"/>
              <w:bottom w:val="single" w:sz="4" w:space="0" w:color="auto"/>
              <w:right w:val="single" w:sz="4" w:space="0" w:color="auto"/>
            </w:tcBorders>
            <w:shd w:val="clear" w:color="auto" w:fill="auto"/>
            <w:vAlign w:val="center"/>
            <w:hideMark/>
          </w:tcPr>
          <w:p w14:paraId="2F733E8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0,0581</w:t>
            </w:r>
          </w:p>
        </w:tc>
        <w:tc>
          <w:tcPr>
            <w:tcW w:w="995" w:type="dxa"/>
            <w:tcBorders>
              <w:top w:val="nil"/>
              <w:left w:val="nil"/>
              <w:bottom w:val="single" w:sz="4" w:space="0" w:color="auto"/>
              <w:right w:val="single" w:sz="4" w:space="0" w:color="auto"/>
            </w:tcBorders>
            <w:shd w:val="clear" w:color="auto" w:fill="auto"/>
            <w:vAlign w:val="center"/>
            <w:hideMark/>
          </w:tcPr>
          <w:p w14:paraId="7332094B"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0,0004</w:t>
            </w:r>
          </w:p>
        </w:tc>
        <w:tc>
          <w:tcPr>
            <w:tcW w:w="983" w:type="dxa"/>
            <w:tcBorders>
              <w:top w:val="nil"/>
              <w:left w:val="nil"/>
              <w:bottom w:val="single" w:sz="4" w:space="0" w:color="auto"/>
              <w:right w:val="single" w:sz="4" w:space="0" w:color="auto"/>
            </w:tcBorders>
            <w:shd w:val="clear" w:color="auto" w:fill="auto"/>
            <w:vAlign w:val="center"/>
            <w:hideMark/>
          </w:tcPr>
          <w:p w14:paraId="619B7D0D"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0,1010</w:t>
            </w:r>
          </w:p>
        </w:tc>
      </w:tr>
      <w:tr w:rsidR="00CA5686" w:rsidRPr="00CF099E" w14:paraId="09962FE0" w14:textId="77777777" w:rsidTr="00340A4E">
        <w:trPr>
          <w:trHeight w:val="300"/>
        </w:trPr>
        <w:tc>
          <w:tcPr>
            <w:tcW w:w="1181" w:type="dxa"/>
            <w:tcBorders>
              <w:top w:val="nil"/>
              <w:left w:val="single" w:sz="4" w:space="0" w:color="auto"/>
              <w:bottom w:val="single" w:sz="4" w:space="0" w:color="auto"/>
              <w:right w:val="single" w:sz="4" w:space="0" w:color="auto"/>
            </w:tcBorders>
            <w:shd w:val="clear" w:color="auto" w:fill="auto"/>
            <w:vAlign w:val="center"/>
            <w:hideMark/>
          </w:tcPr>
          <w:p w14:paraId="573EF7E9"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proofErr w:type="spellStart"/>
            <w:r w:rsidRPr="00CF099E">
              <w:rPr>
                <w:rFonts w:ascii="Arial" w:eastAsia="Times New Roman" w:hAnsi="Arial" w:cs="Arial"/>
                <w:color w:val="000000"/>
                <w:sz w:val="16"/>
                <w:szCs w:val="16"/>
                <w:lang w:eastAsia="es-EC"/>
              </w:rPr>
              <w:t>lnL</w:t>
            </w:r>
            <w:proofErr w:type="spellEnd"/>
          </w:p>
        </w:tc>
        <w:tc>
          <w:tcPr>
            <w:tcW w:w="955" w:type="dxa"/>
            <w:tcBorders>
              <w:top w:val="nil"/>
              <w:left w:val="nil"/>
              <w:bottom w:val="single" w:sz="4" w:space="0" w:color="auto"/>
              <w:right w:val="single" w:sz="4" w:space="0" w:color="auto"/>
            </w:tcBorders>
            <w:shd w:val="clear" w:color="auto" w:fill="auto"/>
            <w:vAlign w:val="center"/>
            <w:hideMark/>
          </w:tcPr>
          <w:p w14:paraId="25B97B2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16,</w:t>
            </w:r>
            <w:r>
              <w:rPr>
                <w:rFonts w:ascii="Arial" w:eastAsia="Times New Roman" w:hAnsi="Arial" w:cs="Arial"/>
                <w:color w:val="000000"/>
                <w:sz w:val="16"/>
                <w:szCs w:val="16"/>
                <w:lang w:eastAsia="es-EC"/>
              </w:rPr>
              <w:t>85</w:t>
            </w:r>
          </w:p>
        </w:tc>
        <w:tc>
          <w:tcPr>
            <w:tcW w:w="939" w:type="dxa"/>
            <w:tcBorders>
              <w:top w:val="nil"/>
              <w:left w:val="nil"/>
              <w:bottom w:val="single" w:sz="4" w:space="0" w:color="auto"/>
              <w:right w:val="single" w:sz="4" w:space="0" w:color="auto"/>
            </w:tcBorders>
            <w:shd w:val="clear" w:color="auto" w:fill="auto"/>
            <w:vAlign w:val="center"/>
            <w:hideMark/>
          </w:tcPr>
          <w:p w14:paraId="57B5D138"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1</w:t>
            </w:r>
            <w:r>
              <w:rPr>
                <w:rFonts w:ascii="Arial" w:eastAsia="Times New Roman" w:hAnsi="Arial" w:cs="Arial"/>
                <w:color w:val="000000"/>
                <w:sz w:val="16"/>
                <w:szCs w:val="16"/>
                <w:lang w:eastAsia="es-EC"/>
              </w:rPr>
              <w:t>7,02</w:t>
            </w:r>
          </w:p>
        </w:tc>
        <w:tc>
          <w:tcPr>
            <w:tcW w:w="995" w:type="dxa"/>
            <w:tcBorders>
              <w:top w:val="nil"/>
              <w:left w:val="nil"/>
              <w:bottom w:val="single" w:sz="4" w:space="0" w:color="auto"/>
              <w:right w:val="single" w:sz="4" w:space="0" w:color="auto"/>
            </w:tcBorders>
            <w:shd w:val="clear" w:color="auto" w:fill="auto"/>
            <w:vAlign w:val="center"/>
            <w:hideMark/>
          </w:tcPr>
          <w:p w14:paraId="75283392"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CF099E">
              <w:rPr>
                <w:rFonts w:ascii="Arial" w:eastAsia="Times New Roman" w:hAnsi="Arial" w:cs="Arial"/>
                <w:color w:val="000000"/>
                <w:sz w:val="16"/>
                <w:szCs w:val="16"/>
                <w:lang w:eastAsia="es-EC"/>
              </w:rPr>
              <w:t>1</w:t>
            </w:r>
            <w:r>
              <w:rPr>
                <w:rFonts w:ascii="Arial" w:eastAsia="Times New Roman" w:hAnsi="Arial" w:cs="Arial"/>
                <w:color w:val="000000"/>
                <w:sz w:val="16"/>
                <w:szCs w:val="16"/>
                <w:lang w:eastAsia="es-EC"/>
              </w:rPr>
              <w:t>6,47</w:t>
            </w:r>
          </w:p>
        </w:tc>
        <w:tc>
          <w:tcPr>
            <w:tcW w:w="932" w:type="dxa"/>
            <w:tcBorders>
              <w:top w:val="nil"/>
              <w:left w:val="nil"/>
              <w:bottom w:val="single" w:sz="4" w:space="0" w:color="auto"/>
              <w:right w:val="single" w:sz="4" w:space="0" w:color="auto"/>
            </w:tcBorders>
            <w:shd w:val="clear" w:color="auto" w:fill="auto"/>
            <w:vAlign w:val="center"/>
            <w:hideMark/>
          </w:tcPr>
          <w:p w14:paraId="224F6D44"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Pr>
                <w:rFonts w:ascii="Arial" w:eastAsia="Times New Roman" w:hAnsi="Arial" w:cs="Arial"/>
                <w:color w:val="000000"/>
                <w:sz w:val="16"/>
                <w:szCs w:val="16"/>
                <w:lang w:eastAsia="es-EC"/>
              </w:rPr>
              <w:t>21,57</w:t>
            </w:r>
          </w:p>
        </w:tc>
        <w:tc>
          <w:tcPr>
            <w:tcW w:w="995" w:type="dxa"/>
            <w:tcBorders>
              <w:top w:val="nil"/>
              <w:left w:val="nil"/>
              <w:bottom w:val="single" w:sz="4" w:space="0" w:color="auto"/>
              <w:right w:val="single" w:sz="4" w:space="0" w:color="auto"/>
            </w:tcBorders>
            <w:shd w:val="clear" w:color="auto" w:fill="auto"/>
            <w:vAlign w:val="center"/>
            <w:hideMark/>
          </w:tcPr>
          <w:p w14:paraId="5C1F7BA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4F27E5">
              <w:rPr>
                <w:rFonts w:ascii="Arial" w:eastAsia="Times New Roman" w:hAnsi="Arial" w:cs="Arial"/>
                <w:color w:val="000000"/>
                <w:sz w:val="16"/>
                <w:szCs w:val="16"/>
                <w:lang w:eastAsia="es-EC"/>
              </w:rPr>
              <w:t>139,3</w:t>
            </w:r>
          </w:p>
        </w:tc>
        <w:tc>
          <w:tcPr>
            <w:tcW w:w="995" w:type="dxa"/>
            <w:tcBorders>
              <w:top w:val="nil"/>
              <w:left w:val="nil"/>
              <w:bottom w:val="single" w:sz="4" w:space="0" w:color="auto"/>
              <w:right w:val="single" w:sz="4" w:space="0" w:color="auto"/>
            </w:tcBorders>
            <w:shd w:val="clear" w:color="auto" w:fill="auto"/>
            <w:vAlign w:val="center"/>
            <w:hideMark/>
          </w:tcPr>
          <w:p w14:paraId="3ED8A1F8"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 xml:space="preserve">   138,2</w:t>
            </w:r>
          </w:p>
        </w:tc>
        <w:tc>
          <w:tcPr>
            <w:tcW w:w="995" w:type="dxa"/>
            <w:tcBorders>
              <w:top w:val="nil"/>
              <w:left w:val="nil"/>
              <w:bottom w:val="single" w:sz="4" w:space="0" w:color="auto"/>
              <w:right w:val="single" w:sz="4" w:space="0" w:color="auto"/>
            </w:tcBorders>
            <w:shd w:val="clear" w:color="auto" w:fill="auto"/>
            <w:vAlign w:val="center"/>
            <w:hideMark/>
          </w:tcPr>
          <w:p w14:paraId="17CA862E"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135,3</w:t>
            </w:r>
          </w:p>
        </w:tc>
        <w:tc>
          <w:tcPr>
            <w:tcW w:w="983" w:type="dxa"/>
            <w:tcBorders>
              <w:top w:val="nil"/>
              <w:left w:val="nil"/>
              <w:bottom w:val="single" w:sz="4" w:space="0" w:color="auto"/>
              <w:right w:val="single" w:sz="4" w:space="0" w:color="auto"/>
            </w:tcBorders>
            <w:shd w:val="clear" w:color="auto" w:fill="auto"/>
            <w:vAlign w:val="center"/>
            <w:hideMark/>
          </w:tcPr>
          <w:p w14:paraId="4F8A5971" w14:textId="77777777" w:rsidR="00CA5686" w:rsidRPr="00CF099E" w:rsidRDefault="00CA5686" w:rsidP="00340A4E">
            <w:pPr>
              <w:spacing w:after="0" w:line="240" w:lineRule="auto"/>
              <w:jc w:val="center"/>
              <w:rPr>
                <w:rFonts w:ascii="Arial" w:eastAsia="Times New Roman" w:hAnsi="Arial" w:cs="Arial"/>
                <w:color w:val="000000"/>
                <w:sz w:val="16"/>
                <w:szCs w:val="16"/>
                <w:lang w:eastAsia="es-EC"/>
              </w:rPr>
            </w:pPr>
            <w:r w:rsidRPr="00350ABE">
              <w:rPr>
                <w:rFonts w:ascii="Arial" w:eastAsia="Times New Roman" w:hAnsi="Arial" w:cs="Arial"/>
                <w:color w:val="000000"/>
                <w:sz w:val="16"/>
                <w:szCs w:val="16"/>
                <w:lang w:eastAsia="es-EC"/>
              </w:rPr>
              <w:t>140,4</w:t>
            </w:r>
          </w:p>
        </w:tc>
      </w:tr>
    </w:tbl>
    <w:p w14:paraId="46F1F103" w14:textId="77777777" w:rsidR="0060154D" w:rsidRDefault="0060154D" w:rsidP="0060154D">
      <w:pPr>
        <w:spacing w:after="0" w:line="480" w:lineRule="auto"/>
        <w:jc w:val="both"/>
        <w:rPr>
          <w:rFonts w:ascii="Arial" w:hAnsi="Arial"/>
          <w:sz w:val="24"/>
          <w:szCs w:val="24"/>
        </w:rPr>
      </w:pPr>
    </w:p>
    <w:p w14:paraId="0AC8AA48" w14:textId="77777777" w:rsidR="0060154D" w:rsidRDefault="0060154D" w:rsidP="0060154D">
      <w:pPr>
        <w:spacing w:after="0" w:line="480" w:lineRule="auto"/>
        <w:jc w:val="both"/>
        <w:rPr>
          <w:rFonts w:ascii="Arial" w:hAnsi="Arial"/>
          <w:sz w:val="24"/>
          <w:szCs w:val="24"/>
        </w:rPr>
      </w:pPr>
    </w:p>
    <w:p w14:paraId="250367BC" w14:textId="14775D41" w:rsidR="0060154D" w:rsidRPr="0060154D" w:rsidRDefault="0060154D" w:rsidP="0060154D">
      <w:pPr>
        <w:spacing w:after="0" w:line="480" w:lineRule="auto"/>
        <w:jc w:val="both"/>
        <w:rPr>
          <w:rFonts w:ascii="Arial" w:hAnsi="Arial"/>
          <w:sz w:val="24"/>
          <w:szCs w:val="24"/>
        </w:rPr>
      </w:pPr>
      <w:r w:rsidRPr="0060154D">
        <w:rPr>
          <w:rFonts w:ascii="Arial" w:hAnsi="Arial"/>
          <w:sz w:val="24"/>
          <w:szCs w:val="24"/>
        </w:rPr>
        <w:t xml:space="preserve">La tabla </w:t>
      </w:r>
      <w:r w:rsidR="002A7172">
        <w:rPr>
          <w:rFonts w:ascii="Arial" w:hAnsi="Arial"/>
          <w:sz w:val="24"/>
          <w:szCs w:val="24"/>
        </w:rPr>
        <w:t>4</w:t>
      </w:r>
      <w:r w:rsidRPr="0060154D">
        <w:rPr>
          <w:rFonts w:ascii="Arial" w:hAnsi="Arial"/>
          <w:sz w:val="24"/>
          <w:szCs w:val="24"/>
        </w:rPr>
        <w:t xml:space="preserve"> recoge los resultados econométricos de las ecuaciones desde la (1) hasta la (8) para el periodo 2017-2019; donde las primeras cuatro columnas tienen como variable dependiente el ROE y las últimas cuatro columnas el ROA. Se han estimado por modelo panel, para la ecuación (1) del </w:t>
      </w:r>
      <w:proofErr w:type="spellStart"/>
      <w:r w:rsidRPr="0060154D">
        <w:rPr>
          <w:rFonts w:ascii="Arial" w:hAnsi="Arial"/>
          <w:sz w:val="24"/>
          <w:szCs w:val="24"/>
        </w:rPr>
        <w:t>end_act</w:t>
      </w:r>
      <w:proofErr w:type="spellEnd"/>
      <w:r w:rsidRPr="0060154D">
        <w:rPr>
          <w:rFonts w:ascii="Arial" w:hAnsi="Arial"/>
          <w:sz w:val="24"/>
          <w:szCs w:val="24"/>
        </w:rPr>
        <w:t xml:space="preserve"> es </w:t>
      </w:r>
      <w:r w:rsidR="002A7172">
        <w:rPr>
          <w:rFonts w:ascii="Arial" w:hAnsi="Arial"/>
          <w:sz w:val="24"/>
          <w:szCs w:val="24"/>
        </w:rPr>
        <w:t>negativo</w:t>
      </w:r>
      <w:r w:rsidRPr="0060154D">
        <w:rPr>
          <w:rFonts w:ascii="Arial" w:hAnsi="Arial"/>
          <w:sz w:val="24"/>
          <w:szCs w:val="24"/>
        </w:rPr>
        <w:t xml:space="preserve">, </w:t>
      </w:r>
      <w:r w:rsidR="002A7172">
        <w:rPr>
          <w:rFonts w:ascii="Arial" w:hAnsi="Arial"/>
          <w:sz w:val="24"/>
          <w:szCs w:val="24"/>
        </w:rPr>
        <w:t xml:space="preserve">se </w:t>
      </w:r>
      <w:r w:rsidRPr="0060154D">
        <w:rPr>
          <w:rFonts w:ascii="Arial" w:hAnsi="Arial"/>
          <w:sz w:val="24"/>
          <w:szCs w:val="24"/>
        </w:rPr>
        <w:t>escoge</w:t>
      </w:r>
      <w:r w:rsidR="002A7172">
        <w:rPr>
          <w:rFonts w:ascii="Arial" w:hAnsi="Arial"/>
          <w:sz w:val="24"/>
          <w:szCs w:val="24"/>
        </w:rPr>
        <w:t xml:space="preserve"> </w:t>
      </w:r>
      <w:r w:rsidRPr="0060154D">
        <w:rPr>
          <w:rFonts w:ascii="Arial" w:hAnsi="Arial"/>
          <w:sz w:val="24"/>
          <w:szCs w:val="24"/>
        </w:rPr>
        <w:t xml:space="preserve">el modelo de efectos fijos, no existe colinealidad porque los valorares no son mayores a 10, hay heterocedasticidad y autocorrelación dentro del panel </w:t>
      </w:r>
      <w:r w:rsidRPr="0060154D">
        <w:rPr>
          <w:rFonts w:ascii="Arial" w:hAnsi="Arial"/>
          <w:sz w:val="24"/>
          <w:szCs w:val="24"/>
        </w:rPr>
        <w:lastRenderedPageBreak/>
        <w:t>y no hay autocorrelación de sección cruzada una vez detectado el problema hemos modificado el modelo escogiendo desviaciones robustas Arellano, por ende, rechazamos hipótesis nula y aceptamos la hipótesis 1.</w:t>
      </w:r>
    </w:p>
    <w:p w14:paraId="0EAF4E86" w14:textId="15294FEB" w:rsidR="0060154D" w:rsidRPr="0060154D" w:rsidRDefault="0060154D" w:rsidP="004F5474">
      <w:pPr>
        <w:spacing w:after="0" w:line="480" w:lineRule="auto"/>
        <w:jc w:val="both"/>
        <w:rPr>
          <w:rFonts w:ascii="Arial" w:hAnsi="Arial"/>
          <w:sz w:val="24"/>
          <w:szCs w:val="24"/>
        </w:rPr>
      </w:pPr>
      <w:r w:rsidRPr="0060154D">
        <w:rPr>
          <w:rFonts w:ascii="Arial" w:hAnsi="Arial"/>
          <w:sz w:val="24"/>
          <w:szCs w:val="24"/>
        </w:rPr>
        <w:t xml:space="preserve">Para la ecuación (2) del </w:t>
      </w:r>
      <w:proofErr w:type="spellStart"/>
      <w:r w:rsidRPr="0060154D">
        <w:rPr>
          <w:rFonts w:ascii="Arial" w:hAnsi="Arial"/>
          <w:sz w:val="24"/>
          <w:szCs w:val="24"/>
        </w:rPr>
        <w:t>end_pat</w:t>
      </w:r>
      <w:proofErr w:type="spellEnd"/>
      <w:r w:rsidRPr="0060154D">
        <w:rPr>
          <w:rFonts w:ascii="Arial" w:hAnsi="Arial"/>
          <w:sz w:val="24"/>
          <w:szCs w:val="24"/>
        </w:rPr>
        <w:t xml:space="preserve"> es positivo, pero no significativo, determinamos por efectos fijos, no hay colinealidad, existe heterocedasticidad, hay autocorrelación y también de sección cruzada </w:t>
      </w:r>
      <w:r w:rsidR="004F5474">
        <w:rPr>
          <w:rFonts w:ascii="Arial" w:hAnsi="Arial"/>
          <w:sz w:val="24"/>
          <w:szCs w:val="24"/>
        </w:rPr>
        <w:t>se</w:t>
      </w:r>
      <w:r w:rsidRPr="0060154D">
        <w:rPr>
          <w:rFonts w:ascii="Arial" w:hAnsi="Arial"/>
          <w:sz w:val="24"/>
          <w:szCs w:val="24"/>
        </w:rPr>
        <w:t xml:space="preserve"> modific</w:t>
      </w:r>
      <w:r w:rsidR="004F5474">
        <w:rPr>
          <w:rFonts w:ascii="Arial" w:hAnsi="Arial"/>
          <w:sz w:val="24"/>
          <w:szCs w:val="24"/>
        </w:rPr>
        <w:t>ó</w:t>
      </w:r>
      <w:r w:rsidRPr="0060154D">
        <w:rPr>
          <w:rFonts w:ascii="Arial" w:hAnsi="Arial"/>
          <w:sz w:val="24"/>
          <w:szCs w:val="24"/>
        </w:rPr>
        <w:t xml:space="preserve"> el modelo a desviaciones robustas y también se realizó el contraste de Wald para explicar las variables ficticias temporales, </w:t>
      </w:r>
      <w:r w:rsidR="004F5474">
        <w:rPr>
          <w:rFonts w:ascii="Arial" w:hAnsi="Arial"/>
          <w:sz w:val="24"/>
          <w:szCs w:val="24"/>
        </w:rPr>
        <w:t xml:space="preserve">se </w:t>
      </w:r>
      <w:r w:rsidRPr="0060154D">
        <w:rPr>
          <w:rFonts w:ascii="Arial" w:hAnsi="Arial"/>
          <w:sz w:val="24"/>
          <w:szCs w:val="24"/>
        </w:rPr>
        <w:t xml:space="preserve">rechaza la hipótesis 2. La ecuación (3) del </w:t>
      </w:r>
      <w:proofErr w:type="spellStart"/>
      <w:r w:rsidRPr="0060154D">
        <w:rPr>
          <w:rFonts w:ascii="Arial" w:hAnsi="Arial"/>
          <w:sz w:val="24"/>
          <w:szCs w:val="24"/>
        </w:rPr>
        <w:t>end_pat-cp</w:t>
      </w:r>
      <w:proofErr w:type="spellEnd"/>
      <w:r w:rsidRPr="0060154D">
        <w:rPr>
          <w:rFonts w:ascii="Arial" w:hAnsi="Arial"/>
          <w:sz w:val="24"/>
          <w:szCs w:val="24"/>
        </w:rPr>
        <w:t xml:space="preserve"> es positiva y significativa al nivel del 1%, por lo que si aumenta una unidad </w:t>
      </w:r>
      <w:proofErr w:type="gramStart"/>
      <w:r w:rsidR="00B8356A">
        <w:rPr>
          <w:rFonts w:ascii="Arial" w:hAnsi="Arial"/>
          <w:sz w:val="24"/>
          <w:szCs w:val="24"/>
        </w:rPr>
        <w:t xml:space="preserve">el </w:t>
      </w:r>
      <w:r w:rsidRPr="0060154D">
        <w:rPr>
          <w:rFonts w:ascii="Arial" w:hAnsi="Arial"/>
          <w:sz w:val="24"/>
          <w:szCs w:val="24"/>
        </w:rPr>
        <w:t>ratio</w:t>
      </w:r>
      <w:proofErr w:type="gramEnd"/>
      <w:r w:rsidRPr="0060154D">
        <w:rPr>
          <w:rFonts w:ascii="Arial" w:hAnsi="Arial"/>
          <w:sz w:val="24"/>
          <w:szCs w:val="24"/>
        </w:rPr>
        <w:t xml:space="preserve">, el ROE aumentara en 0,3534, se ajusta esta ecuación a efectos fijos, no hay colinealidad, ni heteroscedasticidad, tampoco hay autocorrelación ni dependencia cruzada por lo tanto aceptamos la hipótesis 3. Y </w:t>
      </w:r>
      <w:r w:rsidR="00577AF3">
        <w:rPr>
          <w:rFonts w:ascii="Arial" w:hAnsi="Arial"/>
          <w:sz w:val="24"/>
          <w:szCs w:val="24"/>
        </w:rPr>
        <w:t>siguiente</w:t>
      </w:r>
      <w:r w:rsidRPr="0060154D">
        <w:rPr>
          <w:rFonts w:ascii="Arial" w:hAnsi="Arial"/>
          <w:sz w:val="24"/>
          <w:szCs w:val="24"/>
        </w:rPr>
        <w:t xml:space="preserve"> tenemos la ecuación (4) del </w:t>
      </w:r>
      <w:proofErr w:type="spellStart"/>
      <w:r w:rsidRPr="0060154D">
        <w:rPr>
          <w:rFonts w:ascii="Arial" w:hAnsi="Arial"/>
          <w:sz w:val="24"/>
          <w:szCs w:val="24"/>
        </w:rPr>
        <w:t>end_pat-lp</w:t>
      </w:r>
      <w:proofErr w:type="spellEnd"/>
      <w:r w:rsidRPr="0060154D">
        <w:rPr>
          <w:rFonts w:ascii="Arial" w:hAnsi="Arial"/>
          <w:sz w:val="24"/>
          <w:szCs w:val="24"/>
        </w:rPr>
        <w:t xml:space="preserve"> es significativo y positivo al nivel del 1%, se ajusta al modelo de efectos fijos, no hay colinealidad por que los valores no superan el valor de 10, hay heterocedasticidad, hay autocorrelación y también de dependencia cruzada por lo que se modificó a desviaciones robustas de Arellano, por ende, aceptamos la hipótesis 4.</w:t>
      </w:r>
    </w:p>
    <w:p w14:paraId="76641922" w14:textId="77777777" w:rsidR="0060154D" w:rsidRPr="00AD2114" w:rsidRDefault="0060154D" w:rsidP="0060154D">
      <w:pPr>
        <w:spacing w:after="0" w:line="480" w:lineRule="auto"/>
        <w:ind w:firstLine="720"/>
        <w:jc w:val="both"/>
        <w:rPr>
          <w:rFonts w:ascii="Arial" w:hAnsi="Arial"/>
          <w:sz w:val="24"/>
          <w:szCs w:val="24"/>
        </w:rPr>
      </w:pPr>
      <w:r w:rsidRPr="0060154D">
        <w:rPr>
          <w:rFonts w:ascii="Arial" w:hAnsi="Arial"/>
          <w:sz w:val="24"/>
          <w:szCs w:val="24"/>
        </w:rPr>
        <w:t xml:space="preserve">Para la variable dependiente ROA la ecuación (5) sobre el </w:t>
      </w:r>
      <w:proofErr w:type="spellStart"/>
      <w:r w:rsidRPr="0060154D">
        <w:rPr>
          <w:rFonts w:ascii="Arial" w:hAnsi="Arial"/>
          <w:sz w:val="24"/>
          <w:szCs w:val="24"/>
        </w:rPr>
        <w:t>end_act</w:t>
      </w:r>
      <w:proofErr w:type="spellEnd"/>
      <w:r w:rsidRPr="0060154D">
        <w:rPr>
          <w:rFonts w:ascii="Arial" w:hAnsi="Arial"/>
          <w:sz w:val="24"/>
          <w:szCs w:val="24"/>
        </w:rPr>
        <w:t xml:space="preserve"> es positiva y significativo al nivel del 5%, se ajusta al modelo de efectos fijos, mediante análisis determinamos que no hay colinealidad por que los valores (VIF) son inferiores a 10, hay heterocedasticidad al igual que autocorrelación, por lo que modificamos por deviaciones robustas, y concluimos que aceptamos la hipótesis 5. La ecuación (6) sobre </w:t>
      </w:r>
      <w:proofErr w:type="spellStart"/>
      <w:r w:rsidRPr="0060154D">
        <w:rPr>
          <w:rFonts w:ascii="Arial" w:hAnsi="Arial"/>
          <w:sz w:val="24"/>
          <w:szCs w:val="24"/>
        </w:rPr>
        <w:t>end_pat</w:t>
      </w:r>
      <w:proofErr w:type="spellEnd"/>
      <w:r w:rsidRPr="0060154D">
        <w:rPr>
          <w:rFonts w:ascii="Arial" w:hAnsi="Arial"/>
          <w:sz w:val="24"/>
          <w:szCs w:val="24"/>
        </w:rPr>
        <w:t xml:space="preserve"> es positiva y significativa al nivel </w:t>
      </w:r>
      <w:r w:rsidRPr="00AD2114">
        <w:rPr>
          <w:rFonts w:ascii="Arial" w:hAnsi="Arial"/>
          <w:sz w:val="24"/>
          <w:szCs w:val="24"/>
        </w:rPr>
        <w:t xml:space="preserve">del 5%, se ajusta al modelo de efectos fijos, no hay colinealidad, hay heteroscedasticidad, hay autocorrelación y dependencia cruzada por lo que se </w:t>
      </w:r>
      <w:r w:rsidRPr="00AD2114">
        <w:rPr>
          <w:rFonts w:ascii="Arial" w:hAnsi="Arial"/>
          <w:sz w:val="24"/>
          <w:szCs w:val="24"/>
        </w:rPr>
        <w:lastRenderedPageBreak/>
        <w:t>modifica el modelo a desviaciones robustas para mitigar los problemas observados, por ende, aceptamos hipótesis 6.</w:t>
      </w:r>
    </w:p>
    <w:p w14:paraId="47AD8A61" w14:textId="1685606E" w:rsidR="00034A48" w:rsidRDefault="0060154D" w:rsidP="00CA5686">
      <w:pPr>
        <w:spacing w:after="0" w:line="480" w:lineRule="auto"/>
        <w:jc w:val="both"/>
        <w:rPr>
          <w:rFonts w:ascii="Arial" w:hAnsi="Arial"/>
          <w:sz w:val="24"/>
          <w:szCs w:val="24"/>
        </w:rPr>
      </w:pPr>
      <w:r w:rsidRPr="00AD2114">
        <w:rPr>
          <w:rFonts w:ascii="Arial" w:hAnsi="Arial"/>
          <w:sz w:val="24"/>
          <w:szCs w:val="24"/>
        </w:rPr>
        <w:t xml:space="preserve">Las ecuaciones (7) y (8) sobre el </w:t>
      </w:r>
      <w:proofErr w:type="spellStart"/>
      <w:r w:rsidRPr="00AD2114">
        <w:rPr>
          <w:rFonts w:ascii="Arial" w:hAnsi="Arial"/>
          <w:sz w:val="24"/>
          <w:szCs w:val="24"/>
        </w:rPr>
        <w:t>end_pat-cp</w:t>
      </w:r>
      <w:proofErr w:type="spellEnd"/>
      <w:r w:rsidRPr="00AD2114">
        <w:rPr>
          <w:rFonts w:ascii="Arial" w:hAnsi="Arial"/>
          <w:sz w:val="24"/>
          <w:szCs w:val="24"/>
        </w:rPr>
        <w:t xml:space="preserve"> y </w:t>
      </w:r>
      <w:proofErr w:type="spellStart"/>
      <w:r w:rsidRPr="00AD2114">
        <w:rPr>
          <w:rFonts w:ascii="Arial" w:hAnsi="Arial"/>
          <w:sz w:val="24"/>
          <w:szCs w:val="24"/>
        </w:rPr>
        <w:t>lp</w:t>
      </w:r>
      <w:proofErr w:type="spellEnd"/>
      <w:r w:rsidRPr="00AD2114">
        <w:rPr>
          <w:rFonts w:ascii="Arial" w:hAnsi="Arial"/>
          <w:sz w:val="24"/>
          <w:szCs w:val="24"/>
        </w:rPr>
        <w:t xml:space="preserve"> son significativas y positivas al nivel del 1% en relación al ROA, se ajustan al modelo de efectos fijos, no hay colinealidad en ninguno de las 2 ecuaciones, si hay heteroscedasticidad, hay autocorrelación al igual que dependencia cruzada, se modifica el modelo a desviaciones robustas de Arellano, por lo que concluimos que aceptamos la hipótesis 7 y 8</w:t>
      </w:r>
      <w:r w:rsidR="00B8356A" w:rsidRPr="00AD2114">
        <w:rPr>
          <w:rFonts w:ascii="Arial" w:hAnsi="Arial"/>
          <w:sz w:val="24"/>
          <w:szCs w:val="24"/>
        </w:rPr>
        <w:t>.</w:t>
      </w:r>
    </w:p>
    <w:p w14:paraId="15D12B50" w14:textId="77777777" w:rsidR="00AD2114" w:rsidRPr="00AD2114" w:rsidRDefault="00AD2114" w:rsidP="00CA5686">
      <w:pPr>
        <w:spacing w:after="0" w:line="480" w:lineRule="auto"/>
        <w:jc w:val="both"/>
        <w:rPr>
          <w:rFonts w:ascii="Arial" w:hAnsi="Arial"/>
          <w:sz w:val="24"/>
          <w:szCs w:val="24"/>
        </w:rPr>
      </w:pPr>
    </w:p>
    <w:p w14:paraId="5FF7EC06" w14:textId="4B50E3B8" w:rsidR="00034A48" w:rsidRDefault="00034A48" w:rsidP="00CA5686">
      <w:pPr>
        <w:pStyle w:val="NormalWeb"/>
        <w:numPr>
          <w:ilvl w:val="0"/>
          <w:numId w:val="2"/>
        </w:numPr>
        <w:shd w:val="clear" w:color="auto" w:fill="FFFFFF"/>
        <w:spacing w:before="180" w:beforeAutospacing="0" w:after="180" w:afterAutospacing="0"/>
        <w:jc w:val="both"/>
        <w:rPr>
          <w:rFonts w:ascii="Arial" w:hAnsi="Arial" w:cs="Arial"/>
          <w:color w:val="2D3B45"/>
        </w:rPr>
      </w:pPr>
      <w:r>
        <w:rPr>
          <w:rFonts w:ascii="Arial" w:hAnsi="Arial" w:cs="Arial"/>
          <w:color w:val="2D3B45"/>
        </w:rPr>
        <w:t>CONCLUSIONES</w:t>
      </w:r>
    </w:p>
    <w:p w14:paraId="793CFA15" w14:textId="77777777" w:rsidR="00CA5686" w:rsidRDefault="00CA5686" w:rsidP="00CA5686">
      <w:pPr>
        <w:pStyle w:val="NormalWeb"/>
        <w:shd w:val="clear" w:color="auto" w:fill="FFFFFF"/>
        <w:spacing w:before="180" w:beforeAutospacing="0" w:after="180" w:afterAutospacing="0"/>
        <w:ind w:left="1080"/>
        <w:jc w:val="both"/>
        <w:rPr>
          <w:rFonts w:ascii="Arial" w:hAnsi="Arial" w:cs="Arial"/>
          <w:color w:val="2D3B45"/>
        </w:rPr>
      </w:pPr>
    </w:p>
    <w:p w14:paraId="54B20706" w14:textId="0FDA6A3B" w:rsidR="00CA5686" w:rsidRPr="00CA5686" w:rsidRDefault="00577AF3" w:rsidP="00CA5686">
      <w:pPr>
        <w:spacing w:after="0" w:line="480" w:lineRule="auto"/>
        <w:jc w:val="both"/>
        <w:rPr>
          <w:rFonts w:ascii="Arial" w:hAnsi="Arial"/>
          <w:sz w:val="24"/>
          <w:szCs w:val="24"/>
          <w:lang w:val="es-ES_tradnl"/>
        </w:rPr>
      </w:pPr>
      <w:r>
        <w:rPr>
          <w:rFonts w:ascii="Arial" w:hAnsi="Arial"/>
          <w:sz w:val="24"/>
          <w:szCs w:val="24"/>
          <w:lang w:eastAsia="es-EC"/>
        </w:rPr>
        <w:t>La</w:t>
      </w:r>
      <w:r w:rsidR="00CA5686" w:rsidRPr="00CA5686">
        <w:rPr>
          <w:rFonts w:ascii="Arial" w:hAnsi="Arial"/>
          <w:sz w:val="24"/>
          <w:szCs w:val="24"/>
          <w:lang w:val="es-ES_tradnl"/>
        </w:rPr>
        <w:t xml:space="preserve"> estructura de capital y la rentabilidad de las empresas </w:t>
      </w:r>
      <w:r>
        <w:rPr>
          <w:rFonts w:ascii="Arial" w:hAnsi="Arial"/>
          <w:sz w:val="24"/>
          <w:szCs w:val="24"/>
          <w:lang w:val="es-ES_tradnl"/>
        </w:rPr>
        <w:t>manufactureras</w:t>
      </w:r>
      <w:r w:rsidR="00CA5686" w:rsidRPr="00CA5686">
        <w:rPr>
          <w:rFonts w:ascii="Arial" w:hAnsi="Arial"/>
          <w:sz w:val="24"/>
          <w:szCs w:val="24"/>
          <w:lang w:val="es-ES_tradnl"/>
        </w:rPr>
        <w:t xml:space="preserve"> ecuatorianas en el periodo 2017-2019.  </w:t>
      </w:r>
      <w:r>
        <w:rPr>
          <w:rFonts w:ascii="Arial" w:hAnsi="Arial"/>
          <w:sz w:val="24"/>
          <w:szCs w:val="24"/>
          <w:lang w:val="es-ES_tradnl"/>
        </w:rPr>
        <w:t>S</w:t>
      </w:r>
      <w:r w:rsidR="00CA5686" w:rsidRPr="00CA5686">
        <w:rPr>
          <w:rFonts w:ascii="Arial" w:hAnsi="Arial"/>
          <w:sz w:val="24"/>
          <w:szCs w:val="24"/>
          <w:lang w:val="es-ES_tradnl"/>
        </w:rPr>
        <w:t xml:space="preserve">e estima por datos panel a través de estadística descriptiva, correlacional y efectos fijos. </w:t>
      </w:r>
    </w:p>
    <w:p w14:paraId="4CC4604C" w14:textId="19832DCF" w:rsidR="00CA5686" w:rsidRPr="00CA5686" w:rsidRDefault="00CA5686" w:rsidP="00CA5686">
      <w:pPr>
        <w:spacing w:after="0" w:line="480" w:lineRule="auto"/>
        <w:jc w:val="both"/>
        <w:rPr>
          <w:rFonts w:ascii="Arial" w:hAnsi="Arial"/>
          <w:sz w:val="24"/>
          <w:szCs w:val="24"/>
          <w:lang w:val="es-ES_tradnl"/>
        </w:rPr>
      </w:pPr>
      <w:r w:rsidRPr="00CA5686">
        <w:rPr>
          <w:rFonts w:ascii="Arial" w:hAnsi="Arial"/>
          <w:sz w:val="24"/>
          <w:szCs w:val="24"/>
          <w:lang w:val="es-ES_tradnl"/>
        </w:rPr>
        <w:t xml:space="preserve">Luego </w:t>
      </w:r>
      <w:r w:rsidR="00577AF3">
        <w:rPr>
          <w:rFonts w:ascii="Arial" w:hAnsi="Arial"/>
          <w:sz w:val="24"/>
          <w:szCs w:val="24"/>
          <w:lang w:val="es-ES_tradnl"/>
        </w:rPr>
        <w:t>se</w:t>
      </w:r>
      <w:r w:rsidRPr="00CA5686">
        <w:rPr>
          <w:rFonts w:ascii="Arial" w:hAnsi="Arial"/>
          <w:sz w:val="24"/>
          <w:szCs w:val="24"/>
          <w:lang w:val="es-ES_tradnl"/>
        </w:rPr>
        <w:t xml:space="preserve"> analiza</w:t>
      </w:r>
      <w:r w:rsidR="00577AF3">
        <w:rPr>
          <w:rFonts w:ascii="Arial" w:hAnsi="Arial"/>
          <w:sz w:val="24"/>
          <w:szCs w:val="24"/>
          <w:lang w:val="es-ES_tradnl"/>
        </w:rPr>
        <w:t xml:space="preserve"> </w:t>
      </w:r>
      <w:r w:rsidRPr="00CA5686">
        <w:rPr>
          <w:rFonts w:ascii="Arial" w:hAnsi="Arial"/>
          <w:sz w:val="24"/>
          <w:szCs w:val="24"/>
          <w:lang w:val="es-ES_tradnl"/>
        </w:rPr>
        <w:t xml:space="preserve">la matriz de correlación </w:t>
      </w:r>
      <w:r w:rsidR="00577AF3">
        <w:rPr>
          <w:rFonts w:ascii="Arial" w:hAnsi="Arial"/>
          <w:sz w:val="24"/>
          <w:szCs w:val="24"/>
          <w:lang w:val="es-ES_tradnl"/>
        </w:rPr>
        <w:t xml:space="preserve">donde </w:t>
      </w:r>
      <w:r w:rsidRPr="00CA5686">
        <w:rPr>
          <w:rFonts w:ascii="Arial" w:hAnsi="Arial"/>
          <w:sz w:val="24"/>
          <w:szCs w:val="24"/>
          <w:lang w:val="es-ES_tradnl"/>
        </w:rPr>
        <w:t>podemos determinar una correlación moderada en cuanto al endeudamiento del activo con el endeudamiento del patrimonio no corriente por lo que las empresas utilizan capital externo para financiarse en un sector</w:t>
      </w:r>
      <w:r w:rsidR="00577AF3">
        <w:rPr>
          <w:rFonts w:ascii="Arial" w:hAnsi="Arial"/>
          <w:sz w:val="24"/>
          <w:szCs w:val="24"/>
          <w:lang w:val="es-ES_tradnl"/>
        </w:rPr>
        <w:t>.</w:t>
      </w:r>
    </w:p>
    <w:p w14:paraId="49120B99" w14:textId="7580A29F" w:rsidR="00CA5686" w:rsidRPr="00AD2114" w:rsidRDefault="00CA5686" w:rsidP="00AD2114">
      <w:pPr>
        <w:spacing w:after="0" w:line="480" w:lineRule="auto"/>
        <w:jc w:val="both"/>
        <w:rPr>
          <w:rFonts w:ascii="Arial" w:hAnsi="Arial"/>
          <w:sz w:val="24"/>
          <w:szCs w:val="24"/>
          <w:lang w:val="es-ES_tradnl"/>
        </w:rPr>
      </w:pPr>
      <w:r w:rsidRPr="00CA5686">
        <w:rPr>
          <w:rFonts w:ascii="Arial" w:hAnsi="Arial"/>
          <w:sz w:val="24"/>
          <w:szCs w:val="24"/>
          <w:lang w:eastAsia="es-EC"/>
        </w:rPr>
        <w:t xml:space="preserve">La econometría de datos panel se estimó por efectos fijos para todas las variables estudiadas dando como resultado, que el </w:t>
      </w:r>
      <w:r w:rsidRPr="00CA5686">
        <w:rPr>
          <w:rFonts w:ascii="Arial" w:hAnsi="Arial"/>
          <w:sz w:val="24"/>
          <w:szCs w:val="24"/>
          <w:lang w:val="es-ES_tradnl"/>
        </w:rPr>
        <w:t xml:space="preserve">rendimiento de los activos (ROA) y rendimiento del patrimonio (ROE), </w:t>
      </w:r>
      <w:r w:rsidR="000246A0" w:rsidRPr="00CA5686">
        <w:rPr>
          <w:rFonts w:ascii="Arial" w:hAnsi="Arial"/>
          <w:sz w:val="24"/>
          <w:szCs w:val="24"/>
          <w:lang w:val="es-ES_tradnl"/>
        </w:rPr>
        <w:t>está</w:t>
      </w:r>
      <w:r w:rsidRPr="00CA5686">
        <w:rPr>
          <w:rFonts w:ascii="Arial" w:hAnsi="Arial"/>
          <w:sz w:val="24"/>
          <w:szCs w:val="24"/>
          <w:lang w:val="es-ES_tradnl"/>
        </w:rPr>
        <w:t xml:space="preserve"> relacionado con la estructura de capital en las empresas </w:t>
      </w:r>
      <w:r w:rsidR="00577AF3">
        <w:rPr>
          <w:rFonts w:ascii="Arial" w:hAnsi="Arial"/>
          <w:sz w:val="24"/>
          <w:szCs w:val="24"/>
          <w:lang w:val="es-ES_tradnl"/>
        </w:rPr>
        <w:t>manufactureras</w:t>
      </w:r>
      <w:r w:rsidRPr="00CA5686">
        <w:rPr>
          <w:rFonts w:ascii="Arial" w:hAnsi="Arial"/>
          <w:sz w:val="24"/>
          <w:szCs w:val="24"/>
          <w:lang w:val="es-ES_tradnl"/>
        </w:rPr>
        <w:t xml:space="preserve"> ecuatorianas para el periodo 2017-2019</w:t>
      </w:r>
      <w:r w:rsidR="000246A0">
        <w:rPr>
          <w:rFonts w:ascii="Arial" w:hAnsi="Arial"/>
          <w:sz w:val="24"/>
          <w:szCs w:val="24"/>
          <w:lang w:val="es-ES_tradnl"/>
        </w:rPr>
        <w:t>, de esta forma</w:t>
      </w:r>
      <w:r w:rsidRPr="00CA5686">
        <w:rPr>
          <w:rFonts w:ascii="Arial" w:hAnsi="Arial"/>
          <w:sz w:val="24"/>
          <w:szCs w:val="24"/>
          <w:lang w:val="es-ES_tradnl"/>
        </w:rPr>
        <w:t xml:space="preserve"> la estructura de capital que adopt</w:t>
      </w:r>
      <w:r w:rsidR="000246A0">
        <w:rPr>
          <w:rFonts w:ascii="Arial" w:hAnsi="Arial"/>
          <w:sz w:val="24"/>
          <w:szCs w:val="24"/>
          <w:lang w:val="es-ES_tradnl"/>
        </w:rPr>
        <w:t>an</w:t>
      </w:r>
      <w:r w:rsidRPr="00CA5686">
        <w:rPr>
          <w:rFonts w:ascii="Arial" w:hAnsi="Arial"/>
          <w:sz w:val="24"/>
          <w:szCs w:val="24"/>
          <w:lang w:val="es-ES_tradnl"/>
        </w:rPr>
        <w:t xml:space="preserve"> las empresas </w:t>
      </w:r>
      <w:r w:rsidR="00577AF3">
        <w:rPr>
          <w:rFonts w:ascii="Arial" w:hAnsi="Arial"/>
          <w:sz w:val="24"/>
          <w:szCs w:val="24"/>
          <w:lang w:val="es-ES_tradnl"/>
        </w:rPr>
        <w:t>manufactureras</w:t>
      </w:r>
      <w:r w:rsidRPr="00CA5686">
        <w:rPr>
          <w:rFonts w:ascii="Arial" w:hAnsi="Arial"/>
          <w:sz w:val="24"/>
          <w:szCs w:val="24"/>
          <w:lang w:val="es-ES_tradnl"/>
        </w:rPr>
        <w:t xml:space="preserve"> de Ecuador, </w:t>
      </w:r>
      <w:r w:rsidR="000246A0">
        <w:rPr>
          <w:rFonts w:ascii="Arial" w:hAnsi="Arial"/>
          <w:sz w:val="24"/>
          <w:szCs w:val="24"/>
          <w:lang w:val="es-ES_tradnl"/>
        </w:rPr>
        <w:t>incide en la rentabilidad que obtendrán</w:t>
      </w:r>
    </w:p>
    <w:p w14:paraId="2AFEA548" w14:textId="77777777" w:rsidR="00CA5686" w:rsidRDefault="00CA5686" w:rsidP="003273BF">
      <w:pPr>
        <w:pStyle w:val="NormalWeb"/>
        <w:shd w:val="clear" w:color="auto" w:fill="FFFFFF"/>
        <w:spacing w:before="180" w:beforeAutospacing="0" w:after="180" w:afterAutospacing="0"/>
        <w:jc w:val="both"/>
        <w:rPr>
          <w:rFonts w:ascii="Arial" w:hAnsi="Arial" w:cs="Arial"/>
          <w:color w:val="2D3B45"/>
        </w:rPr>
      </w:pPr>
    </w:p>
    <w:sdt>
      <w:sdtPr>
        <w:rPr>
          <w:rFonts w:asciiTheme="minorHAnsi" w:eastAsiaTheme="minorHAnsi" w:hAnsiTheme="minorHAnsi" w:cstheme="minorBidi"/>
          <w:color w:val="auto"/>
          <w:sz w:val="22"/>
          <w:szCs w:val="22"/>
          <w:lang w:val="es-ES" w:eastAsia="en-US"/>
        </w:rPr>
        <w:id w:val="-2053217232"/>
        <w:docPartObj>
          <w:docPartGallery w:val="Bibliographies"/>
          <w:docPartUnique/>
        </w:docPartObj>
      </w:sdtPr>
      <w:sdtEndPr>
        <w:rPr>
          <w:lang w:val="es-EC"/>
        </w:rPr>
      </w:sdtEndPr>
      <w:sdtContent>
        <w:p w14:paraId="3D97743C" w14:textId="3B0B3953" w:rsidR="00B820D1" w:rsidRPr="00AD2114" w:rsidRDefault="00B820D1">
          <w:pPr>
            <w:pStyle w:val="Ttulo1"/>
            <w:rPr>
              <w:rFonts w:ascii="Arial" w:hAnsi="Arial" w:cs="Arial"/>
              <w:color w:val="auto"/>
              <w:sz w:val="24"/>
              <w:szCs w:val="24"/>
            </w:rPr>
          </w:pPr>
          <w:r w:rsidRPr="00AD2114">
            <w:rPr>
              <w:rFonts w:ascii="Arial" w:hAnsi="Arial" w:cs="Arial"/>
              <w:color w:val="auto"/>
              <w:sz w:val="24"/>
              <w:szCs w:val="24"/>
              <w:lang w:val="es-ES"/>
            </w:rPr>
            <w:t>Bibliografía</w:t>
          </w:r>
        </w:p>
        <w:sdt>
          <w:sdtPr>
            <w:id w:val="111145805"/>
            <w:bibliography/>
          </w:sdtPr>
          <w:sdtEndPr/>
          <w:sdtContent>
            <w:p w14:paraId="05BF04D8" w14:textId="4594519A" w:rsidR="00B820D1" w:rsidRDefault="00B820D1" w:rsidP="00B820D1">
              <w:pPr>
                <w:pStyle w:val="Bibliografa"/>
                <w:ind w:left="720" w:hanging="720"/>
                <w:rPr>
                  <w:noProof/>
                  <w:sz w:val="24"/>
                  <w:szCs w:val="24"/>
                  <w:lang w:val="es-ES"/>
                </w:rPr>
              </w:pPr>
              <w:r>
                <w:fldChar w:fldCharType="begin"/>
              </w:r>
              <w:r>
                <w:instrText>BIBLIOGRAPHY</w:instrText>
              </w:r>
              <w:r>
                <w:fldChar w:fldCharType="separate"/>
              </w:r>
            </w:p>
            <w:p w14:paraId="0DB947EB" w14:textId="2EA520B7" w:rsidR="00B820D1" w:rsidRDefault="00B820D1" w:rsidP="00B820D1">
              <w:pPr>
                <w:pStyle w:val="Bibliografa"/>
                <w:ind w:left="720" w:hanging="720"/>
                <w:rPr>
                  <w:noProof/>
                  <w:lang w:val="es-ES"/>
                </w:rPr>
              </w:pPr>
              <w:r>
                <w:rPr>
                  <w:noProof/>
                  <w:lang w:val="es-ES"/>
                </w:rPr>
                <w:t xml:space="preserve">Arellano, M., &amp; Olympia, B. (1990). La econometría de datos panel. </w:t>
              </w:r>
              <w:r>
                <w:rPr>
                  <w:i/>
                  <w:iCs/>
                  <w:noProof/>
                  <w:lang w:val="es-ES"/>
                </w:rPr>
                <w:t>Investigaciones económicas, 14</w:t>
              </w:r>
              <w:r>
                <w:rPr>
                  <w:noProof/>
                  <w:lang w:val="es-ES"/>
                </w:rPr>
                <w:t>(1), 3-45. doi:https://www.fundacionsepi.es/investigacion/revistas/paperArchive/Ene1990/v14i1a1.pdf</w:t>
              </w:r>
            </w:p>
            <w:p w14:paraId="2422AE73" w14:textId="72222DA0" w:rsidR="00B820D1" w:rsidRDefault="00B820D1" w:rsidP="00B820D1">
              <w:pPr>
                <w:pStyle w:val="Bibliografa"/>
                <w:ind w:left="720" w:hanging="720"/>
                <w:rPr>
                  <w:noProof/>
                  <w:lang w:val="es-ES"/>
                </w:rPr>
              </w:pPr>
              <w:r>
                <w:rPr>
                  <w:noProof/>
                  <w:lang w:val="es-ES"/>
                </w:rPr>
                <w:t xml:space="preserve">Modigliani, F. &amp;. (1963). </w:t>
              </w:r>
              <w:r>
                <w:rPr>
                  <w:i/>
                  <w:iCs/>
                  <w:noProof/>
                  <w:lang w:val="es-ES"/>
                </w:rPr>
                <w:t>The American Economic Review.</w:t>
              </w:r>
              <w:r>
                <w:rPr>
                  <w:noProof/>
                  <w:lang w:val="es-ES"/>
                </w:rPr>
                <w:t xml:space="preserve"> Obtenido de http://www.scielo.org.mx/scielo.php?script=sci_arttext&amp;pid=S0186-10422019000300014#B23</w:t>
              </w:r>
            </w:p>
            <w:p w14:paraId="618B33B6" w14:textId="7ECB1C0E" w:rsidR="00B820D1" w:rsidRDefault="00B820D1" w:rsidP="00B820D1">
              <w:pPr>
                <w:pStyle w:val="Bibliografa"/>
                <w:ind w:left="720" w:hanging="720"/>
                <w:rPr>
                  <w:noProof/>
                  <w:lang w:val="es-ES"/>
                </w:rPr>
              </w:pPr>
              <w:r>
                <w:rPr>
                  <w:noProof/>
                  <w:lang w:val="es-ES"/>
                </w:rPr>
                <w:t>Superintendencia de Compañias, Valores y Seguros. (s.f.). Obtenido de file:///C:/Users/User/Downloads/tabla_indicadores_new.pdf</w:t>
              </w:r>
            </w:p>
            <w:p w14:paraId="1A7BA1FA" w14:textId="77777777" w:rsidR="00340A4E" w:rsidRDefault="00340A4E" w:rsidP="00340A4E">
              <w:pPr>
                <w:pStyle w:val="Bibliografa"/>
                <w:ind w:left="720" w:hanging="720"/>
                <w:rPr>
                  <w:noProof/>
                  <w:lang w:val="es-ES"/>
                </w:rPr>
              </w:pPr>
              <w:r>
                <w:rPr>
                  <w:noProof/>
                  <w:lang w:val="es-ES"/>
                </w:rPr>
                <w:t xml:space="preserve">Mayorga, M., &amp; Muñoz, E. (2000). La técnica dato panel una guía para uso e interpretación. </w:t>
              </w:r>
              <w:r>
                <w:rPr>
                  <w:i/>
                  <w:iCs/>
                  <w:noProof/>
                  <w:lang w:val="es-ES"/>
                </w:rPr>
                <w:t>Banco Central de Costa Rica: Departamento de investigaciones económicas</w:t>
              </w:r>
              <w:r>
                <w:rPr>
                  <w:noProof/>
                  <w:lang w:val="es-ES"/>
                </w:rPr>
                <w:t>, 1-4. doi:https://d1wqtxts1xzle7.cloudfront.net/60221182/datos_panel20190806-71628-19josej-with-cover-page-v2.pdf?Expires=1653579537&amp;Signature=LOM7-chRcMmwcyFRCT0~nMTBothLV0gy-CzgBdkBtIJEOtbe92ifUSfW48WdbQm8BainEiMRX6TRKb7RrKMdbV~3Wrw3FjpAueu8M~ED6RfbY~pJ5Ba~vFyDBt</w:t>
              </w:r>
            </w:p>
            <w:p w14:paraId="51004D3B" w14:textId="77777777" w:rsidR="00340A4E" w:rsidRPr="00340A4E" w:rsidRDefault="00340A4E" w:rsidP="00340A4E">
              <w:pPr>
                <w:rPr>
                  <w:lang w:val="es-ES"/>
                </w:rPr>
              </w:pPr>
            </w:p>
            <w:p w14:paraId="3C36B007" w14:textId="696E7331" w:rsidR="00340A4E" w:rsidRDefault="00B820D1" w:rsidP="00340A4E">
              <w:r>
                <w:rPr>
                  <w:b/>
                  <w:bCs/>
                </w:rPr>
                <w:fldChar w:fldCharType="end"/>
              </w:r>
              <w:sdt>
                <w:sdtPr>
                  <w:id w:val="-62798735"/>
                  <w:docPartObj>
                    <w:docPartGallery w:val="Bibliographies"/>
                    <w:docPartUnique/>
                  </w:docPartObj>
                </w:sdtPr>
                <w:sdtEndPr/>
                <w:sdtContent/>
              </w:sdt>
            </w:p>
          </w:sdtContent>
        </w:sdt>
      </w:sdtContent>
    </w:sdt>
    <w:p w14:paraId="15728B9E" w14:textId="6662F47A" w:rsidR="00EF1516" w:rsidRDefault="00EF1516" w:rsidP="00DC169A">
      <w:pPr>
        <w:spacing w:line="360" w:lineRule="auto"/>
        <w:jc w:val="both"/>
        <w:rPr>
          <w:rFonts w:ascii="Arial" w:hAnsi="Arial" w:cs="Arial"/>
          <w:sz w:val="24"/>
          <w:szCs w:val="24"/>
        </w:rPr>
      </w:pPr>
    </w:p>
    <w:p w14:paraId="4B9ED62B" w14:textId="77777777" w:rsidR="00EF1516" w:rsidRDefault="00EF1516" w:rsidP="00EF1516">
      <w:pPr>
        <w:autoSpaceDE w:val="0"/>
        <w:autoSpaceDN w:val="0"/>
        <w:adjustRightInd w:val="0"/>
        <w:spacing w:after="0" w:line="240" w:lineRule="auto"/>
        <w:rPr>
          <w:rFonts w:ascii="Times New Roman" w:hAnsi="Times New Roman" w:cs="Times New Roman"/>
          <w:sz w:val="24"/>
          <w:szCs w:val="24"/>
        </w:rPr>
      </w:pPr>
    </w:p>
    <w:sectPr w:rsidR="00EF15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0AD4"/>
    <w:multiLevelType w:val="hybridMultilevel"/>
    <w:tmpl w:val="3D1CDB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3255241"/>
    <w:multiLevelType w:val="hybridMultilevel"/>
    <w:tmpl w:val="1CB6C246"/>
    <w:lvl w:ilvl="0" w:tplc="D654076C">
      <w:start w:val="1"/>
      <w:numFmt w:val="upp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76E210E3"/>
    <w:multiLevelType w:val="multilevel"/>
    <w:tmpl w:val="198449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341706473">
    <w:abstractNumId w:val="2"/>
  </w:num>
  <w:num w:numId="2" w16cid:durableId="1261793106">
    <w:abstractNumId w:val="1"/>
  </w:num>
  <w:num w:numId="3" w16cid:durableId="91482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E62"/>
    <w:rsid w:val="00000A34"/>
    <w:rsid w:val="00003D7F"/>
    <w:rsid w:val="000246A0"/>
    <w:rsid w:val="00034A48"/>
    <w:rsid w:val="0005450C"/>
    <w:rsid w:val="0006082D"/>
    <w:rsid w:val="00063129"/>
    <w:rsid w:val="00094ABE"/>
    <w:rsid w:val="000A2EA0"/>
    <w:rsid w:val="000F08CB"/>
    <w:rsid w:val="0011046B"/>
    <w:rsid w:val="00125AE6"/>
    <w:rsid w:val="00144903"/>
    <w:rsid w:val="00180FD0"/>
    <w:rsid w:val="0019326A"/>
    <w:rsid w:val="001A2C62"/>
    <w:rsid w:val="001B40F0"/>
    <w:rsid w:val="001F2809"/>
    <w:rsid w:val="001F61D4"/>
    <w:rsid w:val="00224225"/>
    <w:rsid w:val="00227DDC"/>
    <w:rsid w:val="00250482"/>
    <w:rsid w:val="002938E6"/>
    <w:rsid w:val="002A7172"/>
    <w:rsid w:val="002D6AC4"/>
    <w:rsid w:val="002E3546"/>
    <w:rsid w:val="002F6B13"/>
    <w:rsid w:val="00302405"/>
    <w:rsid w:val="003125AA"/>
    <w:rsid w:val="00325E4E"/>
    <w:rsid w:val="003273BF"/>
    <w:rsid w:val="00334129"/>
    <w:rsid w:val="00336085"/>
    <w:rsid w:val="00340A4E"/>
    <w:rsid w:val="00350ABE"/>
    <w:rsid w:val="00362341"/>
    <w:rsid w:val="00384C76"/>
    <w:rsid w:val="0039086D"/>
    <w:rsid w:val="003B0E6E"/>
    <w:rsid w:val="003D116B"/>
    <w:rsid w:val="003D64CE"/>
    <w:rsid w:val="003D6C24"/>
    <w:rsid w:val="003E6069"/>
    <w:rsid w:val="00401209"/>
    <w:rsid w:val="0042374A"/>
    <w:rsid w:val="00424EC8"/>
    <w:rsid w:val="00443ACD"/>
    <w:rsid w:val="004444E7"/>
    <w:rsid w:val="00445F92"/>
    <w:rsid w:val="00451EFC"/>
    <w:rsid w:val="00482855"/>
    <w:rsid w:val="00495C79"/>
    <w:rsid w:val="004A7240"/>
    <w:rsid w:val="004B1171"/>
    <w:rsid w:val="004E46A3"/>
    <w:rsid w:val="004F27E5"/>
    <w:rsid w:val="004F5474"/>
    <w:rsid w:val="005078BC"/>
    <w:rsid w:val="005125AF"/>
    <w:rsid w:val="00526A4B"/>
    <w:rsid w:val="00565BA7"/>
    <w:rsid w:val="005757E1"/>
    <w:rsid w:val="00577AF3"/>
    <w:rsid w:val="005C2B1D"/>
    <w:rsid w:val="005D6236"/>
    <w:rsid w:val="005E3D1D"/>
    <w:rsid w:val="005E617F"/>
    <w:rsid w:val="005F7DCD"/>
    <w:rsid w:val="0060154D"/>
    <w:rsid w:val="00630E29"/>
    <w:rsid w:val="00635E9A"/>
    <w:rsid w:val="00681E97"/>
    <w:rsid w:val="006E10CF"/>
    <w:rsid w:val="006F54E9"/>
    <w:rsid w:val="006F66D0"/>
    <w:rsid w:val="007103EC"/>
    <w:rsid w:val="007210E5"/>
    <w:rsid w:val="00736CCC"/>
    <w:rsid w:val="00750FF5"/>
    <w:rsid w:val="00760D08"/>
    <w:rsid w:val="00762552"/>
    <w:rsid w:val="007C2DE1"/>
    <w:rsid w:val="007F2939"/>
    <w:rsid w:val="00806BBB"/>
    <w:rsid w:val="00851EE0"/>
    <w:rsid w:val="00856388"/>
    <w:rsid w:val="008874C7"/>
    <w:rsid w:val="008934AE"/>
    <w:rsid w:val="008A1101"/>
    <w:rsid w:val="008C6609"/>
    <w:rsid w:val="008E4993"/>
    <w:rsid w:val="00911A87"/>
    <w:rsid w:val="009122D7"/>
    <w:rsid w:val="00936603"/>
    <w:rsid w:val="00963E35"/>
    <w:rsid w:val="00966A7B"/>
    <w:rsid w:val="009A5471"/>
    <w:rsid w:val="009D5B3D"/>
    <w:rsid w:val="009F15DF"/>
    <w:rsid w:val="009F1D8B"/>
    <w:rsid w:val="00A41D69"/>
    <w:rsid w:val="00A73272"/>
    <w:rsid w:val="00A77704"/>
    <w:rsid w:val="00A8780F"/>
    <w:rsid w:val="00AA4C57"/>
    <w:rsid w:val="00AD2114"/>
    <w:rsid w:val="00AE33DE"/>
    <w:rsid w:val="00AF7C1B"/>
    <w:rsid w:val="00B14CFD"/>
    <w:rsid w:val="00B36B1B"/>
    <w:rsid w:val="00B50BBF"/>
    <w:rsid w:val="00B81531"/>
    <w:rsid w:val="00B820D1"/>
    <w:rsid w:val="00B8356A"/>
    <w:rsid w:val="00B93F4A"/>
    <w:rsid w:val="00B94B39"/>
    <w:rsid w:val="00BC3F44"/>
    <w:rsid w:val="00BF033C"/>
    <w:rsid w:val="00BF78A3"/>
    <w:rsid w:val="00C175E1"/>
    <w:rsid w:val="00C363CE"/>
    <w:rsid w:val="00C6335F"/>
    <w:rsid w:val="00C66C26"/>
    <w:rsid w:val="00C832D5"/>
    <w:rsid w:val="00CA46AB"/>
    <w:rsid w:val="00CA5686"/>
    <w:rsid w:val="00CF099E"/>
    <w:rsid w:val="00D1146D"/>
    <w:rsid w:val="00D12A36"/>
    <w:rsid w:val="00D1408B"/>
    <w:rsid w:val="00D32008"/>
    <w:rsid w:val="00D405FD"/>
    <w:rsid w:val="00D44EF1"/>
    <w:rsid w:val="00D663BF"/>
    <w:rsid w:val="00D738B5"/>
    <w:rsid w:val="00DB698C"/>
    <w:rsid w:val="00DC169A"/>
    <w:rsid w:val="00DC793D"/>
    <w:rsid w:val="00DF4509"/>
    <w:rsid w:val="00E20E62"/>
    <w:rsid w:val="00E236DF"/>
    <w:rsid w:val="00E345E7"/>
    <w:rsid w:val="00E7380D"/>
    <w:rsid w:val="00E9632C"/>
    <w:rsid w:val="00EA4D9A"/>
    <w:rsid w:val="00EF123D"/>
    <w:rsid w:val="00EF1516"/>
    <w:rsid w:val="00EF2E13"/>
    <w:rsid w:val="00F24E79"/>
    <w:rsid w:val="00F93A40"/>
    <w:rsid w:val="00F96F49"/>
    <w:rsid w:val="00FB6685"/>
    <w:rsid w:val="00FB7F31"/>
    <w:rsid w:val="00FC5B42"/>
    <w:rsid w:val="00FD66F0"/>
    <w:rsid w:val="00FF06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813C"/>
  <w15:chartTrackingRefBased/>
  <w15:docId w15:val="{933BB5B7-5C7F-42D1-948B-266A9451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6069"/>
    <w:pPr>
      <w:keepNext/>
      <w:keepLines/>
      <w:spacing w:before="240" w:after="0"/>
      <w:outlineLvl w:val="0"/>
    </w:pPr>
    <w:rPr>
      <w:rFonts w:asciiTheme="majorHAnsi" w:eastAsiaTheme="majorEastAsia" w:hAnsiTheme="majorHAnsi" w:cstheme="majorBidi"/>
      <w:color w:val="2F5496" w:themeColor="accent1" w:themeShade="BF"/>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12A36"/>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D12A36"/>
    <w:rPr>
      <w:b/>
      <w:bCs/>
    </w:rPr>
  </w:style>
  <w:style w:type="paragraph" w:styleId="Prrafodelista">
    <w:name w:val="List Paragraph"/>
    <w:basedOn w:val="Normal"/>
    <w:uiPriority w:val="34"/>
    <w:qFormat/>
    <w:rsid w:val="00DF4509"/>
    <w:pPr>
      <w:ind w:left="720"/>
      <w:contextualSpacing/>
    </w:pPr>
  </w:style>
  <w:style w:type="table" w:styleId="Tablaconcuadrcula">
    <w:name w:val="Table Grid"/>
    <w:basedOn w:val="Tablanormal"/>
    <w:uiPriority w:val="39"/>
    <w:rsid w:val="00094ABE"/>
    <w:pPr>
      <w:overflowPunct w:val="0"/>
      <w:autoSpaceDE w:val="0"/>
      <w:autoSpaceDN w:val="0"/>
      <w:adjustRightInd w:val="0"/>
      <w:spacing w:after="0" w:line="240" w:lineRule="auto"/>
      <w:ind w:firstLine="397"/>
      <w:jc w:val="both"/>
      <w:textAlignment w:val="baseline"/>
    </w:pPr>
    <w:rPr>
      <w:rFonts w:ascii="Times New Roman" w:eastAsia="Times New Roman" w:hAnsi="Times New Roman" w:cs="Times New Roman"/>
      <w:sz w:val="20"/>
      <w:szCs w:val="20"/>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E6069"/>
    <w:rPr>
      <w:rFonts w:asciiTheme="majorHAnsi" w:eastAsiaTheme="majorEastAsia" w:hAnsiTheme="majorHAnsi" w:cstheme="majorBidi"/>
      <w:color w:val="2F5496" w:themeColor="accent1" w:themeShade="BF"/>
      <w:sz w:val="32"/>
      <w:szCs w:val="32"/>
      <w:lang w:eastAsia="es-EC"/>
    </w:rPr>
  </w:style>
  <w:style w:type="paragraph" w:styleId="Bibliografa">
    <w:name w:val="Bibliography"/>
    <w:basedOn w:val="Normal"/>
    <w:next w:val="Normal"/>
    <w:uiPriority w:val="37"/>
    <w:unhideWhenUsed/>
    <w:rsid w:val="003E6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62672">
      <w:bodyDiv w:val="1"/>
      <w:marLeft w:val="0"/>
      <w:marRight w:val="0"/>
      <w:marTop w:val="0"/>
      <w:marBottom w:val="0"/>
      <w:divBdr>
        <w:top w:val="none" w:sz="0" w:space="0" w:color="auto"/>
        <w:left w:val="none" w:sz="0" w:space="0" w:color="auto"/>
        <w:bottom w:val="none" w:sz="0" w:space="0" w:color="auto"/>
        <w:right w:val="none" w:sz="0" w:space="0" w:color="auto"/>
      </w:divBdr>
    </w:div>
    <w:div w:id="257494162">
      <w:bodyDiv w:val="1"/>
      <w:marLeft w:val="0"/>
      <w:marRight w:val="0"/>
      <w:marTop w:val="0"/>
      <w:marBottom w:val="0"/>
      <w:divBdr>
        <w:top w:val="none" w:sz="0" w:space="0" w:color="auto"/>
        <w:left w:val="none" w:sz="0" w:space="0" w:color="auto"/>
        <w:bottom w:val="none" w:sz="0" w:space="0" w:color="auto"/>
        <w:right w:val="none" w:sz="0" w:space="0" w:color="auto"/>
      </w:divBdr>
    </w:div>
    <w:div w:id="319161867">
      <w:bodyDiv w:val="1"/>
      <w:marLeft w:val="0"/>
      <w:marRight w:val="0"/>
      <w:marTop w:val="0"/>
      <w:marBottom w:val="0"/>
      <w:divBdr>
        <w:top w:val="none" w:sz="0" w:space="0" w:color="auto"/>
        <w:left w:val="none" w:sz="0" w:space="0" w:color="auto"/>
        <w:bottom w:val="none" w:sz="0" w:space="0" w:color="auto"/>
        <w:right w:val="none" w:sz="0" w:space="0" w:color="auto"/>
      </w:divBdr>
    </w:div>
    <w:div w:id="616526918">
      <w:bodyDiv w:val="1"/>
      <w:marLeft w:val="0"/>
      <w:marRight w:val="0"/>
      <w:marTop w:val="0"/>
      <w:marBottom w:val="0"/>
      <w:divBdr>
        <w:top w:val="none" w:sz="0" w:space="0" w:color="auto"/>
        <w:left w:val="none" w:sz="0" w:space="0" w:color="auto"/>
        <w:bottom w:val="none" w:sz="0" w:space="0" w:color="auto"/>
        <w:right w:val="none" w:sz="0" w:space="0" w:color="auto"/>
      </w:divBdr>
    </w:div>
    <w:div w:id="784420352">
      <w:bodyDiv w:val="1"/>
      <w:marLeft w:val="0"/>
      <w:marRight w:val="0"/>
      <w:marTop w:val="0"/>
      <w:marBottom w:val="0"/>
      <w:divBdr>
        <w:top w:val="none" w:sz="0" w:space="0" w:color="auto"/>
        <w:left w:val="none" w:sz="0" w:space="0" w:color="auto"/>
        <w:bottom w:val="none" w:sz="0" w:space="0" w:color="auto"/>
        <w:right w:val="none" w:sz="0" w:space="0" w:color="auto"/>
      </w:divBdr>
    </w:div>
    <w:div w:id="883444324">
      <w:bodyDiv w:val="1"/>
      <w:marLeft w:val="0"/>
      <w:marRight w:val="0"/>
      <w:marTop w:val="0"/>
      <w:marBottom w:val="0"/>
      <w:divBdr>
        <w:top w:val="none" w:sz="0" w:space="0" w:color="auto"/>
        <w:left w:val="none" w:sz="0" w:space="0" w:color="auto"/>
        <w:bottom w:val="none" w:sz="0" w:space="0" w:color="auto"/>
        <w:right w:val="none" w:sz="0" w:space="0" w:color="auto"/>
      </w:divBdr>
    </w:div>
    <w:div w:id="894391278">
      <w:bodyDiv w:val="1"/>
      <w:marLeft w:val="0"/>
      <w:marRight w:val="0"/>
      <w:marTop w:val="0"/>
      <w:marBottom w:val="0"/>
      <w:divBdr>
        <w:top w:val="none" w:sz="0" w:space="0" w:color="auto"/>
        <w:left w:val="none" w:sz="0" w:space="0" w:color="auto"/>
        <w:bottom w:val="none" w:sz="0" w:space="0" w:color="auto"/>
        <w:right w:val="none" w:sz="0" w:space="0" w:color="auto"/>
      </w:divBdr>
    </w:div>
    <w:div w:id="1157725364">
      <w:bodyDiv w:val="1"/>
      <w:marLeft w:val="0"/>
      <w:marRight w:val="0"/>
      <w:marTop w:val="0"/>
      <w:marBottom w:val="0"/>
      <w:divBdr>
        <w:top w:val="none" w:sz="0" w:space="0" w:color="auto"/>
        <w:left w:val="none" w:sz="0" w:space="0" w:color="auto"/>
        <w:bottom w:val="none" w:sz="0" w:space="0" w:color="auto"/>
        <w:right w:val="none" w:sz="0" w:space="0" w:color="auto"/>
      </w:divBdr>
    </w:div>
    <w:div w:id="1350059515">
      <w:bodyDiv w:val="1"/>
      <w:marLeft w:val="0"/>
      <w:marRight w:val="0"/>
      <w:marTop w:val="0"/>
      <w:marBottom w:val="0"/>
      <w:divBdr>
        <w:top w:val="none" w:sz="0" w:space="0" w:color="auto"/>
        <w:left w:val="none" w:sz="0" w:space="0" w:color="auto"/>
        <w:bottom w:val="none" w:sz="0" w:space="0" w:color="auto"/>
        <w:right w:val="none" w:sz="0" w:space="0" w:color="auto"/>
      </w:divBdr>
    </w:div>
    <w:div w:id="1352292557">
      <w:bodyDiv w:val="1"/>
      <w:marLeft w:val="0"/>
      <w:marRight w:val="0"/>
      <w:marTop w:val="0"/>
      <w:marBottom w:val="0"/>
      <w:divBdr>
        <w:top w:val="none" w:sz="0" w:space="0" w:color="auto"/>
        <w:left w:val="none" w:sz="0" w:space="0" w:color="auto"/>
        <w:bottom w:val="none" w:sz="0" w:space="0" w:color="auto"/>
        <w:right w:val="none" w:sz="0" w:space="0" w:color="auto"/>
      </w:divBdr>
    </w:div>
    <w:div w:id="1399867227">
      <w:bodyDiv w:val="1"/>
      <w:marLeft w:val="0"/>
      <w:marRight w:val="0"/>
      <w:marTop w:val="0"/>
      <w:marBottom w:val="0"/>
      <w:divBdr>
        <w:top w:val="none" w:sz="0" w:space="0" w:color="auto"/>
        <w:left w:val="none" w:sz="0" w:space="0" w:color="auto"/>
        <w:bottom w:val="none" w:sz="0" w:space="0" w:color="auto"/>
        <w:right w:val="none" w:sz="0" w:space="0" w:color="auto"/>
      </w:divBdr>
    </w:div>
    <w:div w:id="1435396447">
      <w:bodyDiv w:val="1"/>
      <w:marLeft w:val="0"/>
      <w:marRight w:val="0"/>
      <w:marTop w:val="0"/>
      <w:marBottom w:val="0"/>
      <w:divBdr>
        <w:top w:val="none" w:sz="0" w:space="0" w:color="auto"/>
        <w:left w:val="none" w:sz="0" w:space="0" w:color="auto"/>
        <w:bottom w:val="none" w:sz="0" w:space="0" w:color="auto"/>
        <w:right w:val="none" w:sz="0" w:space="0" w:color="auto"/>
      </w:divBdr>
    </w:div>
    <w:div w:id="1468160004">
      <w:bodyDiv w:val="1"/>
      <w:marLeft w:val="0"/>
      <w:marRight w:val="0"/>
      <w:marTop w:val="0"/>
      <w:marBottom w:val="0"/>
      <w:divBdr>
        <w:top w:val="none" w:sz="0" w:space="0" w:color="auto"/>
        <w:left w:val="none" w:sz="0" w:space="0" w:color="auto"/>
        <w:bottom w:val="none" w:sz="0" w:space="0" w:color="auto"/>
        <w:right w:val="none" w:sz="0" w:space="0" w:color="auto"/>
      </w:divBdr>
    </w:div>
    <w:div w:id="1598099893">
      <w:bodyDiv w:val="1"/>
      <w:marLeft w:val="0"/>
      <w:marRight w:val="0"/>
      <w:marTop w:val="0"/>
      <w:marBottom w:val="0"/>
      <w:divBdr>
        <w:top w:val="none" w:sz="0" w:space="0" w:color="auto"/>
        <w:left w:val="none" w:sz="0" w:space="0" w:color="auto"/>
        <w:bottom w:val="none" w:sz="0" w:space="0" w:color="auto"/>
        <w:right w:val="none" w:sz="0" w:space="0" w:color="auto"/>
      </w:divBdr>
    </w:div>
    <w:div w:id="1682007522">
      <w:bodyDiv w:val="1"/>
      <w:marLeft w:val="0"/>
      <w:marRight w:val="0"/>
      <w:marTop w:val="0"/>
      <w:marBottom w:val="0"/>
      <w:divBdr>
        <w:top w:val="none" w:sz="0" w:space="0" w:color="auto"/>
        <w:left w:val="none" w:sz="0" w:space="0" w:color="auto"/>
        <w:bottom w:val="none" w:sz="0" w:space="0" w:color="auto"/>
        <w:right w:val="none" w:sz="0" w:space="0" w:color="auto"/>
      </w:divBdr>
    </w:div>
    <w:div w:id="1909684947">
      <w:bodyDiv w:val="1"/>
      <w:marLeft w:val="0"/>
      <w:marRight w:val="0"/>
      <w:marTop w:val="0"/>
      <w:marBottom w:val="0"/>
      <w:divBdr>
        <w:top w:val="none" w:sz="0" w:space="0" w:color="auto"/>
        <w:left w:val="none" w:sz="0" w:space="0" w:color="auto"/>
        <w:bottom w:val="none" w:sz="0" w:space="0" w:color="auto"/>
        <w:right w:val="none" w:sz="0" w:space="0" w:color="auto"/>
      </w:divBdr>
    </w:div>
    <w:div w:id="1991708415">
      <w:bodyDiv w:val="1"/>
      <w:marLeft w:val="0"/>
      <w:marRight w:val="0"/>
      <w:marTop w:val="0"/>
      <w:marBottom w:val="0"/>
      <w:divBdr>
        <w:top w:val="none" w:sz="0" w:space="0" w:color="auto"/>
        <w:left w:val="none" w:sz="0" w:space="0" w:color="auto"/>
        <w:bottom w:val="none" w:sz="0" w:space="0" w:color="auto"/>
        <w:right w:val="none" w:sz="0" w:space="0" w:color="auto"/>
      </w:divBdr>
    </w:div>
    <w:div w:id="202467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Sup</b:Tag>
    <b:SourceType>InternetSite</b:SourceType>
    <b:Guid>{9B984F9A-517E-4CE2-9705-84F2343FFDBF}</b:Guid>
    <b:URL>file:///C:/Users/User/Downloads/tabla_indicadores_new.pdf</b:URL>
    <b:Author>
      <b:Author>
        <b:Corporate>Superintendencia de Compañias, Valores y Seguros</b:Corporate>
      </b:Author>
    </b:Author>
    <b:RefOrder>1</b:RefOrder>
  </b:Source>
  <b:Source>
    <b:Tag>Aré18</b:Tag>
    <b:SourceType>JournalArticle</b:SourceType>
    <b:Guid>{4D95BFA8-2A1B-49CF-A351-13B176557F5B}</b:Guid>
    <b:Title>El Sector Agrícola en Ecuador: Análisis de Correlación entre Utilidad, Participación de Mercado y Estructura de Capital</b:Title>
    <b:Year>2018</b:Year>
    <b:DOI>https://revistas.ute.edu.ec/index.php/economia-y-negocios/article/view/430/373</b:DOI>
    <b:JournalName>Revista Científica Economia y Negocios</b:JournalName>
    <b:Pages>1-15</b:Pages>
    <b:Volume>9</b:Volume>
    <b:Issue>1</b:Issue>
    <b:Author>
      <b:Author>
        <b:NameList>
          <b:Person>
            <b:Last>Arévalo Chávez</b:Last>
            <b:First>Patricio </b:First>
          </b:Person>
          <b:Person>
            <b:Last>Arévalo Chávez</b:Last>
            <b:First>Freddy </b:First>
          </b:Person>
          <b:Person>
            <b:Last>Guadalupe Lanas</b:Last>
            <b:First>Jorge</b:First>
          </b:Person>
          <b:Person>
            <b:Last>Palacio Fierro</b:Last>
            <b:First>Andrés </b:First>
          </b:Person>
        </b:NameList>
      </b:Author>
    </b:Author>
    <b:RefOrder>2</b:RefOrder>
  </b:Source>
  <b:Source>
    <b:Tag>Min21</b:Tag>
    <b:SourceType>InternetSite</b:SourceType>
    <b:Guid>{16F2EAEE-81C8-4F42-8E2F-63300895ED2E}</b:Guid>
    <b:Title>Ecuador promueve inversiones en sector agropecuario</b:Title>
    <b:Year>2021</b:Year>
    <b:Author>
      <b:Author>
        <b:Corporate>Ministerio de Agricultura y Ganadería</b:Corporate>
      </b:Author>
    </b:Author>
    <b:Month>Noviembre</b:Month>
    <b:Day>18</b:Day>
    <b:URL>https://www.agricultura.gob.ec/ecuador-promueve-inversiones-en-sector-agropecuario/</b:URL>
    <b:RefOrder>3</b:RefOrder>
  </b:Source>
  <b:Source>
    <b:Tag>Pin18</b:Tag>
    <b:SourceType>JournalArticle</b:SourceType>
    <b:Guid>{865F9860-7EEA-4FB3-B8D5-ED9BA85738F3}</b:Guid>
    <b:Title>Aporte del sector agropecuario a la economía del Ecuador. Análisis crítico de su evolución en el período de dolarización. Años 2000 – 2016</b:Title>
    <b:JournalName>Revista Espacios</b:JournalName>
    <b:Year>2018</b:Year>
    <b:Pages>7</b:Pages>
    <b:Volume>39</b:Volume>
    <b:Issue>32</b:Issue>
    <b:DOI>https://www.revistaespacios.com/a18v39n32/a18v39n32p07.pdf</b:DOI>
    <b:Author>
      <b:Author>
        <b:NameList>
          <b:Person>
            <b:Last> Pino Peralta</b:Last>
            <b:First>Sergio </b:First>
          </b:Person>
          <b:Person>
            <b:Last> Aguilar</b:Last>
            <b:First>Hermes </b:First>
          </b:Person>
          <b:Person>
            <b:Last>Apolo  Loayza </b:Last>
            <b:First>Azuero </b:First>
          </b:Person>
          <b:Person>
            <b:Last>Sisalema Morejó</b:Last>
            <b:First>Lila </b:First>
          </b:Person>
        </b:NameList>
      </b:Author>
    </b:Author>
    <b:RefOrder>4</b:RefOrder>
  </b:Source>
  <b:Source>
    <b:Tag>RIV02</b:Tag>
    <b:SourceType>JournalArticle</b:SourceType>
    <b:Guid>{967084C9-7384-495D-A0D9-0C27931CD9D7}</b:Guid>
    <b:Title>Teoría sobre la estructura de capital.</b:Title>
    <b:Year>2002</b:Year>
    <b:JournalName>Estudios gerenciales,</b:JournalName>
    <b:Pages>31-59</b:Pages>
    <b:Volume>18</b:Volume>
    <b:Issue>84</b:Issue>
    <b:DOI>chrome-extension://efaidnbmnnnibpcajpcglclefindmkaj/http://www.scielo.org.co/pdf/eg/v18n84/v18n84a02.pdf</b:DOI>
    <b:Author>
      <b:Author>
        <b:NameList>
          <b:Person>
            <b:Last>Rivera Godoy</b:Last>
            <b:Middle>Alberto</b:Middle>
            <b:First>Jorge</b:First>
          </b:Person>
        </b:NameList>
      </b:Author>
    </b:Author>
    <b:RefOrder>5</b:RefOrder>
  </b:Source>
  <b:Source>
    <b:Tag>Mon10</b:Tag>
    <b:SourceType>JournalArticle</b:SourceType>
    <b:Guid>{714F99E3-B0A0-4A3E-891A-9023B9596F2A}</b:Guid>
    <b:Title>Explorando Teorías de Estructura de capital en Latinoamérica</b:Title>
    <b:JournalName>Cuadernos de administración</b:JournalName>
    <b:Year>2010</b:Year>
    <b:Pages>163-184</b:Pages>
    <b:Volume>23</b:Volume>
    <b:Issue>41</b:Issue>
    <b:DOI>chrome-extension://efaidnbmnnnibpcajpcglclefindmkaj/http://www.scielo.org.co/pdf/cadm/v23n41/v23n41a08.pdf</b:DOI>
    <b:Author>
      <b:Author>
        <b:NameList>
          <b:Person>
            <b:Last>Mongrut</b:Last>
            <b:First>Samuel</b:First>
          </b:Person>
          <b:Person>
            <b:Last>Fuenzalida</b:Last>
            <b:First>Darcy </b:First>
          </b:Person>
          <b:Person>
            <b:Last>Pezo</b:Last>
            <b:First>Gonzalo</b:First>
          </b:Person>
          <b:Person>
            <b:Last>Teply</b:Last>
            <b:First>Zdenko</b:First>
          </b:Person>
        </b:NameList>
      </b:Author>
    </b:Author>
    <b:RefOrder>6</b:RefOrder>
  </b:Source>
  <b:Source>
    <b:Tag>Fer021</b:Tag>
    <b:SourceType>Book</b:SourceType>
    <b:Guid>{5473089F-29E7-49A6-B583-92A63A221779}</b:Guid>
    <b:Title>Estadistica Descriptiva</b:Title>
    <b:Year>2002</b:Year>
    <b:DOI>Esis Editorial</b:DOI>
    <b:Author>
      <b:Author>
        <b:NameList>
          <b:Person>
            <b:Last>Fernandez</b:Last>
            <b:First>Santiago</b:First>
          </b:Person>
          <b:Person>
            <b:Last>Cordova</b:Last>
            <b:First>Alejandro</b:First>
          </b:Person>
          <b:Person>
            <b:Last>Cordero Sanches</b:Last>
            <b:Middle>Maria</b:Middle>
            <b:First>Jose</b:First>
          </b:Person>
        </b:NameList>
      </b:Author>
    </b:Author>
    <b:RefOrder>7</b:RefOrder>
  </b:Source>
  <b:Source>
    <b:Tag>Lin12</b:Tag>
    <b:SourceType>Book</b:SourceType>
    <b:Guid>{9E486A72-04DE-4B4B-995C-71E63519D68A}</b:Guid>
    <b:Title>Estadística aplicada a los negocios y la economía</b:Title>
    <b:Year>2012</b:Year>
    <b:Publisher>McGRAW-HILL</b:Publisher>
    <b:Author>
      <b:Author>
        <b:NameList>
          <b:Person>
            <b:Last>Lind</b:Last>
            <b:First>Douglas</b:First>
          </b:Person>
          <b:Person>
            <b:Last>Marchal</b:Last>
            <b:First>Willian</b:First>
          </b:Person>
          <b:Person>
            <b:Last>Wathen</b:Last>
            <b:First>Samuel</b:First>
          </b:Person>
        </b:NameList>
      </b:Author>
    </b:Author>
    <b:RefOrder>8</b:RefOrder>
  </b:Source>
  <b:Source>
    <b:Tag>Cam06</b:Tag>
    <b:SourceType>DocumentFromInternetSite</b:SourceType>
    <b:Guid>{0F72E1B4-D3F4-41E4-9CF7-7E4F465F39FD}</b:Guid>
    <b:Title>Regreción Lineal Simple</b:Title>
    <b:Year>2006</b:Year>
    <b:URL> http://personal. us. es/vararey/adatos2/Regsimple. pdf</b:URL>
    <b:Author>
      <b:Author>
        <b:NameList>
          <b:Person>
            <b:Last>Camacho</b:Last>
            <b:First>Carlos</b:First>
          </b:Person>
        </b:NameList>
      </b:Author>
    </b:Author>
    <b:RefOrder>9</b:RefOrder>
  </b:Source>
  <b:Source>
    <b:Tag>Mad92</b:Tag>
    <b:SourceType>Book</b:SourceType>
    <b:Guid>{231CEFCB-24AE-44ED-976D-8B4184B1E8B3}</b:Guid>
    <b:Title>Introducción a la econometría</b:Title>
    <b:City>Nueva York</b:City>
    <b:Year>1992</b:Year>
    <b:Publisher>Macmillan</b:Publisher>
    <b:Author>
      <b:Author>
        <b:NameList>
          <b:Person>
            <b:Last>Maddala</b:Last>
            <b:First> Gangadharrao </b:First>
          </b:Person>
          <b:Person>
            <b:Last>Lahiri</b:Last>
            <b:First>Kajal</b:First>
          </b:Person>
        </b:NameList>
      </b:Author>
    </b:Author>
    <b:RefOrder>10</b:RefOrder>
  </b:Source>
  <b:Source>
    <b:Tag>May00</b:Tag>
    <b:SourceType>JournalArticle</b:SourceType>
    <b:Guid>{13A54429-7EA0-45CB-8591-B75BB7C60065}</b:Guid>
    <b:Title>La técnica dato panel una guía para uso e interpretación</b:Title>
    <b:Year>2000</b:Year>
    <b:DOI>https://d1wqtxts1xzle7.cloudfront.net/60221182/datos_panel20190806-71628-19josej-with-cover-page-v2.pdf?Expires=1653579537&amp;Signature=LOM7-chRcMmwcyFRCT0~nMTBothLV0gy-CzgBdkBtIJEOtbe92ifUSfW48WdbQm8BainEiMRX6TRKb7RrKMdbV~3Wrw3FjpAueu8M~ED6RfbY~pJ5Ba~vFyDBt</b:DOI>
    <b:JournalName>Banco Central de Costa Rica: Departamento de investigaciones económicas</b:JournalName>
    <b:Pages>1-4</b:Pages>
    <b:Author>
      <b:Author>
        <b:NameList>
          <b:Person>
            <b:Last>Mayorga</b:Last>
            <b:First>Mauricio</b:First>
          </b:Person>
          <b:Person>
            <b:Last>Muñoz</b:Last>
            <b:First>Evelyn</b:First>
          </b:Person>
        </b:NameList>
      </b:Author>
    </b:Author>
    <b:RefOrder>11</b:RefOrder>
  </b:Source>
  <b:Source>
    <b:Tag>Are90</b:Tag>
    <b:SourceType>JournalArticle</b:SourceType>
    <b:Guid>{CAC6A90C-F49C-4E46-B0F4-9D04902DB742}</b:Guid>
    <b:Title>La econometría de datos panel</b:Title>
    <b:JournalName>Investigaciones económicas</b:JournalName>
    <b:Year>1990</b:Year>
    <b:Pages>3-45</b:Pages>
    <b:Volume>14</b:Volume>
    <b:Issue>1</b:Issue>
    <b:DOI>https://www.fundacionsepi.es/investigacion/revistas/paperArchive/Ene1990/v14i1a1.pdf</b:DOI>
    <b:Author>
      <b:Author>
        <b:NameList>
          <b:Person>
            <b:Last>Arellano</b:Last>
            <b:First>Manuel</b:First>
          </b:Person>
          <b:Person>
            <b:Last>Olympia</b:Last>
            <b:First>Bover</b:First>
          </b:Person>
        </b:NameList>
      </b:Author>
    </b:Author>
    <b:RefOrder>12</b:RefOrder>
  </b:Source>
  <b:Source>
    <b:Tag>Mil63</b:Tag>
    <b:SourceType>Book</b:SourceType>
    <b:Guid>{E0AD9328-191B-4DDA-A033-3A64BD7373F2}</b:Guid>
    <b:Author>
      <b:Author>
        <b:NameList>
          <b:Person>
            <b:Last>Miler</b:Last>
            <b:First>Modigliani</b:First>
            <b:Middle>y</b:Middle>
          </b:Person>
        </b:NameList>
      </b:Author>
    </b:Author>
    <b:Title>The American Economic Review</b:Title>
    <b:Year>1963</b:Year>
    <b:URL>http://www.scielo.org.mx/scielo.php?script=sci_arttext&amp;pid=S0186-10422019000300014#B23</b:URL>
    <b:RefOrder>13</b:RefOrder>
  </b:Source>
  <b:Source>
    <b:Tag>Mod63</b:Tag>
    <b:SourceType>Book</b:SourceType>
    <b:Guid>{BD6935D6-9E5E-48BC-91DC-67EAA398821B}</b:Guid>
    <b:Author>
      <b:Author>
        <b:NameList>
          <b:Person>
            <b:Last>Modigliani</b:Last>
            <b:First>F.,</b:First>
            <b:Middle>&amp; Miller, M.</b:Middle>
          </b:Person>
        </b:NameList>
      </b:Author>
    </b:Author>
    <b:Title>The American Economic Review</b:Title>
    <b:Year>1963</b:Year>
    <b:Pages> 433-443</b:Pages>
    <b:URL>http://www.scielo.org.mx/scielo.php?script=sci_arttext&amp;pid=S0186-10422019000300014#B23</b:URL>
    <b:RefOrder>14</b:RefOrder>
  </b:Source>
  <b:Source>
    <b:Tag>Mau00</b:Tag>
    <b:SourceType>Book</b:SourceType>
    <b:Guid>{870F27AB-9FDE-4D97-98FA-162D8265F849}</b:Guid>
    <b:Author>
      <b:Author>
        <b:NameList>
          <b:Person>
            <b:Last>Mauricio Mayorga M</b:Last>
            <b:First>Evelyn</b:First>
            <b:Middle>Muñoz S</b:Middle>
          </b:Person>
        </b:NameList>
      </b:Author>
    </b:Author>
    <b:Title>La técnica dato panel una guía para uso e interpretación</b:Title>
    <b:Year>2000</b:Year>
    <b:City>Costa Rica</b:City>
    <b:URL>https://repositorioinvestigaciones.bccr.fi.cr/bitstream/handle/20.500.12506/208/200_Tecnica_datos_panel_una_guia_para_su_uso_e_interpretacion.pdf?sequence=1&amp;isAllowed=y</b:URL>
    <b:RefOrder>15</b:RefOrder>
  </b:Source>
</b:Sources>
</file>

<file path=customXml/itemProps1.xml><?xml version="1.0" encoding="utf-8"?>
<ds:datastoreItem xmlns:ds="http://schemas.openxmlformats.org/officeDocument/2006/customXml" ds:itemID="{65E4B0BB-B6CA-436A-AE04-B616B0A8C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Pages>
  <Words>2832</Words>
  <Characters>15577</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Armijos</dc:creator>
  <cp:keywords/>
  <dc:description/>
  <cp:lastModifiedBy>HEIDI MARITZA ARMIJOS ACOSTA</cp:lastModifiedBy>
  <cp:revision>3</cp:revision>
  <dcterms:created xsi:type="dcterms:W3CDTF">2022-05-28T22:41:00Z</dcterms:created>
  <dcterms:modified xsi:type="dcterms:W3CDTF">2022-05-30T02:32:00Z</dcterms:modified>
</cp:coreProperties>
</file>