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p>
    <w:p>
      <w:pPr>
        <w:pStyle w:val="Title"/>
      </w:pPr>
    </w:p>
    <w:p>
      <w:pPr>
        <w:pStyle w:val="Title"/>
      </w:pPr>
    </w:p>
    <w:p>
      <w:pPr>
        <w:pStyle w:val="Title"/>
      </w:pPr>
    </w:p>
    <w:p>
      <w:pPr>
        <w:pStyle w:val="Title"/>
      </w:pPr>
      <w:r>
        <w:rPr>
          <w:rFonts w:cs="Arial Unicode MS" w:eastAsia="Arial Unicode MS"/>
          <w:rtl w:val="0"/>
          <w:lang w:val="en-US"/>
        </w:rPr>
        <w:t>Context-Enriched Named Entity Recognition (NER) for Identifying Emerging Trends in Video Comments</w:t>
      </w:r>
    </w:p>
    <w:p>
      <w:pPr>
        <w:pStyle w:val="Attribution"/>
      </w:pPr>
    </w:p>
    <w:p>
      <w:pPr>
        <w:pStyle w:val="Attribution"/>
      </w:pPr>
    </w:p>
    <w:p>
      <w:pPr>
        <w:pStyle w:val="Attribution"/>
      </w:pPr>
    </w:p>
    <w:p>
      <w:pPr>
        <w:pStyle w:val="Attribution"/>
      </w:pPr>
    </w:p>
    <w:p>
      <w:pPr>
        <w:pStyle w:val="Attribution"/>
      </w:pPr>
      <w:r>
        <w:rPr>
          <w:rFonts w:cs="Arial Unicode MS" w:eastAsia="Arial Unicode MS"/>
          <w:rtl w:val="0"/>
          <w:lang w:val="en-US"/>
        </w:rPr>
        <w:t>Ziyad Amer &amp; Michelle D. Davies</w:t>
      </w:r>
    </w:p>
    <w:p>
      <w:pPr>
        <w:pStyle w:val="Attribution"/>
      </w:pPr>
      <w:r>
        <w:rPr>
          <w:rFonts w:cs="Arial Unicode MS" w:eastAsia="Arial Unicode MS"/>
          <w:rtl w:val="0"/>
          <w:lang w:val="en-US"/>
        </w:rPr>
        <w:t>University of California, Berkeley</w:t>
      </w:r>
    </w:p>
    <w:p>
      <w:pPr>
        <w:pStyle w:val="Attribution"/>
      </w:pPr>
      <w:r>
        <w:rPr>
          <w:lang w:val="en-US"/>
        </w:rPr>
        <w:fldChar w:fldCharType="begin" w:fldLock="0"/>
      </w:r>
      <w:r>
        <w:rPr>
          <w:lang w:val="en-US"/>
        </w:rPr>
        <w:instrText xml:space="preserve"> DATE \@ "MMMM d, y" </w:instrText>
      </w:r>
      <w:r>
        <w:rPr>
          <w:lang w:val="en-US"/>
        </w:rPr>
        <w:fldChar w:fldCharType="separate" w:fldLock="0"/>
      </w:r>
      <w:r>
        <w:rPr>
          <w:rFonts w:cs="Arial Unicode MS" w:eastAsia="Arial Unicode MS"/>
          <w:rtl w:val="0"/>
          <w:lang w:val="en-US"/>
        </w:rPr>
        <w:t>March 29, 2025</w:t>
      </w:r>
      <w:r>
        <w:rPr>
          <w:lang w:val="en-US"/>
        </w:rPr>
        <w:fldChar w:fldCharType="end" w:fldLock="0"/>
      </w:r>
    </w:p>
    <w:p>
      <w:pPr>
        <w:pStyle w:val="Attribution"/>
      </w:pPr>
    </w:p>
    <w:p>
      <w:pPr>
        <w:pStyle w:val="Attribution"/>
      </w:pPr>
      <w:r>
        <w:rPr>
          <w:rFonts w:ascii="Arial Unicode MS" w:cs="Arial Unicode MS" w:hAnsi="Arial Unicode MS" w:eastAsia="Arial Unicode MS"/>
          <w:b w:val="0"/>
          <w:bCs w:val="0"/>
          <w:i w:val="0"/>
          <w:iCs w:val="0"/>
        </w:rPr>
        <w:br w:type="page"/>
      </w:r>
    </w:p>
    <w:p>
      <w:pPr>
        <w:pStyle w:val="Heading"/>
      </w:pPr>
      <w:r>
        <w:rPr>
          <w:rtl w:val="0"/>
          <w:lang w:val="en-US"/>
        </w:rPr>
        <w:t>Abstract</w:t>
      </w:r>
    </w:p>
    <w:p>
      <w:pPr>
        <w:pStyle w:val="Body A"/>
      </w:pPr>
      <w:r>
        <w:rPr>
          <w:rtl w:val="0"/>
          <w:lang w:val="en-US"/>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lang w:val="en-US"/>
        </w:rPr>
        <w:t>—</w:t>
      </w:r>
      <w:r>
        <w:rPr>
          <w:rtl w:val="0"/>
          <w:lang w:val="de-DE"/>
        </w:rPr>
        <w:t>fine-tuning BERT-NER on informal text</w:t>
      </w:r>
      <w:r>
        <w:rPr>
          <w:rtl w:val="0"/>
          <w:lang w:val="en-US"/>
        </w:rPr>
        <w:t>—</w:t>
      </w:r>
      <w:r>
        <w:rPr>
          <w:rtl w:val="0"/>
          <w:lang w:val="en-US"/>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A"/>
      </w:pPr>
    </w:p>
    <w:p>
      <w:pPr>
        <w:pStyle w:val="Body 2"/>
      </w:pPr>
      <w:r>
        <w:rPr>
          <w:b w:val="1"/>
          <w:bCs w:val="1"/>
          <w:rtl w:val="0"/>
          <w:lang w:val="en-US"/>
        </w:rPr>
        <w:t>Keywords:</w:t>
      </w:r>
      <w:r>
        <w:rPr>
          <w:rtl w:val="0"/>
          <w:lang w:val="en-US"/>
        </w:rPr>
        <w:t xml:space="preserve"> </w:t>
      </w:r>
      <w:r>
        <w:rPr>
          <w:rtl w:val="0"/>
          <w:lang w:val="de-DE"/>
        </w:rPr>
        <w:t>Named Entity Recognition, NER,</w:t>
      </w:r>
      <w:r>
        <w:rPr>
          <w:rtl w:val="0"/>
          <w:lang w:val="en-US"/>
        </w:rPr>
        <w:t xml:space="preserve"> BERT, SBERT, BERT-Topic, Agglomerative Clustering, Natural Language Processing, Machine Learning, Video Comments</w:t>
      </w:r>
      <w:r>
        <w:rPr>
          <w:rFonts w:ascii="Arial Unicode MS" w:cs="Arial Unicode MS" w:hAnsi="Arial Unicode MS" w:eastAsia="Arial Unicode MS"/>
          <w:b w:val="0"/>
          <w:bCs w:val="0"/>
          <w:i w:val="0"/>
          <w:iCs w:val="0"/>
        </w:rPr>
        <w:br w:type="page"/>
      </w:r>
    </w:p>
    <w:p>
      <w:pPr>
        <w:pStyle w:val="Body A"/>
      </w:pPr>
      <w:r>
        <w:rPr>
          <w:rtl w:val="0"/>
          <w:lang w:val="en-US"/>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lang w:val="en-US"/>
        </w:rPr>
        <w:t>—</w:t>
      </w:r>
      <w:r>
        <w:rPr>
          <w:rtl w:val="0"/>
          <w:lang w:val="en-US"/>
        </w:rPr>
        <w:t>such as persons, locations, organizations, and domain-specific items</w:t>
      </w:r>
      <w:r>
        <w:rPr>
          <w:rtl w:val="0"/>
          <w:lang w:val="en-US"/>
        </w:rPr>
        <w:t>—</w:t>
      </w:r>
      <w:r>
        <w:rPr>
          <w:rtl w:val="0"/>
          <w:lang w:val="en-US"/>
        </w:rPr>
        <w:t>in text. Accurate NER is essential for applications ranging from information retrieval and sentiment analysis to trend detection and market analysis, thereby underpinning many advanced data analytics solutions.</w:t>
      </w:r>
    </w:p>
    <w:p>
      <w:pPr>
        <w:pStyle w:val="Body A"/>
      </w:pPr>
      <w:r>
        <w:rPr>
          <w:rtl w:val="0"/>
          <w:lang w:val="en-US"/>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A"/>
      </w:pPr>
      <w:r>
        <w:rPr>
          <w:rtl w:val="0"/>
          <w:lang w:val="en-US"/>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A"/>
      </w:pPr>
      <w:r>
        <w:rPr>
          <w:rtl w:val="0"/>
          <w:lang w:val="en-US"/>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A"/>
      </w:pPr>
      <w:r>
        <w:rPr>
          <w:rtl w:val="0"/>
          <w:lang w:val="en-US"/>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lang w:val="en-US"/>
        </w:rPr>
        <w:t>—</w:t>
      </w:r>
      <w:r>
        <w:rPr>
          <w:rtl w:val="0"/>
          <w:lang w:val="en-US"/>
        </w:rPr>
        <w:t>like emerging product names</w:t>
      </w:r>
      <w:r>
        <w:rPr>
          <w:rtl w:val="0"/>
          <w:lang w:val="en-US"/>
        </w:rPr>
        <w:t>—</w:t>
      </w:r>
      <w:r>
        <w:rPr>
          <w:rtl w:val="0"/>
          <w:lang w:val="en-US"/>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bidi w:val="0"/>
        <w:spacing w:after="100" w:line="360" w:lineRule="auto"/>
        <w:ind w:right="0"/>
        <w:jc w:val="left"/>
        <w:rPr>
          <w:rtl w:val="0"/>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bidi w:val="0"/>
        <w:spacing w:after="100" w:line="360" w:lineRule="auto"/>
        <w:ind w:right="0"/>
        <w:jc w:val="left"/>
        <w:rPr>
          <w:rtl w:val="0"/>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bidi w:val="0"/>
        <w:spacing w:after="100" w:line="360" w:lineRule="auto"/>
        <w:ind w:right="0"/>
        <w:jc w:val="left"/>
        <w:rPr>
          <w:rtl w:val="0"/>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bidi w:val="0"/>
        <w:spacing w:after="100" w:line="360" w:lineRule="auto"/>
        <w:ind w:right="0"/>
        <w:jc w:val="left"/>
        <w:rPr>
          <w:rtl w:val="0"/>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A"/>
      </w:pPr>
      <w:r>
        <w:rPr>
          <w:rtl w:val="0"/>
          <w:lang w:val="en-US"/>
        </w:rPr>
        <w:t>Through these objectives, the research seeks to bridge the gap between traditional NER systems and the demands of modern, context-rich textual environments, thereby advancing the field of domain-adaptive entity recognition.</w:t>
      </w:r>
    </w:p>
    <w:p>
      <w:pPr>
        <w:pStyle w:val="Body A"/>
      </w:pPr>
    </w:p>
    <w:p>
      <w:pPr>
        <w:pStyle w:val="Heading"/>
      </w:pPr>
      <w:r>
        <w:rPr>
          <w:rtl w:val="0"/>
          <w:lang w:val="en-US"/>
        </w:rPr>
        <w:t>Methodology</w:t>
      </w:r>
    </w:p>
    <w:p>
      <w:pPr>
        <w:pStyle w:val="Heading 2"/>
      </w:pPr>
      <w:r>
        <w:rPr>
          <w:rtl w:val="0"/>
          <w:lang w:val="en-US"/>
        </w:rPr>
        <w:t>Data Collection and Preprocessing</w:t>
      </w:r>
    </w:p>
    <w:p>
      <w:pPr>
        <w:pStyle w:val="Body A"/>
      </w:pPr>
      <w:r>
        <w:rPr>
          <w:rtl w:val="0"/>
          <w:lang w:val="en-US"/>
        </w:rPr>
        <w:t xml:space="preserve">We use the </w:t>
      </w:r>
      <w:r>
        <w:rPr>
          <w:rFonts w:ascii="Arial Unicode MS" w:hAnsi="Arial Unicode MS" w:hint="default"/>
          <w:rtl w:val="1"/>
          <w:lang w:val="ar-SA" w:bidi="ar-SA"/>
        </w:rPr>
        <w:t>“</w:t>
      </w:r>
      <w:r>
        <w:rPr>
          <w:rtl w:val="0"/>
          <w:lang w:val="en-US"/>
        </w:rPr>
        <w:t>Dataset of Video Comments of a Vision Video Classified by Their Relevance, Polarity, Intention, and Topic</w:t>
      </w:r>
      <w:r>
        <w:rPr>
          <w:rtl w:val="0"/>
          <w:lang w:val="en-US"/>
        </w:rPr>
        <w:t xml:space="preserve">” </w:t>
      </w:r>
      <w:r>
        <w:rPr>
          <w:rtl w:val="0"/>
          <w:lang w:val="en-US"/>
        </w:rPr>
        <w:t>from NIAID. This collection consists of user-generated comments on a vision-related video, along with meta-information on each comment</w:t>
      </w:r>
      <w:r>
        <w:rPr>
          <w:rFonts w:ascii="Arial Unicode MS" w:hAnsi="Arial Unicode MS" w:hint="default"/>
          <w:rtl w:val="0"/>
          <w:lang w:val="en-US"/>
        </w:rPr>
        <w:t>’</w:t>
      </w:r>
      <w:r>
        <w:rPr>
          <w:rtl w:val="0"/>
          <w:lang w:val="en-US"/>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4"/>
        </w:numPr>
        <w:bidi w:val="0"/>
        <w:spacing w:line="360" w:lineRule="auto"/>
        <w:ind w:right="0"/>
        <w:jc w:val="left"/>
        <w:rPr>
          <w:rtl w:val="0"/>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4"/>
        </w:numPr>
        <w:bidi w:val="0"/>
        <w:spacing w:line="360" w:lineRule="auto"/>
        <w:ind w:right="0"/>
        <w:jc w:val="left"/>
        <w:rPr>
          <w:rtl w:val="0"/>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4"/>
        </w:numPr>
        <w:bidi w:val="0"/>
        <w:spacing w:line="360" w:lineRule="auto"/>
        <w:ind w:right="0"/>
        <w:jc w:val="left"/>
        <w:rPr>
          <w:rtl w:val="0"/>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4"/>
        </w:numPr>
        <w:bidi w:val="0"/>
        <w:spacing w:line="360" w:lineRule="auto"/>
        <w:ind w:right="0"/>
        <w:jc w:val="left"/>
        <w:rPr>
          <w:rtl w:val="0"/>
          <w:lang w:val="en-US"/>
        </w:rPr>
      </w:pPr>
      <w:r>
        <w:rPr>
          <w:i w:val="1"/>
          <w:iCs w:val="1"/>
          <w:rtl w:val="0"/>
          <w:lang w:val="en-US"/>
        </w:rPr>
        <w:t>Normalization*:</w:t>
      </w:r>
      <w:r>
        <w:rPr>
          <w:rtl w:val="0"/>
          <w:lang w:val="en-US"/>
        </w:rPr>
        <w:t xml:space="preserve"> For select outliers, we opted to convert text to lowercase and apply lemmatization or stemming to reduce vocabulary size.</w:t>
      </w:r>
    </w:p>
    <w:p>
      <w:pPr>
        <w:pStyle w:val="Body A"/>
      </w:pPr>
      <w:r>
        <w:rPr>
          <w:rtl w:val="0"/>
          <w:lang w:val="en-US"/>
        </w:rPr>
        <w:t xml:space="preserve">For more information on the specific data fields used and the relevant  transformations and precessing applied, please refer to </w:t>
      </w:r>
      <w:r>
        <w:rPr>
          <w:b w:val="1"/>
          <w:bCs w:val="1"/>
          <w:i w:val="1"/>
          <w:iCs w:val="1"/>
          <w:rtl w:val="0"/>
          <w:lang w:val="en-US"/>
        </w:rPr>
        <w:t>Figure A.1</w:t>
      </w:r>
      <w:r>
        <w:rPr>
          <w:rtl w:val="0"/>
          <w:lang w:val="en-US"/>
        </w:rPr>
        <w:t xml:space="preserve"> of our Appendix section.</w:t>
      </w:r>
    </w:p>
    <w:p>
      <w:pPr>
        <w:pStyle w:val="Heading 2"/>
      </w:pPr>
      <w:r>
        <w:rPr>
          <w:rtl w:val="0"/>
          <w:lang w:val="en-US"/>
        </w:rPr>
        <w:t>Model Architecture and Implementation</w:t>
      </w:r>
    </w:p>
    <w:p>
      <w:pPr>
        <w:pStyle w:val="Body A"/>
      </w:pPr>
      <w:r>
        <w:rPr>
          <w:rtl w:val="0"/>
          <w:lang w:val="en-US"/>
        </w:rPr>
        <w:t xml:space="preserve">For our NER pipeline, we first </w:t>
      </w:r>
      <w:r>
        <w:rPr>
          <w:rtl w:val="0"/>
          <w:lang w:val="de-DE"/>
        </w:rPr>
        <w:t>fine-tune a BERT-NER model with Hugging Face</w:t>
      </w:r>
      <w:r>
        <w:rPr>
          <w:rFonts w:ascii="Arial Unicode MS" w:hAnsi="Arial Unicode MS" w:hint="default"/>
          <w:rtl w:val="0"/>
          <w:lang w:val="en-US"/>
        </w:rPr>
        <w:t>’</w:t>
      </w:r>
      <w:r>
        <w:rPr>
          <w:rtl w:val="0"/>
          <w:lang w:val="en-US"/>
        </w:rPr>
        <w:t>s Transformers library to capture the nuances of user-generated text. To enhance entity recognition, we next integrate contextual embeddings using Sentence-BERT (SBERT), which leverages surrounding comment context for more accurate entity detection. For entity linking, we apply clustering techniques</w:t>
      </w:r>
      <w:r>
        <w:rPr>
          <w:rtl w:val="0"/>
          <w:lang w:val="en-US"/>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lang w:val="en-US"/>
        </w:rPr>
        <w:t>)</w:t>
      </w:r>
      <w:r>
        <w:rPr>
          <w:rtl w:val="0"/>
          <w:lang w:val="en-US"/>
        </w:rPr>
        <w:t>—</w:t>
      </w:r>
      <w:r>
        <w:rPr>
          <w:rtl w:val="0"/>
          <w:lang w:val="en-US"/>
        </w:rPr>
        <w:t>to group variant mentions of the same entity, addressing inconsistencies like different spellings or abbreviations. This step is crucial for normalizing noisy data and ensuring consistency in entity identification. Finally, we develop a trend detection module that tracks the frequency and evolution of entities over time, allowing us to identify emerging topics.</w:t>
      </w:r>
      <w:r>
        <w:rPr>
          <w:lang w:val="en-US"/>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-218286</wp:posOffset>
                </wp:positionH>
                <wp:positionV relativeFrom="line">
                  <wp:posOffset>253243</wp:posOffset>
                </wp:positionV>
                <wp:extent cx="6380173" cy="1666923"/>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3" cy="1666923"/>
                          <a:chOff x="0" y="0"/>
                          <a:chExt cx="6380172" cy="1666922"/>
                        </a:xfrm>
                      </wpg:grpSpPr>
                      <wps:wsp>
                        <wps:cNvPr id="1073741825" name="Rectangle"/>
                        <wps:cNvSpPr/>
                        <wps:spPr>
                          <a:xfrm>
                            <a:off x="218285" y="-1"/>
                            <a:ext cx="5943602" cy="1666924"/>
                          </a:xfrm>
                          <a:prstGeom prst="rect">
                            <a:avLst/>
                          </a:prstGeom>
                          <a:solidFill>
                            <a:srgbClr val="FFFFFF"/>
                          </a:solidFill>
                          <a:ln w="12700" cap="flat">
                            <a:noFill/>
                            <a:miter lim="400000"/>
                          </a:ln>
                          <a:effectLst/>
                        </wps:spPr>
                        <wps:bodyPr/>
                      </wps:wsp>
                      <wps:wsp>
                        <wps:cNvPr id="1073741826" name="Approved Document"/>
                        <wps:cNvSpPr/>
                        <wps:spPr>
                          <a:xfrm>
                            <a:off x="4200179" y="219038"/>
                            <a:ext cx="605846"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219038"/>
                            <a:ext cx="605845"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219038"/>
                            <a:ext cx="605844"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155415"/>
                            <a:ext cx="1042415"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 Model</w:t>
                              </w:r>
                            </w:p>
                          </w:txbxContent>
                        </wps:txbx>
                        <wps:bodyPr wrap="square" lIns="50800" tIns="50800" rIns="50800" bIns="50800" numCol="1" anchor="t">
                          <a:noAutofit/>
                        </wps:bodyPr>
                      </wps:wsp>
                      <wps:wsp>
                        <wps:cNvPr id="1073741833" name="Contextual Embeddings (SBERT)"/>
                        <wps:cNvSpPr txBox="1"/>
                        <wps:spPr>
                          <a:xfrm>
                            <a:off x="2500393" y="1155415"/>
                            <a:ext cx="137938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672277"/>
                            <a:ext cx="448934" cy="2"/>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672277"/>
                            <a:ext cx="448934" cy="2"/>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672277"/>
                            <a:ext cx="448934" cy="2"/>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672277"/>
                            <a:ext cx="313452" cy="2"/>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9.9pt;width:502.4pt;height:131.3pt;z-index:251660288;mso-position-horizontal:absolute;mso-position-horizontal-relative:margin;mso-position-vertical:absolute;mso-position-vertical-relative:line;mso-wrap-distance-left:12.0pt;mso-wrap-distance-top:12.0pt;mso-wrap-distance-right:12.0pt;mso-wrap-distance-bottom:12.0pt;" coordorigin="0,0" coordsize="6380173,1666922">
                <w10:wrap type="topAndBottom" side="bothSides" anchorx="margin"/>
                <v:rect id="_x0000_s1027" style="position:absolute;left:218285;top:0;width:5943601;height:1666922;">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219038;width:605845;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4;top:219038;width:605844;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79;top:219038;width:605843;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4;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5;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155416;width:1042414;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 Model</w:t>
                        </w:r>
                      </w:p>
                    </w:txbxContent>
                  </v:textbox>
                </v:shape>
                <v:shape id="_x0000_s1035" type="#_x0000_t202" style="position:absolute;left:2500393;top:1155416;width:137938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5;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7;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672277;width:313451;height:1;">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lang w:val="en-US"/>
        </w:rPr>
        <w:t xml:space="preserve"> </w:t>
      </w:r>
    </w:p>
    <w:p>
      <w:pPr>
        <w:pStyle w:val="Caption A"/>
      </w:pPr>
      <w:r>
        <w:rPr>
          <w:b w:val="1"/>
          <w:bCs w:val="1"/>
          <w:rtl w:val="0"/>
          <w:lang w:val="en-US"/>
        </w:rPr>
        <w:t>Figure 1:</w:t>
      </w:r>
      <w:r>
        <w:rPr>
          <w:rtl w:val="0"/>
          <w:lang w:val="en-US"/>
        </w:rPr>
        <w:t xml:space="preserve"> Diagram of the research model</w:t>
      </w:r>
      <w:r>
        <w:rPr>
          <w:rtl w:val="0"/>
          <w:lang w:val="en-US"/>
        </w:rPr>
        <w:t>’</w:t>
      </w:r>
      <w:r>
        <w:rPr>
          <w:rtl w:val="0"/>
          <w:lang w:val="en-US"/>
        </w:rPr>
        <w:t>s architecture.</w:t>
      </w:r>
    </w:p>
    <w:p>
      <w:pPr>
        <w:pStyle w:val="Body A"/>
      </w:pPr>
      <w:r>
        <w:rPr>
          <w:rtl w:val="0"/>
          <w:lang w:val="en-US"/>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187876</wp:posOffset>
                </wp:positionV>
                <wp:extent cx="5943602" cy="1657320"/>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2" cy="1657320"/>
                          <a:chOff x="-1" y="-1"/>
                          <a:chExt cx="5943601" cy="1657319"/>
                        </a:xfrm>
                      </wpg:grpSpPr>
                      <wps:wsp>
                        <wps:cNvPr id="1073741841" name="Rectangle"/>
                        <wps:cNvSpPr/>
                        <wps:spPr>
                          <a:xfrm>
                            <a:off x="-2" y="-2"/>
                            <a:ext cx="5943602" cy="1657321"/>
                          </a:xfrm>
                          <a:prstGeom prst="rect">
                            <a:avLst/>
                          </a:prstGeom>
                          <a:solidFill>
                            <a:srgbClr val="FFFFFF"/>
                          </a:solidFill>
                          <a:ln w="12700" cap="flat">
                            <a:noFill/>
                            <a:miter lim="400000"/>
                          </a:ln>
                          <a:effectLst/>
                        </wps:spPr>
                        <wps:bodyPr/>
                      </wps:wsp>
                      <wpg:grpSp>
                        <wpg:cNvPr id="1073741844" name="Group"/>
                        <wpg:cNvGrpSpPr/>
                        <wpg:grpSpPr>
                          <a:xfrm>
                            <a:off x="350518" y="313850"/>
                            <a:ext cx="1042417" cy="1258655"/>
                            <a:chOff x="0" y="0"/>
                            <a:chExt cx="1042416" cy="1258654"/>
                          </a:xfrm>
                        </wpg:grpSpPr>
                        <wps:wsp>
                          <wps:cNvPr id="1073741842" name="Document"/>
                          <wps:cNvSpPr/>
                          <wps:spPr>
                            <a:xfrm>
                              <a:off x="244912" y="0"/>
                              <a:ext cx="552592" cy="7155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300" cy="2"/>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0" y="452599"/>
                            <a:ext cx="1042418" cy="1119906"/>
                            <a:chOff x="0" y="-1"/>
                            <a:chExt cx="1042416" cy="1119905"/>
                          </a:xfrm>
                        </wpg:grpSpPr>
                        <wps:wsp>
                          <wps:cNvPr id="1073741846" name="Trapezoid"/>
                          <wps:cNvSpPr/>
                          <wps:spPr>
                            <a:xfrm>
                              <a:off x="39681" y="-2"/>
                              <a:ext cx="963054" cy="4093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5812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0" y="882216"/>
                            <a:ext cx="428299" cy="2"/>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7"/>
                            <a:ext cx="1825211" cy="1484982"/>
                            <a:chOff x="0" y="0"/>
                            <a:chExt cx="1825210" cy="1484980"/>
                          </a:xfrm>
                        </wpg:grpSpPr>
                        <wps:wsp>
                          <wps:cNvPr id="1073741850" name="Training and Testing the Model…"/>
                          <wps:cNvSpPr txBox="1"/>
                          <wps:spPr>
                            <a:xfrm>
                              <a:off x="530568" y="455223"/>
                              <a:ext cx="1294643" cy="574533"/>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1"/>
                              <a:ext cx="370094" cy="14849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72.0pt;margin-top:14.8pt;width:468.0pt;height:130.5pt;z-index:251659264;mso-position-horizontal:absolute;mso-position-horizontal-relative:page;mso-position-vertical:absolute;mso-position-vertical-relative:line;mso-wrap-distance-left:12.0pt;mso-wrap-distance-top:12.0pt;mso-wrap-distance-right:12.0pt;mso-wrap-distance-bottom:12.0pt;" coordorigin="-1,-1" coordsize="5943601,1657320">
                <w10:wrap type="topAndBottom" side="bothSides" anchorx="page"/>
                <v:rect id="_x0000_s1043" style="position:absolute;left:-1;top:-1;width:5943601;height:1657320;">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19;top:313850;width:1042416;height:1258654;" coordorigin="0,0" coordsize="1042416,1258654">
                  <v:shape id="_x0000_s1045" style="position:absolute;left:244912;top:0;width:552591;height:715596;"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3;top:882217;width:428299;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599;width:1042416;height:1119905;" coordorigin="0,-1" coordsize="1042416,1119905">
                  <v:shape id="_x0000_s1049" style="position:absolute;left:39681;top:-1;width:963054;height:409299;"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5812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1;top:78768;width:1825210;height:1484980;" coordorigin="0,0" coordsize="1825211,1484980">
                  <v:shape id="_x0000_s1053" type="#_x0000_t202" style="position:absolute;left:530569;top:455224;width:1294642;height:574532;">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80;"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A"/>
      </w:pPr>
      <w:r>
        <w:rPr>
          <w:b w:val="1"/>
          <w:bCs w:val="1"/>
          <w:rtl w:val="0"/>
          <w:lang w:val="en-US"/>
        </w:rPr>
        <w:t>Figure 2:</w:t>
      </w:r>
      <w:r>
        <w:rPr>
          <w:rtl w:val="0"/>
          <w:lang w:val="en-US"/>
        </w:rPr>
        <w:t xml:space="preserve"> Diagram of the research model</w:t>
      </w:r>
      <w:r>
        <w:rPr>
          <w:rtl w:val="0"/>
          <w:lang w:val="en-US"/>
        </w:rPr>
        <w:t>’</w:t>
      </w:r>
      <w:r>
        <w:rPr>
          <w:rtl w:val="0"/>
          <w:lang w:val="en-US"/>
        </w:rPr>
        <w:t>s pipeline for implementation.</w:t>
      </w:r>
    </w:p>
    <w:p>
      <w:pPr>
        <w:pStyle w:val="Heading 2"/>
      </w:pPr>
      <w:r>
        <w:rPr>
          <w:rtl w:val="0"/>
          <w:lang w:val="en-US"/>
        </w:rPr>
        <w:t>Experimental Setup</w:t>
      </w:r>
    </w:p>
    <w:p>
      <w:pPr>
        <w:pStyle w:val="Body A"/>
      </w:pPr>
      <w:r>
        <w:rPr>
          <w:rtl w:val="0"/>
          <w:lang w:val="en-US"/>
        </w:rPr>
        <w:t>We begin by preprocessing video comments and splitting the dataset into training (70%), validation (15%), and test (15%) sets. The baseline BERT-NER model is fine-tuned using Hugging Face</w:t>
      </w:r>
      <w:r>
        <w:rPr>
          <w:rFonts w:ascii="Arial Unicode MS" w:hAnsi="Arial Unicode MS" w:hint="default"/>
          <w:rtl w:val="0"/>
          <w:lang w:val="en-US"/>
        </w:rPr>
        <w:t>’</w:t>
      </w:r>
      <w:r>
        <w:rPr>
          <w:rtl w:val="0"/>
          <w:lang w:val="en-US"/>
        </w:rPr>
        <w:t>s Transformers with the Adam optimizer, an initial learning rate of 2</w:t>
      </w:r>
      <w:r>
        <w:rPr>
          <w:rtl w:val="0"/>
          <w:lang w:val="en-US"/>
        </w:rPr>
        <w:t>×</w:t>
      </w:r>
      <w:r>
        <w:rPr>
          <w:rtl w:val="0"/>
          <w:lang w:val="en-US"/>
        </w:rPr>
        <w:t>10</w:t>
      </w:r>
      <w:r>
        <w:rPr>
          <w:rFonts w:ascii="Arial Unicode MS" w:hAnsi="Arial Unicode MS" w:hint="default"/>
          <w:rtl w:val="0"/>
          <w:lang w:val="en-US"/>
        </w:rPr>
        <w:t>⁻⁵</w:t>
      </w:r>
      <w:r>
        <w:rPr>
          <w:rtl w:val="0"/>
          <w:lang w:val="en-US"/>
        </w:rPr>
        <w:t>, a batch size of 16, and 5</w:t>
      </w:r>
      <w:r>
        <w:rPr>
          <w:rtl w:val="0"/>
          <w:lang w:val="en-US"/>
        </w:rPr>
        <w:t>–</w:t>
      </w:r>
      <w:r>
        <w:rPr>
          <w:rtl w:val="0"/>
          <w:lang w:val="en-US"/>
        </w:rPr>
        <w:t>10 epochs, with early stopping based on validation loss.</w:t>
      </w:r>
    </w:p>
    <w:p>
      <w:pPr>
        <w:pStyle w:val="Body A"/>
      </w:pPr>
      <w:r>
        <w:rPr>
          <w:rtl w:val="0"/>
          <w:lang w:val="en-US"/>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A"/>
      </w:pPr>
      <w:r>
        <w:rPr>
          <w:rtl w:val="0"/>
          <w:lang w:val="en-US"/>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lang w:val="en-US"/>
        </w:rPr>
        <w:t>). Clustering performance is evaluated using the Adjusted Rand Index and silhouette score, with 5-fold cross-validation ensuring consistency.</w:t>
      </w:r>
    </w:p>
    <w:p>
      <w:pPr>
        <w:pStyle w:val="Body A"/>
      </w:pPr>
      <w:r>
        <w:rPr>
          <w:rtl w:val="0"/>
          <w:lang w:val="en-US"/>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pPr>
      <w:r>
        <w:rPr>
          <w:rtl w:val="0"/>
          <w:lang w:val="en-US"/>
        </w:rPr>
        <w:t>Results</w:t>
      </w:r>
    </w:p>
    <w:p>
      <w:pPr>
        <w:pStyle w:val="Heading 2"/>
      </w:pPr>
      <w:r>
        <w:rPr>
          <w:rtl w:val="0"/>
          <w:lang w:val="en-US"/>
        </w:rPr>
        <w:t>BERT-NER Baseline Model</w:t>
      </w:r>
    </w:p>
    <w:p>
      <w:pPr>
        <w:pStyle w:val="Body A"/>
      </w:pPr>
      <w:r>
        <w:rPr>
          <w:rtl w:val="0"/>
          <w:lang w:val="en-US"/>
        </w:rPr>
        <w:t>&lt;&gt;</w:t>
      </w:r>
    </w:p>
    <w:p>
      <w:pPr>
        <w:pStyle w:val="Heading 2"/>
      </w:pPr>
      <w:r>
        <w:rPr>
          <w:rtl w:val="0"/>
          <w:lang w:val="en-US"/>
        </w:rPr>
        <w:t>SBERT Model</w:t>
      </w:r>
    </w:p>
    <w:p>
      <w:pPr>
        <w:pStyle w:val="Body A"/>
      </w:pPr>
      <w:r>
        <w:rPr>
          <w:rtl w:val="0"/>
          <w:lang w:val="en-US"/>
        </w:rPr>
        <w:t>&lt;&gt;</w:t>
      </w:r>
    </w:p>
    <w:p>
      <w:pPr>
        <w:pStyle w:val="Heading 2"/>
      </w:pPr>
      <w:r>
        <w:rPr>
          <w:rtl w:val="0"/>
          <w:lang w:val="en-US"/>
        </w:rPr>
        <w:t>BERT-Topic / Agglomerative Clustering Model</w:t>
      </w:r>
    </w:p>
    <w:p>
      <w:pPr>
        <w:pStyle w:val="Body A"/>
      </w:pPr>
      <w:r>
        <w:rPr>
          <w:rtl w:val="0"/>
          <w:lang w:val="en-US"/>
        </w:rPr>
        <w:t>&lt;&gt;</w:t>
      </w:r>
    </w:p>
    <w:p>
      <w:pPr>
        <w:pStyle w:val="Heading 2"/>
      </w:pPr>
      <w:r>
        <w:rPr>
          <w:rtl w:val="0"/>
          <w:lang w:val="en-US"/>
        </w:rPr>
        <w:t>Trend Detection Module</w:t>
      </w:r>
    </w:p>
    <w:p>
      <w:pPr>
        <w:pStyle w:val="Body A"/>
      </w:pPr>
      <w:r>
        <w:rPr>
          <w:rtl w:val="0"/>
          <w:lang w:val="en-US"/>
        </w:rPr>
        <w:t>&lt;&gt;</w:t>
      </w:r>
    </w:p>
    <w:p>
      <w:pPr>
        <w:pStyle w:val="Heading"/>
      </w:pPr>
      <w:r>
        <w:rPr>
          <w:rtl w:val="0"/>
          <w:lang w:val="en-US"/>
        </w:rPr>
        <w:t>Evaluation</w:t>
      </w:r>
    </w:p>
    <w:p>
      <w:pPr>
        <w:pStyle w:val="Body A"/>
      </w:pPr>
      <w:r>
        <w:rPr>
          <w:rtl w:val="0"/>
          <w:lang w:val="en-US"/>
        </w:rPr>
        <w:t>&lt;&gt;</w:t>
      </w:r>
    </w:p>
    <w:p>
      <w:pPr>
        <w:pStyle w:val="Heading"/>
      </w:pPr>
      <w:r>
        <w:rPr>
          <w:rtl w:val="0"/>
          <w:lang w:val="en-US"/>
        </w:rPr>
        <w:t>Discussion</w:t>
      </w:r>
    </w:p>
    <w:p>
      <w:pPr>
        <w:pStyle w:val="Body A"/>
      </w:pPr>
      <w:r>
        <w:rPr>
          <w:rtl w:val="0"/>
          <w:lang w:val="en-US"/>
        </w:rPr>
        <w:t>&lt;&gt;</w:t>
      </w:r>
    </w:p>
    <w:p>
      <w:pPr>
        <w:pStyle w:val="Heading"/>
      </w:pPr>
      <w:r>
        <w:rPr>
          <w:rtl w:val="0"/>
          <w:lang w:val="en-US"/>
        </w:rPr>
        <w:t>Conclusion and Future Work</w:t>
      </w:r>
    </w:p>
    <w:p>
      <w:pPr>
        <w:pStyle w:val="Body A"/>
      </w:pPr>
      <w:r>
        <w:rPr>
          <w:rtl w:val="0"/>
          <w:lang w:val="en-US"/>
        </w:rPr>
        <w:t>This project has demonstrated the potential of advanced Named Entity Recognition (NER) techniques applied to real-world datasets. Through our systematic exploration, we successfully developed a pipeline that integrates preprocessing, feature extraction, and model training to accurately identify and classify entities. Our results indicate that even with limited data, leveraging domain-specific features and modern machine learning algorithms can lead to competitive performance in NER tasks. The research highlights the effectiveness of our approach in handling diverse text sources, thereby setting a foundation for robust entity extraction across various domains.</w:t>
      </w:r>
    </w:p>
    <w:p>
      <w:pPr>
        <w:pStyle w:val="Body A"/>
      </w:pPr>
      <w:r>
        <w:rPr>
          <w:rtl w:val="0"/>
          <w:lang w:val="en-US"/>
        </w:rPr>
        <w:t>The broader implications of this work are significant. By refining NER systems, we contribute to a deeper understanding of how unstructured text can be transformed into actionable insights, supporting applications in information retrieval, sentiment analysis, and data mining. Such improvements in text processing are crucial for industries ranging from healthcare to finance, where accurate information extraction can drive better decision-making and enhance operational efficiencies.</w:t>
      </w:r>
    </w:p>
    <w:p>
      <w:pPr>
        <w:pStyle w:val="Body A"/>
        <w:sectPr>
          <w:headerReference w:type="default" r:id="rId4"/>
          <w:footerReference w:type="default" r:id="rId5"/>
          <w:pgSz w:w="12240" w:h="15840" w:orient="portrait"/>
          <w:pgMar w:top="1440" w:right="1440" w:bottom="1440" w:left="1440" w:header="720" w:footer="720"/>
          <w:bidi w:val="0"/>
        </w:sectPr>
      </w:pPr>
      <w:r>
        <w:rPr>
          <w:rtl w:val="0"/>
          <w:lang w:val="en-US"/>
        </w:rPr>
        <w:t>Future work should focus on several key areas. Enhancements could include the integration of deep learning models, such as transformer-based architectures, to further boost accuracy and adaptability. Additionally, expanding the dataset to include multilingual and multi-domain sources would test the scalability of our methods. Addressing challenges like context ambiguity and entity disambiguation remains a priority, and incorporating semi-supervised or transfer learning techniques may offer promising solutions. Finally, real-time NER system implementation and evaluation in dynamic environments will be critical for understanding practical deployment challenges and ensuring the robustness of the proposed methods.</w:t>
      </w:r>
    </w:p>
    <w:p>
      <w:pPr>
        <w:pStyle w:val="Heading"/>
        <w:spacing w:after="200"/>
      </w:pPr>
      <w:r>
        <w:rPr>
          <w:rtl w:val="0"/>
          <w:lang w:val="en-US"/>
        </w:rPr>
        <w:t xml:space="preserve">Bibliography </w:t>
      </w:r>
    </w:p>
    <w:p>
      <w:pPr>
        <w:pStyle w:val="Body 2"/>
        <w:numPr>
          <w:ilvl w:val="0"/>
          <w:numId w:val="5"/>
        </w:numPr>
        <w:rPr>
          <w:lang w:val="en-US"/>
        </w:rPr>
      </w:pPr>
      <w:r>
        <w:rPr>
          <w:rtl w:val="0"/>
          <w:lang w:val="en-US"/>
        </w:rPr>
        <w:t>Devlin, Jacob, et al. "BERT: Pre-training of Deep Bidirectional Transformers for Language Understanding." arXiv, 11 Oct. 2018,</w:t>
      </w:r>
      <w:r>
        <w:rPr>
          <w:rtl w:val="0"/>
          <w:lang w:val="en-US"/>
        </w:rPr>
        <w:t> </w:t>
      </w:r>
      <w:r>
        <w:rPr>
          <w:rStyle w:val="Hyperlink.0"/>
          <w:u w:val="single"/>
          <w:lang w:val="de-DE"/>
        </w:rPr>
        <w:fldChar w:fldCharType="begin" w:fldLock="0"/>
      </w:r>
      <w:r>
        <w:rPr>
          <w:rStyle w:val="Hyperlink.0"/>
          <w:u w:val="single"/>
          <w:lang w:val="de-DE"/>
        </w:rPr>
        <w:instrText xml:space="preserve"> HYPERLINK "https://arxiv.org/abs/1810.04805"</w:instrText>
      </w:r>
      <w:r>
        <w:rPr>
          <w:rStyle w:val="Hyperlink.0"/>
          <w:u w:val="single"/>
          <w:lang w:val="de-DE"/>
        </w:rPr>
        <w:fldChar w:fldCharType="separate" w:fldLock="0"/>
      </w:r>
      <w:r>
        <w:rPr>
          <w:rStyle w:val="Hyperlink.0"/>
          <w:u w:val="single"/>
          <w:rtl w:val="0"/>
          <w:lang w:val="de-DE"/>
        </w:rPr>
        <w:t>https://arxiv.org/abs/1810.04805</w:t>
      </w:r>
      <w:r>
        <w:rPr/>
        <w:fldChar w:fldCharType="end" w:fldLock="0"/>
      </w:r>
      <w:r>
        <w:rPr>
          <w:rStyle w:val="None"/>
          <w:rtl w:val="0"/>
          <w:lang w:val="en-US"/>
        </w:rPr>
        <w:t>.</w:t>
      </w:r>
    </w:p>
    <w:p>
      <w:pPr>
        <w:pStyle w:val="Body 2"/>
        <w:numPr>
          <w:ilvl w:val="0"/>
          <w:numId w:val="5"/>
        </w:numPr>
        <w:rPr>
          <w:lang w:val="de-DE"/>
        </w:rPr>
      </w:pPr>
      <w:r>
        <w:rPr>
          <w:rStyle w:val="None"/>
          <w:rtl w:val="0"/>
          <w:lang w:val="de-DE"/>
        </w:rPr>
        <w:t>Reimers, Nils, and Iryna Gurevych. "Sentence-BERT: Sentence Embeddings Using Siamese BERT-Networks." arXiv, 27 Aug. 2019,</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"https://arxiv.org/abs/1908.10084"</w:instrText>
      </w:r>
      <w:r>
        <w:rPr>
          <w:rStyle w:val="Hyperlink.0"/>
          <w:u w:val="single"/>
          <w:lang w:val="de-DE"/>
        </w:rPr>
        <w:fldChar w:fldCharType="separate" w:fldLock="0"/>
      </w:r>
      <w:r>
        <w:rPr>
          <w:rStyle w:val="Hyperlink.0"/>
          <w:u w:val="single"/>
          <w:rtl w:val="0"/>
          <w:lang w:val="de-DE"/>
        </w:rPr>
        <w:t>https://arxiv.org/abs/1908.10084</w:t>
      </w:r>
      <w:r>
        <w:rPr/>
        <w:fldChar w:fldCharType="end" w:fldLock="0"/>
      </w:r>
      <w:r>
        <w:rPr>
          <w:rStyle w:val="None"/>
          <w:rtl w:val="0"/>
          <w:lang w:val="en-US"/>
        </w:rPr>
        <w:t>.</w:t>
      </w:r>
    </w:p>
    <w:p>
      <w:pPr>
        <w:pStyle w:val="Body 2"/>
        <w:numPr>
          <w:ilvl w:val="0"/>
          <w:numId w:val="5"/>
        </w:numPr>
        <w:rPr>
          <w:lang w:val="en-US"/>
        </w:rPr>
      </w:pPr>
      <w:r>
        <w:rPr>
          <w:rStyle w:val="None"/>
          <w:rtl w:val="0"/>
          <w:lang w:val="en-US"/>
        </w:rPr>
        <w:t>von Luxburg, Ulrike. "A Tutorial on Spectral Clustering." Statistics and Computing, vol. 17, no. 4, 2007, pp. 395</w:t>
      </w:r>
      <w:r>
        <w:rPr>
          <w:rStyle w:val="None"/>
          <w:rtl w:val="0"/>
          <w:lang w:val="en-US"/>
        </w:rPr>
        <w:t>–</w:t>
      </w:r>
      <w:r>
        <w:rPr>
          <w:rStyle w:val="None"/>
          <w:rtl w:val="0"/>
          <w:lang w:val="en-US"/>
        </w:rPr>
        <w:t>416. arXiv,</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"https://arxiv.org/abs/0711.0189"</w:instrText>
      </w:r>
      <w:r>
        <w:rPr>
          <w:rStyle w:val="Hyperlink.0"/>
          <w:u w:val="single"/>
          <w:lang w:val="de-DE"/>
        </w:rPr>
        <w:fldChar w:fldCharType="separate" w:fldLock="0"/>
      </w:r>
      <w:r>
        <w:rPr>
          <w:rStyle w:val="Hyperlink.0"/>
          <w:u w:val="single"/>
          <w:rtl w:val="0"/>
          <w:lang w:val="de-DE"/>
        </w:rPr>
        <w:t>https://arxiv.org/abs/0711.0189</w:t>
      </w:r>
      <w:r>
        <w:rPr/>
        <w:fldChar w:fldCharType="end" w:fldLock="0"/>
      </w:r>
      <w:r>
        <w:rPr>
          <w:rStyle w:val="None"/>
          <w:rtl w:val="0"/>
          <w:lang w:val="en-US"/>
        </w:rPr>
        <w:t>.</w:t>
      </w:r>
    </w:p>
    <w:p>
      <w:pPr>
        <w:pStyle w:val="Body 2"/>
        <w:numPr>
          <w:ilvl w:val="0"/>
          <w:numId w:val="5"/>
        </w:numPr>
        <w:rPr>
          <w:lang w:val="en-US"/>
        </w:rPr>
      </w:pPr>
      <w:r>
        <w:rPr>
          <w:rStyle w:val="None"/>
          <w:rtl w:val="0"/>
          <w:lang w:val="en-US"/>
        </w:rPr>
        <w:t>Zhang, Jing, et al. "Research on News Keyword Extraction Technology Based on TF-IDF and TextRank." Proceedings of the 2019 IEEE 9th International Conference on Electronics Information and Emergency Communication (ICEIEC), 12</w:t>
      </w:r>
      <w:r>
        <w:rPr>
          <w:rStyle w:val="None"/>
          <w:rtl w:val="0"/>
          <w:lang w:val="en-US"/>
        </w:rPr>
        <w:t>–</w:t>
      </w:r>
      <w:r>
        <w:rPr>
          <w:rStyle w:val="None"/>
          <w:rtl w:val="0"/>
          <w:lang w:val="en-US"/>
        </w:rPr>
        <w:t>14 July 2019, pp. 1</w:t>
      </w:r>
      <w:r>
        <w:rPr>
          <w:rStyle w:val="None"/>
          <w:rtl w:val="0"/>
          <w:lang w:val="en-US"/>
        </w:rPr>
        <w:t>–</w:t>
      </w:r>
      <w:r>
        <w:rPr>
          <w:rStyle w:val="None"/>
          <w:rtl w:val="0"/>
          <w:lang w:val="it-IT"/>
        </w:rPr>
        <w:t>4. IEEE Xplore,</w:t>
      </w:r>
      <w:r>
        <w:rPr>
          <w:rStyle w:val="None"/>
          <w:rtl w:val="0"/>
          <w:lang w:val="en-US"/>
        </w:rPr>
        <w:t> </w:t>
      </w:r>
      <w:r>
        <w:rPr>
          <w:rStyle w:val="Hyperlink.1"/>
          <w:u w:val="single"/>
          <w:lang w:val="en-US"/>
        </w:rPr>
        <w:fldChar w:fldCharType="begin" w:fldLock="0"/>
      </w:r>
      <w:r>
        <w:rPr>
          <w:rStyle w:val="Hyperlink.1"/>
          <w:u w:val="single"/>
          <w:lang w:val="en-US"/>
        </w:rPr>
        <w:instrText xml:space="preserve"> HYPERLINK "https://ieeexplore.ieee.org/document/8940293"</w:instrText>
      </w:r>
      <w:r>
        <w:rPr>
          <w:rStyle w:val="Hyperlink.1"/>
          <w:u w:val="single"/>
          <w:lang w:val="en-US"/>
        </w:rPr>
        <w:fldChar w:fldCharType="separate" w:fldLock="0"/>
      </w:r>
      <w:r>
        <w:rPr>
          <w:rStyle w:val="Hyperlink.1"/>
          <w:u w:val="single"/>
          <w:rtl w:val="0"/>
          <w:lang w:val="en-US"/>
        </w:rPr>
        <w:t>https://ieeexplore.ieee.org/document/8940293</w:t>
      </w:r>
      <w:r>
        <w:rPr/>
        <w:fldChar w:fldCharType="end" w:fldLock="0"/>
      </w:r>
      <w:r>
        <w:rPr>
          <w:rStyle w:val="None"/>
          <w:rtl w:val="0"/>
          <w:lang w:val="en-US"/>
        </w:rPr>
        <w:t>.</w:t>
      </w:r>
    </w:p>
    <w:p>
      <w:pPr>
        <w:pStyle w:val="Body 2"/>
      </w:pPr>
    </w:p>
    <w:p>
      <w:pPr>
        <w:pStyle w:val="Heading"/>
        <w:sectPr>
          <w:headerReference w:type="default" r:id="rId6"/>
          <w:pgSz w:w="12240" w:h="15840" w:orient="portrait"/>
          <w:pgMar w:top="1440" w:right="1440" w:bottom="1440" w:left="1440" w:header="720" w:footer="720"/>
          <w:bidi w:val="0"/>
        </w:sectPr>
      </w:pPr>
    </w:p>
    <w:p>
      <w:pPr>
        <w:pStyle w:val="Heading"/>
      </w:pPr>
      <w:r>
        <w:rPr>
          <w:rStyle w:val="None"/>
          <w:rtl w:val="0"/>
          <w:lang w:val="en-US"/>
        </w:rPr>
        <w:t>Appendix</w:t>
      </w:r>
    </w:p>
    <w:p>
      <w:pPr>
        <w:pStyle w:val="Body 2"/>
      </w:pPr>
      <w:r>
        <w:rPr>
          <w:rStyle w:val="None"/>
          <w:b w:val="1"/>
          <w:bCs w:val="1"/>
          <w:rtl w:val="0"/>
          <w:lang w:val="en-US"/>
        </w:rPr>
        <w:t>Github Repository:</w:t>
      </w:r>
      <w:r>
        <w:rPr>
          <w:rStyle w:val="None"/>
          <w:rtl w:val="0"/>
          <w:lang w:val="en-US"/>
        </w:rPr>
        <w:t xml:space="preserve"> </w:t>
      </w:r>
      <w:r>
        <w:rPr>
          <w:rStyle w:val="Hyperlink.2"/>
        </w:rPr>
        <w:fldChar w:fldCharType="begin" w:fldLock="0"/>
      </w:r>
      <w:r>
        <w:rPr>
          <w:rStyle w:val="Hyperlink.2"/>
        </w:rPr>
        <w:instrText xml:space="preserve"> HYPERLINK "https://github.com/michelleddavies/datasci266-NER-project/tree/main/code"</w:instrText>
      </w:r>
      <w:r>
        <w:rPr>
          <w:rStyle w:val="Hyperlink.2"/>
        </w:rPr>
        <w:fldChar w:fldCharType="separate" w:fldLock="0"/>
      </w:r>
      <w:r>
        <w:rPr>
          <w:rStyle w:val="Hyperlink.2"/>
          <w:rtl w:val="0"/>
        </w:rPr>
        <w:t>https://github.com/michelleddavies/datasci266-NER-project/tree/main/code</w:t>
      </w:r>
      <w:r>
        <w:rPr/>
        <w:fldChar w:fldCharType="end" w:fldLock="0"/>
      </w:r>
      <w:r>
        <w:rPr>
          <w:rStyle w:val="None"/>
          <w:rtl w:val="0"/>
          <w:lang w:val="en-US"/>
        </w:rPr>
        <w:t xml:space="preserve"> </w:t>
      </w: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4ed"/>
        <w:tblLayout w:type="fixed"/>
      </w:tblPr>
      <w:tblGrid>
        <w:gridCol w:w="3151"/>
        <w:gridCol w:w="1446"/>
        <w:gridCol w:w="4753"/>
      </w:tblGrid>
      <w:tr>
        <w:tblPrEx>
          <w:shd w:val="clear" w:color="auto" w:fill="3e74d1"/>
        </w:tblPrEx>
        <w:trPr>
          <w:trHeight w:val="304"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de-DE"/>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nl-NL"/>
              </w:rPr>
              <w:t>Data Type</w:t>
            </w:r>
          </w:p>
        </w:tc>
        <w:tc>
          <w:tcPr>
            <w:tcW w:type="dxa" w:w="4753"/>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en-US"/>
              </w:rPr>
              <w:t>Description (Original Field, Transformation(s))</w:t>
            </w:r>
          </w:p>
        </w:tc>
      </w:tr>
      <w:tr>
        <w:tblPrEx>
          <w:shd w:val="clear" w:color="auto" w:fill="ccd4ed"/>
        </w:tblPrEx>
        <w:trPr>
          <w:trHeight w:val="35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de-DE"/>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Datetime</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fr-FR"/>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nl-NL"/>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de-DE"/>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bl>
    <w:p>
      <w:pPr>
        <w:pStyle w:val="Body 2"/>
        <w:widowControl w:val="0"/>
        <w:spacing w:line="240" w:lineRule="auto"/>
        <w:ind w:left="108" w:hanging="108"/>
        <w:jc w:val="center"/>
      </w:pPr>
    </w:p>
    <w:p>
      <w:pPr>
        <w:pStyle w:val="Caption A"/>
      </w:pPr>
    </w:p>
    <w:p>
      <w:pPr>
        <w:pStyle w:val="Caption A"/>
      </w:pPr>
      <w:r>
        <w:rPr>
          <w:rStyle w:val="None"/>
          <w:b w:val="1"/>
          <w:bCs w:val="1"/>
          <w:rtl w:val="0"/>
          <w:lang w:val="en-US"/>
        </w:rPr>
        <w:t>Figure A.1:</w:t>
      </w:r>
      <w:r>
        <w:rPr>
          <w:rStyle w:val="None"/>
          <w:rtl w:val="0"/>
          <w:lang w:val="en-US"/>
        </w:rPr>
        <w:t xml:space="preserve"> Data dictionary for the "Dataset of Video Comments of a Vision Video Classified by Their Relevance, Polarity, Intention, and Topic" from NIAID.</w:t>
      </w:r>
    </w:p>
    <w:p>
      <w:pPr>
        <w:pStyle w:val="Body A"/>
      </w:pPr>
      <w:r>
        <w:rPr>
          <w:rStyle w:val="None"/>
          <w:rtl w:val="0"/>
          <w:lang w:val="en-US"/>
        </w:rPr>
        <w:t>We have a notebook for our exploratory analysis of the text data that serves as the basis for the Named Entity Recognition (NER) project. Its primary aim is to understand the characteristics and distribution of the dataset before building the NER model.</w:t>
      </w:r>
    </w:p>
    <w:p>
      <w:pPr>
        <w:pStyle w:val="Body A"/>
        <w:rPr>
          <w:rStyle w:val="None"/>
        </w:rPr>
      </w:pPr>
      <w:r>
        <w:rPr>
          <w:rStyle w:val="None"/>
          <w:rtl w:val="0"/>
          <w:lang w:val="en-US"/>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A"/>
        <w:rPr>
          <w:rStyle w:val="None"/>
        </w:rPr>
      </w:pPr>
      <w:r>
        <w:rPr>
          <w:rStyle w:val="None"/>
          <w:rtl w:val="0"/>
          <w:lang w:val="en-US"/>
        </w:rPr>
        <w:t>BERT-NER leverages BERT</w:t>
      </w:r>
      <w:r>
        <w:rPr>
          <w:rStyle w:val="None"/>
          <w:rtl w:val="0"/>
          <w:lang w:val="en-US"/>
        </w:rPr>
        <w:t>’</w:t>
      </w:r>
      <w:r>
        <w:rPr>
          <w:rStyle w:val="None"/>
          <w:rtl w:val="0"/>
          <w:lang w:val="en-US"/>
        </w:rPr>
        <w:t>s transformer architecture for Named Entity Recognition. By fine-tuning on annotated datasets, it classifies tokens into entities like names, locations, and organizations. BERT</w:t>
      </w:r>
      <w:r>
        <w:rPr>
          <w:rStyle w:val="None"/>
          <w:rtl w:val="0"/>
          <w:lang w:val="en-US"/>
        </w:rPr>
        <w:t>’</w:t>
      </w:r>
      <w:r>
        <w:rPr>
          <w:rStyle w:val="None"/>
          <w:rtl w:val="0"/>
          <w:lang w:val="en-US"/>
        </w:rPr>
        <w:t>s bidirectional context enables it to capture complex language nuances, making it effective even with intricate sentence structures.</w:t>
      </w:r>
    </w:p>
    <w:p>
      <w:pPr>
        <w:pStyle w:val="Body A"/>
        <w:rPr>
          <w:rStyle w:val="None"/>
        </w:rPr>
      </w:pPr>
      <w:r>
        <w:rPr>
          <w:rStyle w:val="None"/>
          <w:rtl w:val="0"/>
          <w:lang w:val="en-US"/>
        </w:rPr>
        <w:t>Sentence-BERT (SBERT) modifies the original BERT model to generate sentence embeddings that capture semantic meaning. It employs a Siamese or triplet network architecture to compare pairs or groups of sentences. Fine-tuned on semantic similarity tasks, SBERT produces dense, fixed-size vectors that facilitate efficient clustering, semantic search, and other downstream tasks while preserving the subtleties of the original text.</w:t>
      </w:r>
    </w:p>
    <w:p>
      <w:pPr>
        <w:pStyle w:val="Body A"/>
        <w:rPr>
          <w:rStyle w:val="None"/>
        </w:rPr>
      </w:pPr>
      <w:r>
        <w:rPr>
          <w:rStyle w:val="None"/>
          <w:rtl w:val="0"/>
          <w:lang w:val="en-US"/>
        </w:rPr>
        <w:t>BERT-Topic combines BERT embeddings with topic modeling techniques. Each document or sentence is transformed into a dense vector that encapsulates its contextual semantics. These embeddings are then grouped using Agglomerative Clustering</w:t>
      </w:r>
      <w:r>
        <w:rPr>
          <w:rStyle w:val="None"/>
          <w:rtl w:val="0"/>
          <w:lang w:val="en-US"/>
        </w:rPr>
        <w:t>—</w:t>
      </w:r>
      <w:r>
        <w:rPr>
          <w:rStyle w:val="None"/>
          <w:rtl w:val="0"/>
          <w:lang w:val="en-US"/>
        </w:rPr>
        <w:t>a hierarchical, bottom-up approach that starts with each vector as an individual cluster and iteratively merges the closest pairs. This method allows for flexible topic granularity and helps uncover latent thematic structures within large corpora.</w:t>
      </w:r>
    </w:p>
    <w:p>
      <w:pPr>
        <w:pStyle w:val="Body A"/>
        <w:rPr>
          <w:rStyle w:val="None"/>
        </w:rPr>
      </w:pPr>
      <w:r>
        <w:rPr>
          <w:rStyle w:val="None"/>
          <w:rtl w:val="0"/>
          <w:lang w:val="en-US"/>
        </w:rPr>
        <w:t>Together, these models showcase the power of transformer-based techniques in natural language processing. They enable precise entity extraction, efficient computation of semantic similarities, and insightful topic discovery, thereby transforming applications ranging from information extraction to semantic analysis.</w:t>
      </w:r>
    </w:p>
    <w:p>
      <w:pPr>
        <w:pStyle w:val="Body A"/>
      </w:pPr>
      <w:r>
        <w:rPr>
          <w:rStyle w:val="None"/>
          <w:rtl w:val="0"/>
          <w:lang w:val="en-US"/>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A"/>
      </w:pPr>
      <w:r>
        <w:rPr>
          <w:rStyle w:val="None"/>
          <w:rtl w:val="0"/>
          <w:lang w:val="en-US"/>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A"/>
        <w:rPr>
          <w:rStyle w:val="None"/>
        </w:rPr>
      </w:pPr>
      <w:r>
        <w:rPr>
          <w:rStyle w:val="None"/>
          <w:rtl w:val="0"/>
          <w:lang w:val="en-US"/>
        </w:rPr>
        <w:t>Overall, this EDA is crucial as it provides foundational insights that guide subsequent decisions in data pre-processing, feature engineering, and model selection for the NER task. By identifying patterns, anomalies, and trends early on, we are better equipped to tailor their approach to effectively capture the nuances of named entities in the text.</w:t>
      </w:r>
    </w:p>
    <w:p>
      <w:pPr>
        <w:pStyle w:val="Heading 2"/>
        <w:rPr>
          <w:rStyle w:val="None"/>
        </w:rPr>
      </w:pPr>
      <w:r>
        <w:rPr>
          <w:rStyle w:val="None"/>
          <w:rtl w:val="0"/>
          <w:lang w:val="en-US"/>
        </w:rPr>
        <w:t>EDA Visualizations</w:t>
      </w:r>
      <w:r>
        <w:rPr>
          <w:rStyle w:val="None"/>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242044</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4"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4" name="sentence-length-dist.png" descr="sentence-length-dist.png"/>
                    <pic:cNvPicPr>
                      <a:picLocks noChangeAspect="1"/>
                    </pic:cNvPicPr>
                  </pic:nvPicPr>
                  <pic:blipFill>
                    <a:blip r:embed="rId7">
                      <a:extLst/>
                    </a:blip>
                    <a:stretch>
                      <a:fillRect/>
                    </a:stretch>
                  </pic:blipFill>
                  <pic:spPr>
                    <a:xfrm>
                      <a:off x="0" y="0"/>
                      <a:ext cx="5943600" cy="3810897"/>
                    </a:xfrm>
                    <a:prstGeom prst="rect">
                      <a:avLst/>
                    </a:prstGeom>
                    <a:ln w="12700" cap="flat">
                      <a:noFill/>
                      <a:miter lim="400000"/>
                    </a:ln>
                    <a:effectLst/>
                  </pic:spPr>
                </pic:pic>
              </a:graphicData>
            </a:graphic>
          </wp:anchor>
        </w:drawing>
      </w:r>
    </w:p>
    <w:p>
      <w:pPr>
        <w:pStyle w:val="Body A"/>
      </w:pPr>
      <w:r>
        <w:rPr>
          <w:rStyle w:val="None"/>
          <w:rFonts w:ascii="Arial Unicode MS" w:cs="Arial Unicode MS" w:hAnsi="Arial Unicode MS" w:eastAsia="Arial Unicode MS"/>
          <w:b w:val="0"/>
          <w:bCs w:val="0"/>
          <w:i w:val="0"/>
          <w:iCs w:val="0"/>
        </w:rPr>
        <w:br w:type="page"/>
      </w:r>
    </w:p>
    <w:p>
      <w:pPr>
        <w:pStyle w:val="Heading 2"/>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4230514</wp:posOffset>
            </wp:positionV>
            <wp:extent cx="5943600" cy="3731870"/>
            <wp:effectExtent l="0" t="0" r="0" b="0"/>
            <wp:wrapThrough wrapText="bothSides" distL="152400" distR="152400">
              <wp:wrapPolygon edited="1">
                <wp:start x="0" y="0"/>
                <wp:lineTo x="21600" y="0"/>
                <wp:lineTo x="21600" y="21600"/>
                <wp:lineTo x="0" y="21600"/>
                <wp:lineTo x="0" y="0"/>
              </wp:wrapPolygon>
            </wp:wrapThrough>
            <wp:docPr id="1073741855"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5" name="entity-dist.png" descr="entity-dist.png"/>
                    <pic:cNvPicPr>
                      <a:picLocks noChangeAspect="1"/>
                    </pic:cNvPicPr>
                  </pic:nvPicPr>
                  <pic:blipFill>
                    <a:blip r:embed="rId8">
                      <a:extLst/>
                    </a:blip>
                    <a:stretch>
                      <a:fillRect/>
                    </a:stretch>
                  </pic:blipFill>
                  <pic:spPr>
                    <a:xfrm>
                      <a:off x="0" y="0"/>
                      <a:ext cx="5943600" cy="3731870"/>
                    </a:xfrm>
                    <a:prstGeom prst="rect">
                      <a:avLst/>
                    </a:prstGeom>
                    <a:ln w="12700" cap="flat">
                      <a:noFill/>
                      <a:miter lim="400000"/>
                    </a:ln>
                    <a:effectLst/>
                  </pic:spPr>
                </pic:pic>
              </a:graphicData>
            </a:graphic>
          </wp:anchor>
        </w:drawing>
      </w:r>
    </w:p>
    <w:p>
      <w:pPr>
        <w:pStyle w:val="Heading 2"/>
      </w:pPr>
    </w:p>
    <w:p>
      <w:pPr>
        <w:pStyle w:val="Heading 2"/>
      </w:pP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914400</wp:posOffset>
            </wp:positionV>
            <wp:extent cx="5943600" cy="3121024"/>
            <wp:effectExtent l="0" t="0" r="0" b="0"/>
            <wp:wrapThrough wrapText="bothSides" distL="152400" distR="152400">
              <wp:wrapPolygon edited="1">
                <wp:start x="0" y="0"/>
                <wp:lineTo x="21600" y="0"/>
                <wp:lineTo x="21600" y="21612"/>
                <wp:lineTo x="0" y="21612"/>
                <wp:lineTo x="0" y="0"/>
              </wp:wrapPolygon>
            </wp:wrapThrough>
            <wp:docPr id="1073741856"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6" name="Word Cloud of Entities.png" descr="Word Cloud of Entities.png"/>
                    <pic:cNvPicPr>
                      <a:picLocks noChangeAspect="1"/>
                    </pic:cNvPicPr>
                  </pic:nvPicPr>
                  <pic:blipFill>
                    <a:blip r:embed="rId9">
                      <a:extLst/>
                    </a:blip>
                    <a:stretch>
                      <a:fillRect/>
                    </a:stretch>
                  </pic:blipFill>
                  <pic:spPr>
                    <a:xfrm>
                      <a:off x="0" y="0"/>
                      <a:ext cx="5943600" cy="31210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page">
              <wp:posOffset>914399</wp:posOffset>
            </wp:positionH>
            <wp:positionV relativeFrom="page">
              <wp:posOffset>4035423</wp:posOffset>
            </wp:positionV>
            <wp:extent cx="5943600" cy="4824127"/>
            <wp:effectExtent l="0" t="0" r="0" b="0"/>
            <wp:wrapThrough wrapText="bothSides" distL="152400" distR="152400">
              <wp:wrapPolygon edited="1">
                <wp:start x="0" y="0"/>
                <wp:lineTo x="21600" y="0"/>
                <wp:lineTo x="21600" y="21600"/>
                <wp:lineTo x="0" y="21600"/>
                <wp:lineTo x="0" y="0"/>
              </wp:wrapPolygon>
            </wp:wrapThrough>
            <wp:docPr id="1073741857" name="officeArt object" descr="corr-matrix.png"/>
            <wp:cNvGraphicFramePr/>
            <a:graphic xmlns:a="http://schemas.openxmlformats.org/drawingml/2006/main">
              <a:graphicData uri="http://schemas.openxmlformats.org/drawingml/2006/picture">
                <pic:pic xmlns:pic="http://schemas.openxmlformats.org/drawingml/2006/picture">
                  <pic:nvPicPr>
                    <pic:cNvPr id="1073741857" name="corr-matrix.png" descr="corr-matrix.png"/>
                    <pic:cNvPicPr>
                      <a:picLocks noChangeAspect="1"/>
                    </pic:cNvPicPr>
                  </pic:nvPicPr>
                  <pic:blipFill>
                    <a:blip r:embed="rId10">
                      <a:extLst/>
                    </a:blip>
                    <a:stretch>
                      <a:fillRect/>
                    </a:stretch>
                  </pic:blipFill>
                  <pic:spPr>
                    <a:xfrm>
                      <a:off x="0" y="0"/>
                      <a:ext cx="5943600" cy="4824127"/>
                    </a:xfrm>
                    <a:prstGeom prst="rect">
                      <a:avLst/>
                    </a:prstGeom>
                    <a:ln w="12700" cap="flat">
                      <a:noFill/>
                      <a:miter lim="400000"/>
                    </a:ln>
                    <a:effectLst/>
                  </pic:spPr>
                </pic:pic>
              </a:graphicData>
            </a:graphic>
          </wp:anchor>
        </w:drawing>
      </w:r>
    </w:p>
    <w:p>
      <w:pPr>
        <w:pStyle w:val="Heading 2"/>
      </w:pPr>
      <w:r>
        <w:br w:type="textWrapping"/>
      </w:r>
      <w:r>
        <w:rPr>
          <w:rStyle w:val="None"/>
          <w:rFonts w:ascii="Arial Unicode MS" w:cs="Arial Unicode MS" w:hAnsi="Arial Unicode MS" w:eastAsia="Arial Unicode MS"/>
        </w:rPr>
        <w:br w:type="page"/>
      </w:r>
    </w:p>
    <w:p>
      <w:pPr>
        <w:pStyle w:val="Heading 2"/>
      </w:pPr>
      <w:r>
        <w:drawing xmlns:a="http://schemas.openxmlformats.org/drawingml/2006/main">
          <wp:anchor distT="152400" distB="152400" distL="152400" distR="152400" simplePos="0" relativeHeight="251661312" behindDoc="0" locked="0" layoutInCell="1" allowOverlap="1">
            <wp:simplePos x="0" y="0"/>
            <wp:positionH relativeFrom="page">
              <wp:posOffset>723662</wp:posOffset>
            </wp:positionH>
            <wp:positionV relativeFrom="page">
              <wp:posOffset>914399</wp:posOffset>
            </wp:positionV>
            <wp:extent cx="6325076" cy="5964633"/>
            <wp:effectExtent l="0" t="0" r="0" b="0"/>
            <wp:wrapThrough wrapText="bothSides" distL="152400" distR="152400">
              <wp:wrapPolygon edited="1">
                <wp:start x="0" y="0"/>
                <wp:lineTo x="21621" y="0"/>
                <wp:lineTo x="21621" y="21608"/>
                <wp:lineTo x="0" y="21608"/>
                <wp:lineTo x="0" y="0"/>
              </wp:wrapPolygon>
            </wp:wrapThrough>
            <wp:docPr id="1073741858"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8" name="pairplot-relevance.png" descr="pairplot-relevance.png"/>
                    <pic:cNvPicPr>
                      <a:picLocks noChangeAspect="1"/>
                    </pic:cNvPicPr>
                  </pic:nvPicPr>
                  <pic:blipFill>
                    <a:blip r:embed="rId11">
                      <a:extLst/>
                    </a:blip>
                    <a:stretch>
                      <a:fillRect/>
                    </a:stretch>
                  </pic:blipFill>
                  <pic:spPr>
                    <a:xfrm>
                      <a:off x="0" y="0"/>
                      <a:ext cx="6325076" cy="5964633"/>
                    </a:xfrm>
                    <a:prstGeom prst="rect">
                      <a:avLst/>
                    </a:prstGeom>
                    <a:ln w="12700" cap="flat">
                      <a:noFill/>
                      <a:miter lim="400000"/>
                    </a:ln>
                    <a:effectLst/>
                  </pic:spPr>
                </pic:pic>
              </a:graphicData>
            </a:graphic>
          </wp:anchor>
        </w:drawing>
      </w:r>
      <w:r>
        <w:br w:type="page"/>
      </w:r>
    </w:p>
    <w:p>
      <w:pPr>
        <w:pStyle w:val="Heading 2"/>
      </w:pP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869392</wp:posOffset>
            </wp:positionV>
            <wp:extent cx="5943602" cy="5535139"/>
            <wp:effectExtent l="0" t="0" r="0" b="0"/>
            <wp:wrapThrough wrapText="bothSides" distL="152400" distR="152400">
              <wp:wrapPolygon edited="1">
                <wp:start x="0" y="0"/>
                <wp:lineTo x="21600" y="0"/>
                <wp:lineTo x="21600" y="21608"/>
                <wp:lineTo x="0" y="21608"/>
                <wp:lineTo x="0" y="0"/>
              </wp:wrapPolygon>
            </wp:wrapThrough>
            <wp:docPr id="1073741859"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9" name="pairplot.png" descr="pairplot.png"/>
                    <pic:cNvPicPr>
                      <a:picLocks noChangeAspect="1"/>
                    </pic:cNvPicPr>
                  </pic:nvPicPr>
                  <pic:blipFill>
                    <a:blip r:embed="rId12">
                      <a:extLst/>
                    </a:blip>
                    <a:stretch>
                      <a:fillRect/>
                    </a:stretch>
                  </pic:blipFill>
                  <pic:spPr>
                    <a:xfrm>
                      <a:off x="0" y="0"/>
                      <a:ext cx="5943602" cy="5535139"/>
                    </a:xfrm>
                    <a:prstGeom prst="rect">
                      <a:avLst/>
                    </a:prstGeom>
                    <a:ln w="12700" cap="flat">
                      <a:noFill/>
                      <a:miter lim="400000"/>
                    </a:ln>
                    <a:effectLst/>
                  </pic:spPr>
                </pic:pic>
              </a:graphicData>
            </a:graphic>
          </wp:anchor>
        </w:drawing>
      </w:r>
    </w:p>
    <w:sectPr>
      <w:head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Canela Text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s>
    </w:pPr>
    <w:r>
      <w:rPr>
        <w:rtl w:val="0"/>
        <w:lang w:val="en-US"/>
      </w:rPr>
      <w:t>Amer, Davies - 2025</w:t>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5"/>
      <w:lvl w:ilvl="0">
        <w:start w:val="5"/>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color="000094"/>
      <w:shd w:val="nil" w:color="auto" w:fill="auto"/>
      <w:vertAlign w:val="baseline"/>
      <w14:textOutline w14:w="12700" w14:cap="flat">
        <w14:noFill/>
        <w14:miter w14:lim="400000"/>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color="000094"/>
      <w:shd w:val="nil" w:color="auto" w:fill="auto"/>
      <w:vertAlign w:val="baseline"/>
      <w:lang w:val="en-US"/>
      <w14:textOutline w14:w="12700" w14:cap="flat">
        <w14:noFill/>
        <w14:miter w14:lim="400000"/>
      </w14:textOutline>
      <w14:textFill>
        <w14:solidFill>
          <w14:srgbClr w14:val="000094"/>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3"/>
      </w:numPr>
    </w:pPr>
  </w:style>
  <w:style w:type="paragraph" w:styleId="Caption A">
    <w:name w:val="Caption A"/>
    <w:next w:val="Caption A"/>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u w:val="single"/>
      <w:lang w:val="de-DE"/>
    </w:rPr>
  </w:style>
  <w:style w:type="character" w:styleId="Hyperlink.1">
    <w:name w:val="Hyperlink.1"/>
    <w:basedOn w:val="None"/>
    <w:next w:val="Hyperlink.1"/>
    <w:rPr>
      <w:u w:val="single"/>
      <w:lang w:val="en-US"/>
    </w:rPr>
  </w:style>
  <w:style w:type="character" w:styleId="Hyperlink.2">
    <w:name w:val="Hyperlink.2"/>
    <w:basedOn w:val="None"/>
    <w:next w:val="Hyperlink.2"/>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Arial Unicode MS" w:hAnsi="Canela Text Regular"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3.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A7A7A7"/>
      </a:dk2>
      <a:lt2>
        <a:srgbClr val="535353"/>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Helvetica Neue"/>
        <a:ea typeface="Helvetica Neue"/>
        <a:cs typeface="Helvetica Neue"/>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ctr" defTabSz="457200" rtl="0" fontAlgn="auto" latinLnBrk="0" hangingPunct="0">
          <a:lnSpc>
            <a:spcPct val="110000"/>
          </a:lnSpc>
          <a:spcBef>
            <a:spcPts val="1000"/>
          </a:spcBef>
          <a:spcAft>
            <a:spcPts val="0"/>
          </a:spcAft>
          <a:buClrTx/>
          <a:buSzTx/>
          <a:buFontTx/>
          <a:buNone/>
          <a:tabLst/>
          <a:defRPr b="0" baseline="0" cap="none" i="1" spc="2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