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586AB" w14:textId="77777777" w:rsidR="00C34584" w:rsidRDefault="00C34584" w:rsidP="00C34584">
      <w:pPr>
        <w:pStyle w:val="Heading1"/>
        <w:spacing w:before="120"/>
      </w:pPr>
      <w:r>
        <w:t xml:space="preserve">Energy Rating Data Dictionary for </w:t>
      </w:r>
      <w:bookmarkStart w:id="0" w:name="_GoBack"/>
      <w:bookmarkEnd w:id="0"/>
      <w:r>
        <w:t xml:space="preserve">Close Control Air Conditioners </w:t>
      </w:r>
    </w:p>
    <w:p w14:paraId="710586AC" w14:textId="77777777" w:rsidR="00C34584" w:rsidRPr="00C34584" w:rsidRDefault="00C34584" w:rsidP="00C34584">
      <w:r>
        <w:t xml:space="preserve">This data dictionary provides a description for each of the column headings in the downloadable csv file, as well as the headings on the Search Results page on the public </w:t>
      </w:r>
      <w:hyperlink r:id="rId6" w:tooltip="Registration Database" w:history="1">
        <w:r w:rsidRPr="00463D9B">
          <w:rPr>
            <w:rStyle w:val="Hyperlink"/>
          </w:rPr>
          <w:t>Registration Database</w:t>
        </w:r>
      </w:hyperlink>
      <w:r>
        <w:t>.</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1843"/>
        <w:gridCol w:w="4111"/>
      </w:tblGrid>
      <w:tr w:rsidR="00C34584" w:rsidRPr="00032C28" w14:paraId="710586B0" w14:textId="77777777" w:rsidTr="005B727E">
        <w:trPr>
          <w:trHeight w:val="340"/>
        </w:trPr>
        <w:tc>
          <w:tcPr>
            <w:tcW w:w="1858" w:type="dxa"/>
            <w:shd w:val="clear" w:color="auto" w:fill="FDE9D9" w:themeFill="accent6" w:themeFillTint="33"/>
            <w:noWrap/>
            <w:hideMark/>
          </w:tcPr>
          <w:p w14:paraId="710586AD" w14:textId="77777777" w:rsidR="00C34584" w:rsidRPr="00032C28" w:rsidRDefault="00C34584" w:rsidP="002D19E3">
            <w:pPr>
              <w:spacing w:after="0" w:line="240" w:lineRule="auto"/>
              <w:rPr>
                <w:rFonts w:ascii="Calibri" w:eastAsia="Times New Roman" w:hAnsi="Calibri" w:cs="Times New Roman"/>
                <w:b/>
                <w:bCs/>
                <w:color w:val="000000"/>
                <w:lang w:eastAsia="en-AU"/>
              </w:rPr>
            </w:pPr>
            <w:r w:rsidRPr="00032C28">
              <w:rPr>
                <w:rFonts w:ascii="Calibri" w:eastAsia="Times New Roman" w:hAnsi="Calibri" w:cs="Times New Roman"/>
                <w:b/>
                <w:bCs/>
                <w:color w:val="000000"/>
                <w:lang w:eastAsia="en-AU"/>
              </w:rPr>
              <w:t>Column Heading</w:t>
            </w:r>
            <w:r>
              <w:rPr>
                <w:rFonts w:ascii="Calibri" w:eastAsia="Times New Roman" w:hAnsi="Calibri" w:cs="Times New Roman"/>
                <w:b/>
                <w:bCs/>
                <w:color w:val="000000"/>
                <w:lang w:eastAsia="en-AU"/>
              </w:rPr>
              <w:t xml:space="preserve"> in csv</w:t>
            </w:r>
          </w:p>
        </w:tc>
        <w:tc>
          <w:tcPr>
            <w:tcW w:w="1843" w:type="dxa"/>
            <w:shd w:val="clear" w:color="auto" w:fill="FDE9D9" w:themeFill="accent6" w:themeFillTint="33"/>
          </w:tcPr>
          <w:p w14:paraId="710586AE" w14:textId="77777777" w:rsidR="00C34584" w:rsidRPr="00032C28" w:rsidRDefault="00C34584" w:rsidP="002D19E3">
            <w:pPr>
              <w:spacing w:after="0" w:line="240" w:lineRule="auto"/>
              <w:rPr>
                <w:rFonts w:ascii="Calibri" w:eastAsia="Times New Roman" w:hAnsi="Calibri" w:cs="Times New Roman"/>
                <w:b/>
                <w:bCs/>
                <w:color w:val="000000"/>
                <w:lang w:eastAsia="en-AU"/>
              </w:rPr>
            </w:pPr>
            <w:r>
              <w:rPr>
                <w:rFonts w:ascii="Calibri" w:eastAsia="Times New Roman" w:hAnsi="Calibri" w:cs="Times New Roman"/>
                <w:b/>
                <w:bCs/>
                <w:color w:val="000000"/>
                <w:lang w:eastAsia="en-AU"/>
              </w:rPr>
              <w:t>Column heading in Search Results</w:t>
            </w:r>
          </w:p>
        </w:tc>
        <w:tc>
          <w:tcPr>
            <w:tcW w:w="4111" w:type="dxa"/>
            <w:shd w:val="clear" w:color="auto" w:fill="FDE9D9" w:themeFill="accent6" w:themeFillTint="33"/>
            <w:hideMark/>
          </w:tcPr>
          <w:p w14:paraId="710586AF" w14:textId="77777777" w:rsidR="00C34584" w:rsidRPr="00032C28" w:rsidRDefault="00C34584" w:rsidP="002D19E3">
            <w:pPr>
              <w:spacing w:after="0" w:line="240" w:lineRule="auto"/>
              <w:rPr>
                <w:rFonts w:ascii="Calibri" w:eastAsia="Times New Roman" w:hAnsi="Calibri" w:cs="Times New Roman"/>
                <w:b/>
                <w:bCs/>
                <w:color w:val="000000"/>
                <w:lang w:eastAsia="en-AU"/>
              </w:rPr>
            </w:pPr>
            <w:r w:rsidRPr="00032C28">
              <w:rPr>
                <w:rFonts w:ascii="Calibri" w:eastAsia="Times New Roman" w:hAnsi="Calibri" w:cs="Times New Roman"/>
                <w:b/>
                <w:bCs/>
                <w:color w:val="000000"/>
                <w:lang w:eastAsia="en-AU"/>
              </w:rPr>
              <w:t>Description</w:t>
            </w:r>
          </w:p>
        </w:tc>
      </w:tr>
      <w:tr w:rsidR="00C34584" w:rsidRPr="00032C28" w14:paraId="710586B4" w14:textId="77777777" w:rsidTr="005B727E">
        <w:trPr>
          <w:trHeight w:val="340"/>
        </w:trPr>
        <w:tc>
          <w:tcPr>
            <w:tcW w:w="1858" w:type="dxa"/>
            <w:shd w:val="clear" w:color="auto" w:fill="auto"/>
            <w:noWrap/>
            <w:hideMark/>
          </w:tcPr>
          <w:p w14:paraId="710586B1" w14:textId="77777777" w:rsidR="00C34584" w:rsidRPr="00032C28" w:rsidRDefault="00C34584" w:rsidP="002D19E3">
            <w:pPr>
              <w:spacing w:after="0" w:line="240" w:lineRule="auto"/>
              <w:rPr>
                <w:rFonts w:ascii="Calibri" w:eastAsia="Times New Roman" w:hAnsi="Calibri" w:cs="Times New Roman"/>
                <w:color w:val="000000"/>
                <w:lang w:eastAsia="en-AU"/>
              </w:rPr>
            </w:pPr>
            <w:proofErr w:type="spellStart"/>
            <w:r w:rsidRPr="00032C28">
              <w:rPr>
                <w:rFonts w:ascii="Calibri" w:eastAsia="Times New Roman" w:hAnsi="Calibri" w:cs="Times New Roman"/>
                <w:color w:val="000000"/>
                <w:lang w:eastAsia="en-AU"/>
              </w:rPr>
              <w:t>Submit_ID</w:t>
            </w:r>
            <w:proofErr w:type="spellEnd"/>
          </w:p>
        </w:tc>
        <w:tc>
          <w:tcPr>
            <w:tcW w:w="1843" w:type="dxa"/>
          </w:tcPr>
          <w:p w14:paraId="710586B2" w14:textId="77777777" w:rsidR="00C34584" w:rsidRPr="00032C28" w:rsidRDefault="00C34584" w:rsidP="002D19E3">
            <w:pPr>
              <w:spacing w:after="0" w:line="240" w:lineRule="auto"/>
              <w:rPr>
                <w:rFonts w:ascii="Calibri" w:eastAsia="Times New Roman" w:hAnsi="Calibri" w:cs="Times New Roman"/>
                <w:color w:val="000000"/>
                <w:lang w:eastAsia="en-AU"/>
              </w:rPr>
            </w:pPr>
          </w:p>
        </w:tc>
        <w:tc>
          <w:tcPr>
            <w:tcW w:w="4111" w:type="dxa"/>
            <w:shd w:val="clear" w:color="auto" w:fill="auto"/>
            <w:hideMark/>
          </w:tcPr>
          <w:p w14:paraId="710586B3"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This is the unique registration ID record for the product and is taken from the GEMS product database</w:t>
            </w:r>
          </w:p>
        </w:tc>
      </w:tr>
      <w:tr w:rsidR="00C34584" w:rsidRPr="00032C28" w14:paraId="710586B8" w14:textId="77777777" w:rsidTr="005B727E">
        <w:trPr>
          <w:trHeight w:val="340"/>
        </w:trPr>
        <w:tc>
          <w:tcPr>
            <w:tcW w:w="1858" w:type="dxa"/>
            <w:shd w:val="clear" w:color="auto" w:fill="auto"/>
            <w:noWrap/>
            <w:hideMark/>
          </w:tcPr>
          <w:p w14:paraId="710586B5" w14:textId="77777777" w:rsidR="00C34584" w:rsidRPr="00032C28" w:rsidRDefault="00C34584" w:rsidP="002D19E3">
            <w:pPr>
              <w:spacing w:after="0" w:line="240" w:lineRule="auto"/>
              <w:rPr>
                <w:rFonts w:ascii="Calibri" w:eastAsia="Times New Roman" w:hAnsi="Calibri" w:cs="Times New Roman"/>
                <w:color w:val="000000"/>
                <w:lang w:eastAsia="en-AU"/>
              </w:rPr>
            </w:pPr>
            <w:proofErr w:type="spellStart"/>
            <w:r w:rsidRPr="00032C28">
              <w:rPr>
                <w:rFonts w:ascii="Calibri" w:eastAsia="Times New Roman" w:hAnsi="Calibri" w:cs="Times New Roman"/>
                <w:color w:val="000000"/>
                <w:lang w:eastAsia="en-AU"/>
              </w:rPr>
              <w:t>SubmitStatus</w:t>
            </w:r>
            <w:proofErr w:type="spellEnd"/>
          </w:p>
        </w:tc>
        <w:tc>
          <w:tcPr>
            <w:tcW w:w="1843" w:type="dxa"/>
          </w:tcPr>
          <w:p w14:paraId="710586B6" w14:textId="77777777" w:rsidR="00C34584" w:rsidRPr="00032C28" w:rsidRDefault="00C34584" w:rsidP="002D19E3">
            <w:pPr>
              <w:spacing w:after="0" w:line="240" w:lineRule="auto"/>
              <w:rPr>
                <w:rFonts w:ascii="Calibri" w:eastAsia="Times New Roman" w:hAnsi="Calibri" w:cs="Times New Roman"/>
                <w:color w:val="000000"/>
                <w:lang w:eastAsia="en-AU"/>
              </w:rPr>
            </w:pPr>
          </w:p>
        </w:tc>
        <w:tc>
          <w:tcPr>
            <w:tcW w:w="4111" w:type="dxa"/>
            <w:shd w:val="clear" w:color="auto" w:fill="auto"/>
            <w:hideMark/>
          </w:tcPr>
          <w:p w14:paraId="710586B7"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This is the registration status of the product and must be either "Superseded" or "Approved"</w:t>
            </w:r>
          </w:p>
        </w:tc>
      </w:tr>
      <w:tr w:rsidR="00C34584" w:rsidRPr="00032C28" w14:paraId="710586BC" w14:textId="77777777" w:rsidTr="005B727E">
        <w:trPr>
          <w:trHeight w:val="340"/>
        </w:trPr>
        <w:tc>
          <w:tcPr>
            <w:tcW w:w="1858" w:type="dxa"/>
            <w:shd w:val="clear" w:color="auto" w:fill="auto"/>
            <w:noWrap/>
            <w:hideMark/>
          </w:tcPr>
          <w:p w14:paraId="710586B9" w14:textId="77777777" w:rsidR="00C34584" w:rsidRPr="00032C28" w:rsidRDefault="00C34584" w:rsidP="002D19E3">
            <w:pPr>
              <w:spacing w:after="0" w:line="240" w:lineRule="auto"/>
              <w:rPr>
                <w:rFonts w:ascii="Calibri" w:eastAsia="Times New Roman" w:hAnsi="Calibri" w:cs="Times New Roman"/>
                <w:color w:val="000000"/>
                <w:lang w:eastAsia="en-AU"/>
              </w:rPr>
            </w:pPr>
            <w:proofErr w:type="spellStart"/>
            <w:r w:rsidRPr="00032C28">
              <w:rPr>
                <w:rFonts w:ascii="Calibri" w:eastAsia="Times New Roman" w:hAnsi="Calibri" w:cs="Times New Roman"/>
                <w:color w:val="000000"/>
                <w:lang w:eastAsia="en-AU"/>
              </w:rPr>
              <w:t>Sold_in</w:t>
            </w:r>
            <w:proofErr w:type="spellEnd"/>
          </w:p>
        </w:tc>
        <w:tc>
          <w:tcPr>
            <w:tcW w:w="1843" w:type="dxa"/>
          </w:tcPr>
          <w:p w14:paraId="710586BA" w14:textId="77777777" w:rsidR="00C34584" w:rsidRPr="00032C28" w:rsidRDefault="00C34584" w:rsidP="002D19E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Available</w:t>
            </w:r>
          </w:p>
        </w:tc>
        <w:tc>
          <w:tcPr>
            <w:tcW w:w="4111" w:type="dxa"/>
            <w:shd w:val="clear" w:color="auto" w:fill="auto"/>
            <w:hideMark/>
          </w:tcPr>
          <w:p w14:paraId="710586BB"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 xml:space="preserve">Countries where the product is sold. </w:t>
            </w:r>
          </w:p>
        </w:tc>
      </w:tr>
      <w:tr w:rsidR="00C34584" w:rsidRPr="00032C28" w14:paraId="710586C0" w14:textId="77777777" w:rsidTr="005B727E">
        <w:trPr>
          <w:trHeight w:val="340"/>
        </w:trPr>
        <w:tc>
          <w:tcPr>
            <w:tcW w:w="1858" w:type="dxa"/>
            <w:shd w:val="clear" w:color="auto" w:fill="auto"/>
            <w:noWrap/>
            <w:hideMark/>
          </w:tcPr>
          <w:p w14:paraId="710586BD"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Brand</w:t>
            </w:r>
          </w:p>
        </w:tc>
        <w:tc>
          <w:tcPr>
            <w:tcW w:w="1843" w:type="dxa"/>
          </w:tcPr>
          <w:p w14:paraId="710586BE" w14:textId="77777777" w:rsidR="00C34584" w:rsidRPr="00032C28" w:rsidRDefault="00C34584" w:rsidP="002D19E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Brand</w:t>
            </w:r>
          </w:p>
        </w:tc>
        <w:tc>
          <w:tcPr>
            <w:tcW w:w="4111" w:type="dxa"/>
            <w:shd w:val="clear" w:color="auto" w:fill="auto"/>
            <w:hideMark/>
          </w:tcPr>
          <w:p w14:paraId="710586BF"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This is the brand</w:t>
            </w:r>
            <w:r>
              <w:rPr>
                <w:rFonts w:ascii="Calibri" w:eastAsia="Times New Roman" w:hAnsi="Calibri" w:cs="Times New Roman"/>
                <w:color w:val="000000"/>
                <w:lang w:eastAsia="en-AU"/>
              </w:rPr>
              <w:t xml:space="preserve"> name of the registered model.</w:t>
            </w:r>
          </w:p>
        </w:tc>
      </w:tr>
      <w:tr w:rsidR="00C34584" w:rsidRPr="00032C28" w14:paraId="710586C4" w14:textId="77777777" w:rsidTr="005B727E">
        <w:trPr>
          <w:trHeight w:val="340"/>
        </w:trPr>
        <w:tc>
          <w:tcPr>
            <w:tcW w:w="1858" w:type="dxa"/>
            <w:shd w:val="clear" w:color="auto" w:fill="auto"/>
            <w:noWrap/>
            <w:hideMark/>
          </w:tcPr>
          <w:p w14:paraId="710586C1"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Model Number</w:t>
            </w:r>
          </w:p>
        </w:tc>
        <w:tc>
          <w:tcPr>
            <w:tcW w:w="1843" w:type="dxa"/>
          </w:tcPr>
          <w:p w14:paraId="710586C2" w14:textId="77777777" w:rsidR="00C34584" w:rsidRPr="00032C28" w:rsidRDefault="00C34584" w:rsidP="002D19E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Model</w:t>
            </w:r>
          </w:p>
        </w:tc>
        <w:tc>
          <w:tcPr>
            <w:tcW w:w="4111" w:type="dxa"/>
            <w:shd w:val="clear" w:color="auto" w:fill="auto"/>
            <w:hideMark/>
          </w:tcPr>
          <w:p w14:paraId="710586C3"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Model number</w:t>
            </w:r>
          </w:p>
        </w:tc>
      </w:tr>
      <w:tr w:rsidR="00C34584" w:rsidRPr="00032C28" w14:paraId="710586C8" w14:textId="77777777" w:rsidTr="005B727E">
        <w:trPr>
          <w:trHeight w:val="340"/>
        </w:trPr>
        <w:tc>
          <w:tcPr>
            <w:tcW w:w="1858" w:type="dxa"/>
            <w:shd w:val="clear" w:color="auto" w:fill="auto"/>
            <w:noWrap/>
            <w:hideMark/>
          </w:tcPr>
          <w:p w14:paraId="710586C5"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Family Name</w:t>
            </w:r>
          </w:p>
        </w:tc>
        <w:tc>
          <w:tcPr>
            <w:tcW w:w="1843" w:type="dxa"/>
          </w:tcPr>
          <w:p w14:paraId="710586C6" w14:textId="77777777" w:rsidR="00C34584" w:rsidRPr="00032C28" w:rsidRDefault="00C34584" w:rsidP="002D19E3">
            <w:pPr>
              <w:spacing w:after="0" w:line="240" w:lineRule="auto"/>
              <w:rPr>
                <w:rFonts w:ascii="Calibri" w:eastAsia="Times New Roman" w:hAnsi="Calibri" w:cs="Times New Roman"/>
                <w:color w:val="000000"/>
                <w:lang w:eastAsia="en-AU"/>
              </w:rPr>
            </w:pPr>
          </w:p>
        </w:tc>
        <w:tc>
          <w:tcPr>
            <w:tcW w:w="4111" w:type="dxa"/>
            <w:shd w:val="clear" w:color="auto" w:fill="auto"/>
            <w:hideMark/>
          </w:tcPr>
          <w:p w14:paraId="710586C7"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Where a registration is for a family of models, this is the family name provided for the models. See Section 9 of the determination for more information on family of models.</w:t>
            </w:r>
          </w:p>
        </w:tc>
      </w:tr>
      <w:tr w:rsidR="00C34584" w:rsidRPr="00032C28" w14:paraId="710586CC" w14:textId="77777777" w:rsidTr="005B727E">
        <w:trPr>
          <w:trHeight w:val="340"/>
        </w:trPr>
        <w:tc>
          <w:tcPr>
            <w:tcW w:w="1858" w:type="dxa"/>
            <w:shd w:val="clear" w:color="auto" w:fill="auto"/>
            <w:noWrap/>
            <w:hideMark/>
          </w:tcPr>
          <w:p w14:paraId="710586C9"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Country</w:t>
            </w:r>
          </w:p>
        </w:tc>
        <w:tc>
          <w:tcPr>
            <w:tcW w:w="1843" w:type="dxa"/>
          </w:tcPr>
          <w:p w14:paraId="710586CA" w14:textId="77777777" w:rsidR="00C34584" w:rsidRPr="00032C28" w:rsidRDefault="00C34584" w:rsidP="002D19E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Country of Manufacture</w:t>
            </w:r>
          </w:p>
        </w:tc>
        <w:tc>
          <w:tcPr>
            <w:tcW w:w="4111" w:type="dxa"/>
            <w:shd w:val="clear" w:color="auto" w:fill="auto"/>
            <w:hideMark/>
          </w:tcPr>
          <w:p w14:paraId="710586CB"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Manufacturing countries</w:t>
            </w:r>
          </w:p>
        </w:tc>
      </w:tr>
      <w:tr w:rsidR="00C34584" w:rsidRPr="00032C28" w14:paraId="710586D0" w14:textId="77777777" w:rsidTr="005B727E">
        <w:trPr>
          <w:trHeight w:val="340"/>
        </w:trPr>
        <w:tc>
          <w:tcPr>
            <w:tcW w:w="1858" w:type="dxa"/>
            <w:shd w:val="clear" w:color="auto" w:fill="auto"/>
            <w:noWrap/>
            <w:hideMark/>
          </w:tcPr>
          <w:p w14:paraId="710586CD"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N-Standard</w:t>
            </w:r>
          </w:p>
        </w:tc>
        <w:tc>
          <w:tcPr>
            <w:tcW w:w="1843" w:type="dxa"/>
          </w:tcPr>
          <w:p w14:paraId="710586CE" w14:textId="77777777" w:rsidR="00C34584" w:rsidRPr="00032C28" w:rsidRDefault="00C34584" w:rsidP="002D19E3">
            <w:pPr>
              <w:spacing w:after="0" w:line="240" w:lineRule="auto"/>
              <w:rPr>
                <w:rFonts w:ascii="Calibri" w:eastAsia="Times New Roman" w:hAnsi="Calibri" w:cs="Times New Roman"/>
                <w:color w:val="000000"/>
                <w:lang w:eastAsia="en-AU"/>
              </w:rPr>
            </w:pPr>
          </w:p>
        </w:tc>
        <w:tc>
          <w:tcPr>
            <w:tcW w:w="4111" w:type="dxa"/>
            <w:shd w:val="clear" w:color="auto" w:fill="auto"/>
            <w:hideMark/>
          </w:tcPr>
          <w:p w14:paraId="710586CF"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 xml:space="preserve">This is the test standard used for the appliance, usually denoted with the prefix AS/NZS </w:t>
            </w:r>
            <w:proofErr w:type="spellStart"/>
            <w:r w:rsidRPr="00032C28">
              <w:rPr>
                <w:rFonts w:ascii="Calibri" w:eastAsia="Times New Roman" w:hAnsi="Calibri" w:cs="Times New Roman"/>
                <w:color w:val="000000"/>
                <w:lang w:eastAsia="en-AU"/>
              </w:rPr>
              <w:t>xxxxxxx</w:t>
            </w:r>
            <w:proofErr w:type="spellEnd"/>
          </w:p>
        </w:tc>
      </w:tr>
      <w:tr w:rsidR="00C34584" w:rsidRPr="00032C28" w14:paraId="710586D4" w14:textId="77777777" w:rsidTr="005B727E">
        <w:trPr>
          <w:trHeight w:val="340"/>
        </w:trPr>
        <w:tc>
          <w:tcPr>
            <w:tcW w:w="1858" w:type="dxa"/>
            <w:shd w:val="clear" w:color="auto" w:fill="auto"/>
            <w:noWrap/>
            <w:hideMark/>
          </w:tcPr>
          <w:p w14:paraId="710586D1" w14:textId="77777777" w:rsidR="00C34584" w:rsidRPr="00032C28" w:rsidRDefault="00C34584" w:rsidP="002D19E3">
            <w:pPr>
              <w:spacing w:after="0" w:line="240" w:lineRule="auto"/>
              <w:rPr>
                <w:rFonts w:ascii="Calibri" w:eastAsia="Times New Roman" w:hAnsi="Calibri" w:cs="Times New Roman"/>
                <w:color w:val="000000"/>
                <w:lang w:eastAsia="en-AU"/>
              </w:rPr>
            </w:pPr>
            <w:proofErr w:type="spellStart"/>
            <w:r w:rsidRPr="00032C28">
              <w:rPr>
                <w:rFonts w:ascii="Calibri" w:eastAsia="Times New Roman" w:hAnsi="Calibri" w:cs="Times New Roman"/>
                <w:color w:val="000000"/>
                <w:lang w:eastAsia="en-AU"/>
              </w:rPr>
              <w:t>ApplStandard</w:t>
            </w:r>
            <w:proofErr w:type="spellEnd"/>
          </w:p>
        </w:tc>
        <w:tc>
          <w:tcPr>
            <w:tcW w:w="1843" w:type="dxa"/>
          </w:tcPr>
          <w:p w14:paraId="710586D2" w14:textId="77777777" w:rsidR="00C34584" w:rsidRPr="00032C28" w:rsidRDefault="00C34584" w:rsidP="002D19E3">
            <w:pPr>
              <w:spacing w:after="0" w:line="240" w:lineRule="auto"/>
              <w:rPr>
                <w:rFonts w:ascii="Calibri" w:eastAsia="Times New Roman" w:hAnsi="Calibri" w:cs="Times New Roman"/>
                <w:color w:val="000000"/>
                <w:lang w:eastAsia="en-AU"/>
              </w:rPr>
            </w:pPr>
          </w:p>
        </w:tc>
        <w:tc>
          <w:tcPr>
            <w:tcW w:w="4111" w:type="dxa"/>
            <w:shd w:val="clear" w:color="auto" w:fill="auto"/>
            <w:hideMark/>
          </w:tcPr>
          <w:p w14:paraId="710586D3"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This is the legal standard to which the appliance must comply. It could be the AS/NZ Standard or the GEMS determination.</w:t>
            </w:r>
          </w:p>
        </w:tc>
      </w:tr>
      <w:tr w:rsidR="00C34584" w:rsidRPr="00032C28" w14:paraId="710586D8" w14:textId="77777777" w:rsidTr="005B727E">
        <w:trPr>
          <w:trHeight w:val="340"/>
        </w:trPr>
        <w:tc>
          <w:tcPr>
            <w:tcW w:w="1858" w:type="dxa"/>
            <w:shd w:val="clear" w:color="auto" w:fill="auto"/>
            <w:noWrap/>
            <w:hideMark/>
          </w:tcPr>
          <w:p w14:paraId="710586D5"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Width</w:t>
            </w:r>
          </w:p>
        </w:tc>
        <w:tc>
          <w:tcPr>
            <w:tcW w:w="1843" w:type="dxa"/>
          </w:tcPr>
          <w:p w14:paraId="710586D6" w14:textId="77777777" w:rsidR="00C34584" w:rsidRPr="00032C28" w:rsidRDefault="00C34584" w:rsidP="002D19E3">
            <w:pPr>
              <w:spacing w:after="0" w:line="240" w:lineRule="auto"/>
              <w:rPr>
                <w:rFonts w:ascii="Calibri" w:eastAsia="Times New Roman" w:hAnsi="Calibri" w:cs="Times New Roman"/>
                <w:color w:val="000000"/>
                <w:lang w:eastAsia="en-AU"/>
              </w:rPr>
            </w:pPr>
          </w:p>
        </w:tc>
        <w:tc>
          <w:tcPr>
            <w:tcW w:w="4111" w:type="dxa"/>
            <w:shd w:val="clear" w:color="auto" w:fill="auto"/>
            <w:hideMark/>
          </w:tcPr>
          <w:p w14:paraId="710586D7"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Width of the product</w:t>
            </w:r>
          </w:p>
        </w:tc>
      </w:tr>
      <w:tr w:rsidR="00C34584" w:rsidRPr="00032C28" w14:paraId="710586DC" w14:textId="77777777" w:rsidTr="005B727E">
        <w:trPr>
          <w:trHeight w:val="340"/>
        </w:trPr>
        <w:tc>
          <w:tcPr>
            <w:tcW w:w="1858" w:type="dxa"/>
            <w:shd w:val="clear" w:color="auto" w:fill="auto"/>
            <w:noWrap/>
            <w:hideMark/>
          </w:tcPr>
          <w:p w14:paraId="710586D9"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lastRenderedPageBreak/>
              <w:t>Height</w:t>
            </w:r>
          </w:p>
        </w:tc>
        <w:tc>
          <w:tcPr>
            <w:tcW w:w="1843" w:type="dxa"/>
          </w:tcPr>
          <w:p w14:paraId="710586DA" w14:textId="77777777" w:rsidR="00C34584" w:rsidRPr="00032C28" w:rsidRDefault="00C34584" w:rsidP="002D19E3">
            <w:pPr>
              <w:spacing w:after="0" w:line="240" w:lineRule="auto"/>
              <w:rPr>
                <w:rFonts w:ascii="Calibri" w:eastAsia="Times New Roman" w:hAnsi="Calibri" w:cs="Times New Roman"/>
                <w:color w:val="000000"/>
                <w:lang w:eastAsia="en-AU"/>
              </w:rPr>
            </w:pPr>
          </w:p>
        </w:tc>
        <w:tc>
          <w:tcPr>
            <w:tcW w:w="4111" w:type="dxa"/>
            <w:shd w:val="clear" w:color="auto" w:fill="auto"/>
            <w:hideMark/>
          </w:tcPr>
          <w:p w14:paraId="710586DB"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Height of the product</w:t>
            </w:r>
          </w:p>
        </w:tc>
      </w:tr>
      <w:tr w:rsidR="00C34584" w:rsidRPr="00032C28" w14:paraId="710586E0" w14:textId="77777777" w:rsidTr="005B727E">
        <w:trPr>
          <w:trHeight w:val="340"/>
        </w:trPr>
        <w:tc>
          <w:tcPr>
            <w:tcW w:w="1858" w:type="dxa"/>
            <w:shd w:val="clear" w:color="auto" w:fill="auto"/>
            <w:noWrap/>
            <w:hideMark/>
          </w:tcPr>
          <w:p w14:paraId="710586DD"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Depth</w:t>
            </w:r>
          </w:p>
        </w:tc>
        <w:tc>
          <w:tcPr>
            <w:tcW w:w="1843" w:type="dxa"/>
          </w:tcPr>
          <w:p w14:paraId="710586DE" w14:textId="77777777" w:rsidR="00C34584" w:rsidRPr="00032C28" w:rsidRDefault="00C34584" w:rsidP="002D19E3">
            <w:pPr>
              <w:spacing w:after="0" w:line="240" w:lineRule="auto"/>
              <w:rPr>
                <w:rFonts w:ascii="Calibri" w:eastAsia="Times New Roman" w:hAnsi="Calibri" w:cs="Times New Roman"/>
                <w:color w:val="000000"/>
                <w:lang w:eastAsia="en-AU"/>
              </w:rPr>
            </w:pPr>
          </w:p>
        </w:tc>
        <w:tc>
          <w:tcPr>
            <w:tcW w:w="4111" w:type="dxa"/>
            <w:shd w:val="clear" w:color="auto" w:fill="auto"/>
            <w:hideMark/>
          </w:tcPr>
          <w:p w14:paraId="710586DF"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Depth of the product</w:t>
            </w:r>
          </w:p>
        </w:tc>
      </w:tr>
      <w:tr w:rsidR="00C34584" w:rsidRPr="00032C28" w14:paraId="710586E4" w14:textId="77777777" w:rsidTr="005B727E">
        <w:trPr>
          <w:trHeight w:val="340"/>
        </w:trPr>
        <w:tc>
          <w:tcPr>
            <w:tcW w:w="1858" w:type="dxa"/>
            <w:shd w:val="clear" w:color="auto" w:fill="auto"/>
            <w:noWrap/>
            <w:hideMark/>
          </w:tcPr>
          <w:p w14:paraId="710586E1"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Product Class</w:t>
            </w:r>
          </w:p>
        </w:tc>
        <w:tc>
          <w:tcPr>
            <w:tcW w:w="1843" w:type="dxa"/>
          </w:tcPr>
          <w:p w14:paraId="710586E2" w14:textId="77777777" w:rsidR="00C34584" w:rsidRPr="00032C28" w:rsidRDefault="00C34584" w:rsidP="002D19E3">
            <w:pPr>
              <w:spacing w:after="0" w:line="240" w:lineRule="auto"/>
              <w:rPr>
                <w:rFonts w:ascii="Calibri" w:eastAsia="Times New Roman" w:hAnsi="Calibri" w:cs="Times New Roman"/>
                <w:color w:val="000000"/>
                <w:lang w:eastAsia="en-AU"/>
              </w:rPr>
            </w:pPr>
          </w:p>
        </w:tc>
        <w:tc>
          <w:tcPr>
            <w:tcW w:w="4111" w:type="dxa"/>
            <w:shd w:val="clear" w:color="auto" w:fill="auto"/>
            <w:hideMark/>
          </w:tcPr>
          <w:p w14:paraId="710586E3"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 xml:space="preserve">There is a single product class in the Close Control Air Conditioners </w:t>
            </w:r>
            <w:r>
              <w:rPr>
                <w:rFonts w:ascii="Calibri" w:eastAsia="Times New Roman" w:hAnsi="Calibri" w:cs="Times New Roman"/>
                <w:color w:val="000000"/>
                <w:lang w:eastAsia="en-AU"/>
              </w:rPr>
              <w:t>d</w:t>
            </w:r>
            <w:r w:rsidRPr="00032C28">
              <w:rPr>
                <w:rFonts w:ascii="Calibri" w:eastAsia="Times New Roman" w:hAnsi="Calibri" w:cs="Times New Roman"/>
                <w:color w:val="000000"/>
                <w:lang w:eastAsia="en-AU"/>
              </w:rPr>
              <w:t xml:space="preserve">etermination </w:t>
            </w:r>
          </w:p>
        </w:tc>
      </w:tr>
      <w:tr w:rsidR="00C34584" w:rsidRPr="00032C28" w14:paraId="710586E8" w14:textId="77777777" w:rsidTr="005B727E">
        <w:trPr>
          <w:trHeight w:val="340"/>
        </w:trPr>
        <w:tc>
          <w:tcPr>
            <w:tcW w:w="1858" w:type="dxa"/>
            <w:shd w:val="clear" w:color="auto" w:fill="auto"/>
            <w:noWrap/>
            <w:hideMark/>
          </w:tcPr>
          <w:p w14:paraId="710586E5" w14:textId="77777777" w:rsidR="00C34584" w:rsidRPr="005063EE" w:rsidRDefault="00C34584" w:rsidP="002D19E3">
            <w:pPr>
              <w:spacing w:after="0" w:line="240" w:lineRule="auto"/>
              <w:rPr>
                <w:rFonts w:ascii="Calibri" w:eastAsia="Times New Roman" w:hAnsi="Calibri" w:cs="Times New Roman"/>
                <w:color w:val="000000"/>
                <w:lang w:eastAsia="en-AU"/>
              </w:rPr>
            </w:pPr>
            <w:r w:rsidRPr="005063EE">
              <w:rPr>
                <w:rFonts w:ascii="Calibri" w:eastAsia="Times New Roman" w:hAnsi="Calibri" w:cs="Times New Roman"/>
                <w:color w:val="000000"/>
                <w:lang w:eastAsia="en-AU"/>
              </w:rPr>
              <w:t>EER</w:t>
            </w:r>
          </w:p>
        </w:tc>
        <w:tc>
          <w:tcPr>
            <w:tcW w:w="1843" w:type="dxa"/>
          </w:tcPr>
          <w:p w14:paraId="710586E6" w14:textId="77777777" w:rsidR="00C34584" w:rsidRPr="005063EE" w:rsidRDefault="00C34584" w:rsidP="002D19E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EERS (Kw/kW)</w:t>
            </w:r>
          </w:p>
        </w:tc>
        <w:tc>
          <w:tcPr>
            <w:tcW w:w="4111" w:type="dxa"/>
            <w:shd w:val="clear" w:color="auto" w:fill="auto"/>
            <w:noWrap/>
            <w:hideMark/>
          </w:tcPr>
          <w:p w14:paraId="710586E7" w14:textId="77777777" w:rsidR="00C34584" w:rsidRPr="005063EE" w:rsidRDefault="00C34584" w:rsidP="002D19E3">
            <w:pPr>
              <w:spacing w:after="0" w:line="240" w:lineRule="auto"/>
              <w:rPr>
                <w:rFonts w:ascii="Calibri" w:eastAsia="Times New Roman" w:hAnsi="Calibri" w:cs="Times New Roman"/>
                <w:color w:val="000000"/>
                <w:lang w:eastAsia="en-AU"/>
              </w:rPr>
            </w:pPr>
            <w:r w:rsidRPr="005063EE">
              <w:rPr>
                <w:rFonts w:ascii="Calibri" w:eastAsia="Times New Roman" w:hAnsi="Calibri" w:cs="Times New Roman"/>
                <w:color w:val="000000"/>
                <w:lang w:eastAsia="en-AU"/>
              </w:rPr>
              <w:t>For Close Control Air Conditioners, this refers to the Sensible Energy Efficiency Ratio. It is a ratio of the rated sensible cooling capacity (in kW) to the rated effective cooling power input (in kW). Unlike the EER for air conditioners, the Sensible EER only accounts for the sensible heat (or ‘dry’ heat) removal. It ignores latent heat removal (the ability to remove moisture/humidity).</w:t>
            </w:r>
          </w:p>
        </w:tc>
      </w:tr>
      <w:tr w:rsidR="00C34584" w:rsidRPr="00032C28" w14:paraId="710586EC" w14:textId="77777777" w:rsidTr="005B727E">
        <w:trPr>
          <w:trHeight w:val="340"/>
        </w:trPr>
        <w:tc>
          <w:tcPr>
            <w:tcW w:w="1858" w:type="dxa"/>
            <w:shd w:val="clear" w:color="auto" w:fill="auto"/>
            <w:noWrap/>
            <w:hideMark/>
          </w:tcPr>
          <w:p w14:paraId="710586E9"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Rated Power Input</w:t>
            </w:r>
          </w:p>
        </w:tc>
        <w:tc>
          <w:tcPr>
            <w:tcW w:w="1843" w:type="dxa"/>
          </w:tcPr>
          <w:p w14:paraId="710586EA" w14:textId="77777777" w:rsidR="00C34584" w:rsidRPr="003A5DBC" w:rsidRDefault="00C34584" w:rsidP="002D19E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Rated Power Input (kW)</w:t>
            </w:r>
          </w:p>
        </w:tc>
        <w:tc>
          <w:tcPr>
            <w:tcW w:w="4111" w:type="dxa"/>
            <w:shd w:val="clear" w:color="auto" w:fill="auto"/>
            <w:noWrap/>
            <w:hideMark/>
          </w:tcPr>
          <w:p w14:paraId="710586EB" w14:textId="77777777" w:rsidR="00C34584" w:rsidRPr="00514F41" w:rsidRDefault="00C34584" w:rsidP="002D19E3">
            <w:pPr>
              <w:spacing w:after="0" w:line="240" w:lineRule="auto"/>
              <w:rPr>
                <w:rFonts w:ascii="Calibri" w:eastAsia="Times New Roman" w:hAnsi="Calibri" w:cs="Times New Roman"/>
                <w:color w:val="000000"/>
                <w:highlight w:val="yellow"/>
                <w:lang w:eastAsia="en-AU"/>
              </w:rPr>
            </w:pPr>
            <w:r w:rsidRPr="003A5DBC">
              <w:rPr>
                <w:rFonts w:ascii="Calibri" w:eastAsia="Times New Roman" w:hAnsi="Calibri" w:cs="Times New Roman"/>
                <w:color w:val="000000"/>
                <w:lang w:eastAsia="en-AU"/>
              </w:rPr>
              <w:t>Rated effective electrical power input (kW)</w:t>
            </w:r>
          </w:p>
        </w:tc>
      </w:tr>
      <w:tr w:rsidR="00C34584" w:rsidRPr="00032C28" w14:paraId="710586F0" w14:textId="77777777" w:rsidTr="005B727E">
        <w:trPr>
          <w:trHeight w:val="340"/>
        </w:trPr>
        <w:tc>
          <w:tcPr>
            <w:tcW w:w="1858" w:type="dxa"/>
            <w:shd w:val="clear" w:color="auto" w:fill="auto"/>
            <w:noWrap/>
            <w:hideMark/>
          </w:tcPr>
          <w:p w14:paraId="710586ED"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Cooling Capacity</w:t>
            </w:r>
          </w:p>
        </w:tc>
        <w:tc>
          <w:tcPr>
            <w:tcW w:w="1843" w:type="dxa"/>
          </w:tcPr>
          <w:p w14:paraId="710586EE" w14:textId="77777777" w:rsidR="00C34584" w:rsidRPr="005063EE" w:rsidRDefault="00C34584" w:rsidP="002D19E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Cooling Capacity (Sensible) (kW)</w:t>
            </w:r>
          </w:p>
        </w:tc>
        <w:tc>
          <w:tcPr>
            <w:tcW w:w="4111" w:type="dxa"/>
            <w:shd w:val="clear" w:color="auto" w:fill="auto"/>
            <w:noWrap/>
            <w:hideMark/>
          </w:tcPr>
          <w:p w14:paraId="710586EF" w14:textId="77777777" w:rsidR="00C34584" w:rsidRPr="00514F41" w:rsidRDefault="00C34584" w:rsidP="002D19E3">
            <w:pPr>
              <w:spacing w:after="0" w:line="240" w:lineRule="auto"/>
              <w:rPr>
                <w:rFonts w:ascii="Calibri" w:eastAsia="Times New Roman" w:hAnsi="Calibri" w:cs="Times New Roman"/>
                <w:color w:val="000000"/>
                <w:highlight w:val="yellow"/>
                <w:lang w:eastAsia="en-AU"/>
              </w:rPr>
            </w:pPr>
            <w:r w:rsidRPr="005063EE">
              <w:rPr>
                <w:rFonts w:ascii="Calibri" w:eastAsia="Times New Roman" w:hAnsi="Calibri" w:cs="Times New Roman"/>
                <w:color w:val="000000"/>
                <w:lang w:eastAsia="en-AU"/>
              </w:rPr>
              <w:t>Rated sensible cooling capacity (kW). Sensible cooling removes ‘dry’ heat, which is the type of heat that Information</w:t>
            </w:r>
            <w:r w:rsidRPr="003B00C5">
              <w:rPr>
                <w:rFonts w:ascii="Calibri" w:eastAsia="Times New Roman" w:hAnsi="Calibri" w:cs="Times New Roman"/>
                <w:color w:val="000000"/>
                <w:lang w:eastAsia="en-AU"/>
              </w:rPr>
              <w:t xml:space="preserve"> and Communication Technology</w:t>
            </w:r>
            <w:r>
              <w:rPr>
                <w:rFonts w:ascii="Calibri" w:eastAsia="Times New Roman" w:hAnsi="Calibri" w:cs="Times New Roman"/>
                <w:color w:val="000000"/>
                <w:lang w:eastAsia="en-AU"/>
              </w:rPr>
              <w:t xml:space="preserve"> creates. The other type of heat removal, which isn’t measured for Close Control Air Conditioners is latent (or moist/humid) heat removal.</w:t>
            </w:r>
          </w:p>
        </w:tc>
      </w:tr>
      <w:tr w:rsidR="00C34584" w:rsidRPr="00032C28" w14:paraId="710586F4" w14:textId="77777777" w:rsidTr="005B727E">
        <w:trPr>
          <w:trHeight w:val="340"/>
        </w:trPr>
        <w:tc>
          <w:tcPr>
            <w:tcW w:w="1858" w:type="dxa"/>
            <w:shd w:val="clear" w:color="auto" w:fill="auto"/>
            <w:noWrap/>
            <w:hideMark/>
          </w:tcPr>
          <w:p w14:paraId="710586F1"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Availability Status</w:t>
            </w:r>
          </w:p>
        </w:tc>
        <w:tc>
          <w:tcPr>
            <w:tcW w:w="1843" w:type="dxa"/>
          </w:tcPr>
          <w:p w14:paraId="710586F2" w14:textId="77777777" w:rsidR="00C34584" w:rsidRPr="00032C28" w:rsidRDefault="00935D55" w:rsidP="002D19E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Availability</w:t>
            </w:r>
          </w:p>
        </w:tc>
        <w:tc>
          <w:tcPr>
            <w:tcW w:w="4111" w:type="dxa"/>
            <w:shd w:val="clear" w:color="auto" w:fill="auto"/>
            <w:hideMark/>
          </w:tcPr>
          <w:p w14:paraId="710586F3"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This is the availability status of the product and must be either "Available" or "Unavailable". This status is based on self-reporting of the registrant.</w:t>
            </w:r>
          </w:p>
        </w:tc>
      </w:tr>
      <w:tr w:rsidR="00C34584" w:rsidRPr="00032C28" w14:paraId="710586F8" w14:textId="77777777" w:rsidTr="005B727E">
        <w:trPr>
          <w:trHeight w:val="340"/>
        </w:trPr>
        <w:tc>
          <w:tcPr>
            <w:tcW w:w="1858" w:type="dxa"/>
            <w:shd w:val="clear" w:color="auto" w:fill="auto"/>
            <w:noWrap/>
            <w:hideMark/>
          </w:tcPr>
          <w:p w14:paraId="710586F5"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Product Website</w:t>
            </w:r>
          </w:p>
        </w:tc>
        <w:tc>
          <w:tcPr>
            <w:tcW w:w="1843" w:type="dxa"/>
          </w:tcPr>
          <w:p w14:paraId="710586F6" w14:textId="77777777" w:rsidR="00C34584" w:rsidRPr="00032C28" w:rsidRDefault="00C34584" w:rsidP="002D19E3">
            <w:pPr>
              <w:spacing w:after="0" w:line="240" w:lineRule="auto"/>
              <w:rPr>
                <w:rFonts w:ascii="Calibri" w:eastAsia="Times New Roman" w:hAnsi="Calibri" w:cs="Times New Roman"/>
                <w:color w:val="000000"/>
                <w:lang w:eastAsia="en-AU"/>
              </w:rPr>
            </w:pPr>
          </w:p>
        </w:tc>
        <w:tc>
          <w:tcPr>
            <w:tcW w:w="4111" w:type="dxa"/>
            <w:shd w:val="clear" w:color="auto" w:fill="auto"/>
            <w:hideMark/>
          </w:tcPr>
          <w:p w14:paraId="710586F7"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 xml:space="preserve">This is the specific web address for the product </w:t>
            </w:r>
          </w:p>
        </w:tc>
      </w:tr>
      <w:tr w:rsidR="00C34584" w:rsidRPr="00032C28" w14:paraId="710586FC" w14:textId="77777777" w:rsidTr="005B727E">
        <w:trPr>
          <w:trHeight w:val="340"/>
        </w:trPr>
        <w:tc>
          <w:tcPr>
            <w:tcW w:w="1858" w:type="dxa"/>
            <w:tcBorders>
              <w:bottom w:val="single" w:sz="4" w:space="0" w:color="auto"/>
            </w:tcBorders>
            <w:shd w:val="clear" w:color="auto" w:fill="auto"/>
            <w:noWrap/>
            <w:hideMark/>
          </w:tcPr>
          <w:p w14:paraId="710586F9"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Representative Brand URL</w:t>
            </w:r>
          </w:p>
        </w:tc>
        <w:tc>
          <w:tcPr>
            <w:tcW w:w="1843" w:type="dxa"/>
            <w:tcBorders>
              <w:bottom w:val="single" w:sz="4" w:space="0" w:color="auto"/>
            </w:tcBorders>
          </w:tcPr>
          <w:p w14:paraId="710586FA" w14:textId="77777777" w:rsidR="00C34584" w:rsidRPr="00032C28" w:rsidRDefault="00C34584" w:rsidP="002D19E3">
            <w:pPr>
              <w:spacing w:after="0" w:line="240" w:lineRule="auto"/>
              <w:rPr>
                <w:rFonts w:ascii="Calibri" w:eastAsia="Times New Roman" w:hAnsi="Calibri" w:cs="Times New Roman"/>
                <w:color w:val="000000"/>
                <w:lang w:eastAsia="en-AU"/>
              </w:rPr>
            </w:pPr>
          </w:p>
        </w:tc>
        <w:tc>
          <w:tcPr>
            <w:tcW w:w="4111" w:type="dxa"/>
            <w:tcBorders>
              <w:bottom w:val="single" w:sz="4" w:space="0" w:color="auto"/>
            </w:tcBorders>
            <w:shd w:val="clear" w:color="auto" w:fill="auto"/>
            <w:hideMark/>
          </w:tcPr>
          <w:p w14:paraId="710586FB"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This is the web address for the manufacturer</w:t>
            </w:r>
          </w:p>
        </w:tc>
      </w:tr>
      <w:tr w:rsidR="00C34584" w:rsidRPr="00032C28" w14:paraId="71058700" w14:textId="77777777" w:rsidTr="005B727E">
        <w:trPr>
          <w:trHeight w:val="340"/>
        </w:trPr>
        <w:tc>
          <w:tcPr>
            <w:tcW w:w="1858" w:type="dxa"/>
            <w:shd w:val="clear" w:color="auto" w:fill="BFBFBF" w:themeFill="background1" w:themeFillShade="BF"/>
            <w:noWrap/>
            <w:hideMark/>
          </w:tcPr>
          <w:p w14:paraId="710586FD"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lastRenderedPageBreak/>
              <w:t>Star Image Large</w:t>
            </w:r>
          </w:p>
        </w:tc>
        <w:tc>
          <w:tcPr>
            <w:tcW w:w="1843" w:type="dxa"/>
            <w:shd w:val="clear" w:color="auto" w:fill="BFBFBF" w:themeFill="background1" w:themeFillShade="BF"/>
          </w:tcPr>
          <w:p w14:paraId="710586FE" w14:textId="77777777" w:rsidR="00C34584" w:rsidRPr="00032C28" w:rsidRDefault="00C34584" w:rsidP="002D19E3">
            <w:pPr>
              <w:spacing w:after="0" w:line="240" w:lineRule="auto"/>
              <w:rPr>
                <w:rFonts w:ascii="Calibri" w:eastAsia="Times New Roman" w:hAnsi="Calibri" w:cs="Times New Roman"/>
                <w:color w:val="000000"/>
                <w:lang w:eastAsia="en-AU"/>
              </w:rPr>
            </w:pPr>
          </w:p>
        </w:tc>
        <w:tc>
          <w:tcPr>
            <w:tcW w:w="4111" w:type="dxa"/>
            <w:shd w:val="clear" w:color="auto" w:fill="BFBFBF" w:themeFill="background1" w:themeFillShade="BF"/>
            <w:hideMark/>
          </w:tcPr>
          <w:p w14:paraId="710586FF"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Not Applicable</w:t>
            </w:r>
          </w:p>
        </w:tc>
      </w:tr>
      <w:tr w:rsidR="00C34584" w:rsidRPr="00032C28" w14:paraId="71058704" w14:textId="77777777" w:rsidTr="005B727E">
        <w:trPr>
          <w:trHeight w:val="340"/>
        </w:trPr>
        <w:tc>
          <w:tcPr>
            <w:tcW w:w="1858" w:type="dxa"/>
            <w:tcBorders>
              <w:bottom w:val="single" w:sz="4" w:space="0" w:color="auto"/>
            </w:tcBorders>
            <w:shd w:val="clear" w:color="auto" w:fill="BFBFBF" w:themeFill="background1" w:themeFillShade="BF"/>
            <w:noWrap/>
            <w:hideMark/>
          </w:tcPr>
          <w:p w14:paraId="71058701"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Star Image Small</w:t>
            </w:r>
          </w:p>
        </w:tc>
        <w:tc>
          <w:tcPr>
            <w:tcW w:w="1843" w:type="dxa"/>
            <w:tcBorders>
              <w:bottom w:val="single" w:sz="4" w:space="0" w:color="auto"/>
            </w:tcBorders>
            <w:shd w:val="clear" w:color="auto" w:fill="BFBFBF" w:themeFill="background1" w:themeFillShade="BF"/>
          </w:tcPr>
          <w:p w14:paraId="71058702" w14:textId="77777777" w:rsidR="00C34584" w:rsidRPr="00032C28" w:rsidRDefault="00C34584" w:rsidP="002D19E3">
            <w:pPr>
              <w:spacing w:after="0" w:line="240" w:lineRule="auto"/>
              <w:rPr>
                <w:rFonts w:ascii="Calibri" w:eastAsia="Times New Roman" w:hAnsi="Calibri" w:cs="Times New Roman"/>
                <w:color w:val="000000"/>
                <w:lang w:eastAsia="en-AU"/>
              </w:rPr>
            </w:pPr>
          </w:p>
        </w:tc>
        <w:tc>
          <w:tcPr>
            <w:tcW w:w="4111" w:type="dxa"/>
            <w:tcBorders>
              <w:bottom w:val="single" w:sz="4" w:space="0" w:color="auto"/>
            </w:tcBorders>
            <w:shd w:val="clear" w:color="auto" w:fill="BFBFBF" w:themeFill="background1" w:themeFillShade="BF"/>
            <w:hideMark/>
          </w:tcPr>
          <w:p w14:paraId="71058703" w14:textId="77777777" w:rsidR="00C34584" w:rsidRPr="00032C28" w:rsidRDefault="00C34584" w:rsidP="002D19E3">
            <w:pPr>
              <w:spacing w:after="0" w:line="240" w:lineRule="auto"/>
              <w:rPr>
                <w:rFonts w:ascii="Calibri" w:eastAsia="Times New Roman" w:hAnsi="Calibri" w:cs="Times New Roman"/>
                <w:color w:val="000000"/>
                <w:lang w:eastAsia="en-AU"/>
              </w:rPr>
            </w:pPr>
            <w:r w:rsidRPr="00032C28">
              <w:rPr>
                <w:rFonts w:ascii="Calibri" w:eastAsia="Times New Roman" w:hAnsi="Calibri" w:cs="Times New Roman"/>
                <w:color w:val="000000"/>
                <w:lang w:eastAsia="en-AU"/>
              </w:rPr>
              <w:t>Not Applicable</w:t>
            </w:r>
          </w:p>
        </w:tc>
      </w:tr>
      <w:tr w:rsidR="00C34584" w:rsidRPr="00032C28" w14:paraId="71058708" w14:textId="77777777" w:rsidTr="005B727E">
        <w:trPr>
          <w:trHeight w:val="340"/>
        </w:trPr>
        <w:tc>
          <w:tcPr>
            <w:tcW w:w="1858" w:type="dxa"/>
            <w:shd w:val="clear" w:color="auto" w:fill="auto"/>
            <w:noWrap/>
          </w:tcPr>
          <w:p w14:paraId="71058705" w14:textId="77777777" w:rsidR="00C34584" w:rsidRPr="00032C28" w:rsidRDefault="00C34584" w:rsidP="002D19E3">
            <w:pPr>
              <w:spacing w:after="0" w:line="240" w:lineRule="auto"/>
              <w:rPr>
                <w:rFonts w:ascii="Calibri" w:eastAsia="Times New Roman" w:hAnsi="Calibri" w:cs="Times New Roman"/>
                <w:color w:val="000000"/>
                <w:lang w:eastAsia="en-AU"/>
              </w:rPr>
            </w:pPr>
          </w:p>
        </w:tc>
        <w:tc>
          <w:tcPr>
            <w:tcW w:w="1843" w:type="dxa"/>
            <w:shd w:val="clear" w:color="auto" w:fill="auto"/>
          </w:tcPr>
          <w:p w14:paraId="71058706" w14:textId="77777777" w:rsidR="00C34584" w:rsidRPr="00032C28" w:rsidRDefault="00C34584" w:rsidP="002D19E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Variable output compressor</w:t>
            </w:r>
          </w:p>
        </w:tc>
        <w:tc>
          <w:tcPr>
            <w:tcW w:w="4111" w:type="dxa"/>
            <w:shd w:val="clear" w:color="auto" w:fill="auto"/>
          </w:tcPr>
          <w:p w14:paraId="71058707" w14:textId="77777777" w:rsidR="00C34584" w:rsidRPr="00032C28" w:rsidRDefault="00C34584" w:rsidP="002D19E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Indicates whether the Close Control Air Conditioner has a variable output compressor. </w:t>
            </w:r>
            <w:r w:rsidR="00935D55" w:rsidRPr="00935D55">
              <w:rPr>
                <w:rFonts w:ascii="Calibri" w:eastAsia="Times New Roman" w:hAnsi="Calibri" w:cs="Times New Roman"/>
                <w:color w:val="000000"/>
                <w:lang w:eastAsia="en-AU"/>
              </w:rPr>
              <w:t>Close control air-conditioner models with a "Variable Output Compressor" have a variable speed drive, which enables the compressor to run at a range of speeds from slow to fast, to match the output required.</w:t>
            </w:r>
          </w:p>
        </w:tc>
      </w:tr>
      <w:tr w:rsidR="00935D55" w:rsidRPr="00032C28" w14:paraId="7105870C" w14:textId="77777777" w:rsidTr="005B727E">
        <w:trPr>
          <w:trHeight w:val="340"/>
        </w:trPr>
        <w:tc>
          <w:tcPr>
            <w:tcW w:w="1858" w:type="dxa"/>
            <w:shd w:val="clear" w:color="auto" w:fill="auto"/>
            <w:noWrap/>
          </w:tcPr>
          <w:p w14:paraId="71058709" w14:textId="77777777" w:rsidR="00935D55" w:rsidRPr="00032C28" w:rsidRDefault="00935D55" w:rsidP="002D19E3">
            <w:pPr>
              <w:spacing w:after="0" w:line="240" w:lineRule="auto"/>
              <w:rPr>
                <w:rFonts w:ascii="Calibri" w:eastAsia="Times New Roman" w:hAnsi="Calibri" w:cs="Times New Roman"/>
                <w:color w:val="000000"/>
                <w:lang w:eastAsia="en-AU"/>
              </w:rPr>
            </w:pPr>
          </w:p>
        </w:tc>
        <w:tc>
          <w:tcPr>
            <w:tcW w:w="1843" w:type="dxa"/>
            <w:shd w:val="clear" w:color="auto" w:fill="auto"/>
          </w:tcPr>
          <w:p w14:paraId="7105870A" w14:textId="77777777" w:rsidR="00935D55" w:rsidRDefault="00935D55" w:rsidP="002D19E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Regulator</w:t>
            </w:r>
          </w:p>
        </w:tc>
        <w:tc>
          <w:tcPr>
            <w:tcW w:w="4111" w:type="dxa"/>
            <w:shd w:val="clear" w:color="auto" w:fill="auto"/>
          </w:tcPr>
          <w:p w14:paraId="7105870B" w14:textId="77777777" w:rsidR="00935D55" w:rsidRDefault="00935D55" w:rsidP="00935D55">
            <w:pPr>
              <w:spacing w:after="0" w:line="240" w:lineRule="auto"/>
              <w:rPr>
                <w:rFonts w:ascii="Calibri" w:eastAsia="Times New Roman" w:hAnsi="Calibri" w:cs="Times New Roman"/>
                <w:color w:val="000000"/>
                <w:lang w:eastAsia="en-AU"/>
              </w:rPr>
            </w:pPr>
            <w:r w:rsidRPr="0083136C">
              <w:rPr>
                <w:rFonts w:ascii="Calibri" w:eastAsia="Times New Roman" w:hAnsi="Calibri" w:cs="Times New Roman"/>
                <w:color w:val="000000"/>
                <w:lang w:eastAsia="en-AU"/>
              </w:rPr>
              <w:t>This shows which regul</w:t>
            </w:r>
            <w:r w:rsidR="00CA4AAA">
              <w:rPr>
                <w:rFonts w:ascii="Calibri" w:eastAsia="Times New Roman" w:hAnsi="Calibri" w:cs="Times New Roman"/>
                <w:color w:val="000000"/>
                <w:lang w:eastAsia="en-AU"/>
              </w:rPr>
              <w:t>ator approved the registration. M</w:t>
            </w:r>
            <w:r w:rsidRPr="0083136C">
              <w:rPr>
                <w:rFonts w:ascii="Calibri" w:eastAsia="Times New Roman" w:hAnsi="Calibri" w:cs="Times New Roman"/>
                <w:color w:val="000000"/>
                <w:lang w:eastAsia="en-AU"/>
              </w:rPr>
              <w:t>ore information is</w:t>
            </w:r>
            <w:r>
              <w:rPr>
                <w:rFonts w:ascii="Calibri" w:eastAsia="Times New Roman" w:hAnsi="Calibri" w:cs="Times New Roman"/>
                <w:color w:val="000000"/>
                <w:lang w:eastAsia="en-AU"/>
              </w:rPr>
              <w:t xml:space="preserve"> on the</w:t>
            </w:r>
            <w:r w:rsidRPr="0083136C">
              <w:rPr>
                <w:rFonts w:ascii="Calibri" w:eastAsia="Times New Roman" w:hAnsi="Calibri" w:cs="Times New Roman"/>
                <w:color w:val="000000"/>
                <w:lang w:eastAsia="en-AU"/>
              </w:rPr>
              <w:t xml:space="preserve"> </w:t>
            </w:r>
            <w:hyperlink r:id="rId7" w:tooltip="Registration information" w:history="1">
              <w:r>
                <w:rPr>
                  <w:rStyle w:val="Hyperlink"/>
                  <w:rFonts w:ascii="Calibri" w:eastAsia="Times New Roman" w:hAnsi="Calibri" w:cs="Times New Roman"/>
                  <w:lang w:eastAsia="en-AU"/>
                </w:rPr>
                <w:t>Energy Rating website</w:t>
              </w:r>
            </w:hyperlink>
            <w:r w:rsidRPr="0083136C">
              <w:rPr>
                <w:rFonts w:ascii="Calibri" w:eastAsia="Times New Roman" w:hAnsi="Calibri" w:cs="Times New Roman"/>
                <w:color w:val="000000"/>
                <w:lang w:eastAsia="en-AU"/>
              </w:rPr>
              <w:t>.</w:t>
            </w:r>
          </w:p>
        </w:tc>
      </w:tr>
      <w:tr w:rsidR="00935D55" w:rsidRPr="00032C28" w14:paraId="71058710" w14:textId="77777777" w:rsidTr="005B727E">
        <w:trPr>
          <w:trHeight w:val="340"/>
        </w:trPr>
        <w:tc>
          <w:tcPr>
            <w:tcW w:w="1858" w:type="dxa"/>
            <w:shd w:val="clear" w:color="auto" w:fill="auto"/>
            <w:noWrap/>
          </w:tcPr>
          <w:p w14:paraId="7105870D" w14:textId="77777777" w:rsidR="00935D55" w:rsidRPr="00032C28" w:rsidRDefault="00935D55" w:rsidP="002D19E3">
            <w:pPr>
              <w:spacing w:after="0" w:line="240" w:lineRule="auto"/>
              <w:rPr>
                <w:rFonts w:ascii="Calibri" w:eastAsia="Times New Roman" w:hAnsi="Calibri" w:cs="Times New Roman"/>
                <w:color w:val="000000"/>
                <w:lang w:eastAsia="en-AU"/>
              </w:rPr>
            </w:pPr>
          </w:p>
        </w:tc>
        <w:tc>
          <w:tcPr>
            <w:tcW w:w="1843" w:type="dxa"/>
            <w:shd w:val="clear" w:color="auto" w:fill="auto"/>
          </w:tcPr>
          <w:p w14:paraId="7105870E" w14:textId="77777777" w:rsidR="00935D55" w:rsidRDefault="00935D55" w:rsidP="002D19E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Expiry date</w:t>
            </w:r>
          </w:p>
        </w:tc>
        <w:tc>
          <w:tcPr>
            <w:tcW w:w="4111" w:type="dxa"/>
            <w:shd w:val="clear" w:color="auto" w:fill="auto"/>
          </w:tcPr>
          <w:p w14:paraId="7105870F" w14:textId="77777777" w:rsidR="00935D55" w:rsidRDefault="00935D55" w:rsidP="002D19E3">
            <w:pPr>
              <w:spacing w:after="0" w:line="240" w:lineRule="auto"/>
              <w:rPr>
                <w:rFonts w:ascii="Calibri" w:eastAsia="Times New Roman" w:hAnsi="Calibri" w:cs="Times New Roman"/>
                <w:color w:val="000000"/>
                <w:lang w:eastAsia="en-AU"/>
              </w:rPr>
            </w:pPr>
            <w:r w:rsidRPr="00AA2073">
              <w:rPr>
                <w:rFonts w:ascii="Calibri" w:eastAsia="Times New Roman" w:hAnsi="Calibri" w:cs="Times New Roman"/>
                <w:color w:val="000000"/>
                <w:lang w:eastAsia="en-AU"/>
              </w:rPr>
              <w:t>This is the date that the product's registration will expire</w:t>
            </w:r>
            <w:r>
              <w:rPr>
                <w:rFonts w:ascii="Calibri" w:eastAsia="Times New Roman" w:hAnsi="Calibri" w:cs="Times New Roman"/>
                <w:color w:val="000000"/>
                <w:lang w:eastAsia="en-AU"/>
              </w:rPr>
              <w:t>.</w:t>
            </w:r>
          </w:p>
        </w:tc>
      </w:tr>
      <w:tr w:rsidR="00935D55" w:rsidRPr="00032C28" w14:paraId="71058714" w14:textId="77777777" w:rsidTr="005B727E">
        <w:trPr>
          <w:trHeight w:val="340"/>
        </w:trPr>
        <w:tc>
          <w:tcPr>
            <w:tcW w:w="1858" w:type="dxa"/>
            <w:shd w:val="clear" w:color="auto" w:fill="auto"/>
            <w:noWrap/>
          </w:tcPr>
          <w:p w14:paraId="71058711" w14:textId="77777777" w:rsidR="00935D55" w:rsidRPr="00032C28" w:rsidRDefault="00935D55" w:rsidP="002D19E3">
            <w:pPr>
              <w:spacing w:after="0" w:line="240" w:lineRule="auto"/>
              <w:rPr>
                <w:rFonts w:ascii="Calibri" w:eastAsia="Times New Roman" w:hAnsi="Calibri" w:cs="Times New Roman"/>
                <w:color w:val="000000"/>
                <w:lang w:eastAsia="en-AU"/>
              </w:rPr>
            </w:pPr>
          </w:p>
        </w:tc>
        <w:tc>
          <w:tcPr>
            <w:tcW w:w="1843" w:type="dxa"/>
            <w:shd w:val="clear" w:color="auto" w:fill="auto"/>
          </w:tcPr>
          <w:p w14:paraId="71058712" w14:textId="77777777" w:rsidR="00935D55" w:rsidRDefault="00935D55" w:rsidP="002D19E3">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Registration Number</w:t>
            </w:r>
          </w:p>
        </w:tc>
        <w:tc>
          <w:tcPr>
            <w:tcW w:w="4111" w:type="dxa"/>
            <w:shd w:val="clear" w:color="auto" w:fill="auto"/>
          </w:tcPr>
          <w:p w14:paraId="71058713" w14:textId="77777777" w:rsidR="00935D55" w:rsidRDefault="00935D55" w:rsidP="002D19E3">
            <w:pPr>
              <w:spacing w:after="0" w:line="240" w:lineRule="auto"/>
              <w:rPr>
                <w:rFonts w:ascii="Calibri" w:eastAsia="Times New Roman" w:hAnsi="Calibri" w:cs="Times New Roman"/>
                <w:color w:val="000000"/>
                <w:lang w:eastAsia="en-AU"/>
              </w:rPr>
            </w:pPr>
            <w:r w:rsidRPr="00006D93">
              <w:rPr>
                <w:rFonts w:ascii="Calibri" w:eastAsia="Times New Roman" w:hAnsi="Calibri" w:cs="Times New Roman"/>
                <w:color w:val="000000"/>
                <w:lang w:eastAsia="en-AU"/>
              </w:rPr>
              <w:t>This is the unique registration number for the product and is taken from the GEMS product database</w:t>
            </w:r>
            <w:r>
              <w:rPr>
                <w:rFonts w:ascii="Calibri" w:eastAsia="Times New Roman" w:hAnsi="Calibri" w:cs="Times New Roman"/>
                <w:color w:val="000000"/>
                <w:lang w:eastAsia="en-AU"/>
              </w:rPr>
              <w:t>.</w:t>
            </w:r>
          </w:p>
        </w:tc>
      </w:tr>
    </w:tbl>
    <w:p w14:paraId="71058715" w14:textId="77777777" w:rsidR="00C34584" w:rsidRPr="00032C28" w:rsidRDefault="00C34584" w:rsidP="00C34584"/>
    <w:p w14:paraId="71058716" w14:textId="77777777" w:rsidR="0018243F" w:rsidRPr="00CA7A02" w:rsidRDefault="0018243F" w:rsidP="00CA7A02"/>
    <w:sectPr w:rsidR="0018243F" w:rsidRPr="00CA7A02" w:rsidSect="00E94E9C">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B3AF2" w14:textId="77777777" w:rsidR="005A350C" w:rsidRDefault="005A350C" w:rsidP="006A24F7">
      <w:pPr>
        <w:spacing w:after="0" w:line="240" w:lineRule="auto"/>
      </w:pPr>
      <w:r>
        <w:separator/>
      </w:r>
    </w:p>
  </w:endnote>
  <w:endnote w:type="continuationSeparator" w:id="0">
    <w:p w14:paraId="20F042E4" w14:textId="77777777" w:rsidR="005A350C" w:rsidRDefault="005A350C" w:rsidP="006A2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5871B" w14:textId="77777777" w:rsidR="00397EE4" w:rsidRPr="00397EE4" w:rsidRDefault="006A24F7" w:rsidP="00397EE4">
    <w:pPr>
      <w:pStyle w:val="Footer"/>
      <w:jc w:val="right"/>
      <w:rPr>
        <w:i/>
      </w:rPr>
    </w:pPr>
    <w:r w:rsidRPr="00EF26D0">
      <w:rPr>
        <w:b/>
        <w:i/>
      </w:rPr>
      <w:t>Updated</w:t>
    </w:r>
    <w:r>
      <w:rPr>
        <w:i/>
      </w:rPr>
      <w:t>:</w:t>
    </w:r>
    <w:r w:rsidRPr="00EF26D0">
      <w:rPr>
        <w:i/>
      </w:rPr>
      <w:t xml:space="preserve"> </w:t>
    </w:r>
    <w:r>
      <w:rPr>
        <w:i/>
      </w:rPr>
      <w:t>November</w:t>
    </w:r>
    <w:r w:rsidRPr="00EF26D0">
      <w:rPr>
        <w:i/>
      </w:rPr>
      <w:t xml:space="preserve">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663ED" w14:textId="77777777" w:rsidR="005A350C" w:rsidRDefault="005A350C" w:rsidP="006A24F7">
      <w:pPr>
        <w:spacing w:after="0" w:line="240" w:lineRule="auto"/>
      </w:pPr>
      <w:r>
        <w:separator/>
      </w:r>
    </w:p>
  </w:footnote>
  <w:footnote w:type="continuationSeparator" w:id="0">
    <w:p w14:paraId="7FD3FD06" w14:textId="77777777" w:rsidR="005A350C" w:rsidRDefault="005A350C" w:rsidP="006A24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4584"/>
    <w:rsid w:val="0018243F"/>
    <w:rsid w:val="004B566E"/>
    <w:rsid w:val="0050607E"/>
    <w:rsid w:val="005A350C"/>
    <w:rsid w:val="005B727E"/>
    <w:rsid w:val="006A24F7"/>
    <w:rsid w:val="0079419A"/>
    <w:rsid w:val="00935D55"/>
    <w:rsid w:val="00AA6692"/>
    <w:rsid w:val="00C34584"/>
    <w:rsid w:val="00CA4AAA"/>
    <w:rsid w:val="00CA7A02"/>
    <w:rsid w:val="00D41027"/>
    <w:rsid w:val="00E94E9C"/>
    <w:rsid w:val="00FB7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86AB"/>
  <w15:docId w15:val="{C913CFFC-109F-465A-8ECE-41DB6BAE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584"/>
  </w:style>
  <w:style w:type="paragraph" w:styleId="Heading1">
    <w:name w:val="heading 1"/>
    <w:basedOn w:val="Normal"/>
    <w:next w:val="Normal"/>
    <w:link w:val="Heading1Char"/>
    <w:uiPriority w:val="9"/>
    <w:qFormat/>
    <w:rsid w:val="00C345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E9C"/>
    <w:rPr>
      <w:rFonts w:ascii="Tahoma" w:hAnsi="Tahoma" w:cs="Tahoma"/>
      <w:sz w:val="16"/>
      <w:szCs w:val="16"/>
    </w:rPr>
  </w:style>
  <w:style w:type="character" w:customStyle="1" w:styleId="Heading1Char">
    <w:name w:val="Heading 1 Char"/>
    <w:basedOn w:val="DefaultParagraphFont"/>
    <w:link w:val="Heading1"/>
    <w:uiPriority w:val="9"/>
    <w:rsid w:val="00C34584"/>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C34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584"/>
  </w:style>
  <w:style w:type="character" w:styleId="Hyperlink">
    <w:name w:val="Hyperlink"/>
    <w:basedOn w:val="DefaultParagraphFont"/>
    <w:uiPriority w:val="99"/>
    <w:unhideWhenUsed/>
    <w:rsid w:val="00C34584"/>
    <w:rPr>
      <w:color w:val="0000FF" w:themeColor="hyperlink"/>
      <w:u w:val="single"/>
    </w:rPr>
  </w:style>
  <w:style w:type="character" w:styleId="FollowedHyperlink">
    <w:name w:val="FollowedHyperlink"/>
    <w:basedOn w:val="DefaultParagraphFont"/>
    <w:uiPriority w:val="99"/>
    <w:semiHidden/>
    <w:unhideWhenUsed/>
    <w:rsid w:val="00935D55"/>
    <w:rPr>
      <w:color w:val="800080" w:themeColor="followedHyperlink"/>
      <w:u w:val="single"/>
    </w:rPr>
  </w:style>
  <w:style w:type="paragraph" w:styleId="Header">
    <w:name w:val="header"/>
    <w:basedOn w:val="Normal"/>
    <w:link w:val="HeaderChar"/>
    <w:uiPriority w:val="99"/>
    <w:unhideWhenUsed/>
    <w:rsid w:val="006A2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energyrating.gov.au/suppliers/registr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g.energyrating.gov.au/comparator/product_types/60/search/"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INDUSTRY</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 Kellee</dc:creator>
  <cp:lastModifiedBy>Michelle Gay</cp:lastModifiedBy>
  <cp:revision>3</cp:revision>
  <cp:lastPrinted>2014-09-15T06:30:00Z</cp:lastPrinted>
  <dcterms:created xsi:type="dcterms:W3CDTF">2015-11-08T23:24:00Z</dcterms:created>
  <dcterms:modified xsi:type="dcterms:W3CDTF">2020-09-24T12:19:00Z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ies>
</file>