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437CE" w14:textId="5322FF23" w:rsidR="00977718" w:rsidRPr="00977718" w:rsidRDefault="00977718" w:rsidP="00977718">
      <w:pPr>
        <w:spacing w:beforeLines="100" w:before="312"/>
        <w:ind w:firstLineChars="0" w:firstLine="0"/>
        <w:jc w:val="center"/>
        <w:rPr>
          <w:b/>
          <w:bCs/>
          <w:sz w:val="36"/>
          <w:szCs w:val="44"/>
        </w:rPr>
      </w:pPr>
      <w:r w:rsidRPr="00977718">
        <w:rPr>
          <w:b/>
          <w:bCs/>
          <w:sz w:val="36"/>
          <w:szCs w:val="44"/>
        </w:rPr>
        <w:t>Annotation Guideline</w:t>
      </w:r>
    </w:p>
    <w:p w14:paraId="7A5DD0AB" w14:textId="77777777" w:rsidR="00977718" w:rsidRPr="0075378A" w:rsidRDefault="00977718" w:rsidP="00977718">
      <w:pPr>
        <w:pStyle w:val="2"/>
        <w:numPr>
          <w:ilvl w:val="0"/>
          <w:numId w:val="0"/>
        </w:numPr>
      </w:pPr>
      <w:r>
        <w:t>Description of Annotation Task</w:t>
      </w:r>
    </w:p>
    <w:p w14:paraId="7C1B3378" w14:textId="77777777" w:rsidR="00977718" w:rsidRPr="00201ECF" w:rsidRDefault="00977718" w:rsidP="00977718">
      <w:pPr>
        <w:ind w:firstLineChars="0" w:firstLine="0"/>
        <w:rPr>
          <w:rFonts w:cs="Times New Roman"/>
          <w:szCs w:val="20"/>
        </w:rPr>
      </w:pPr>
      <w:r>
        <w:rPr>
          <w:rFonts w:cs="Times New Roman" w:hint="eastAsia"/>
          <w:szCs w:val="20"/>
        </w:rPr>
        <w:t>T</w:t>
      </w:r>
      <w:r>
        <w:rPr>
          <w:rFonts w:cs="Times New Roman"/>
          <w:szCs w:val="20"/>
        </w:rPr>
        <w:t>his annotation guideline is about labeling issues in task of citation recommendation based on argumentative zoning of user queries. To make full use of semantic information containing in user query, we need to construct a dataset with pairs of labeled citing sentences and corresponding citation. This guideline mainly introduces the methods that how to label each user query with a specific argumentative category defined in this paper.</w:t>
      </w:r>
    </w:p>
    <w:p w14:paraId="3A926C78" w14:textId="77777777" w:rsidR="00977718" w:rsidRDefault="00977718" w:rsidP="00977718">
      <w:pPr>
        <w:ind w:firstLine="200"/>
        <w:rPr>
          <w:rFonts w:cs="Times New Roman"/>
          <w:szCs w:val="20"/>
        </w:rPr>
      </w:pPr>
      <w:r>
        <w:rPr>
          <w:rFonts w:cs="Times New Roman" w:hint="eastAsia"/>
          <w:szCs w:val="20"/>
        </w:rPr>
        <w:t>W</w:t>
      </w:r>
      <w:r>
        <w:rPr>
          <w:rFonts w:cs="Times New Roman"/>
          <w:szCs w:val="20"/>
        </w:rPr>
        <w:t xml:space="preserve">hen investigating the categories of user query, we </w:t>
      </w:r>
      <w:r>
        <w:rPr>
          <w:rFonts w:cs="Times New Roman" w:hint="eastAsia"/>
          <w:szCs w:val="20"/>
        </w:rPr>
        <w:t>conduct</w:t>
      </w:r>
      <w:r>
        <w:rPr>
          <w:rFonts w:cs="Times New Roman"/>
          <w:szCs w:val="20"/>
        </w:rPr>
        <w:t xml:space="preserve"> the literature survey about scientific text argumentative zoning and citation function classification. Our scheme is derived from these two areas of </w:t>
      </w:r>
      <w:proofErr w:type="gramStart"/>
      <w:r>
        <w:rPr>
          <w:rFonts w:cs="Times New Roman"/>
          <w:szCs w:val="20"/>
        </w:rPr>
        <w:t>researches</w:t>
      </w:r>
      <w:proofErr w:type="gramEnd"/>
      <w:r>
        <w:rPr>
          <w:rFonts w:cs="Times New Roman"/>
          <w:szCs w:val="20"/>
        </w:rPr>
        <w:t>.</w:t>
      </w:r>
      <w:r>
        <w:rPr>
          <w:rFonts w:cs="Times New Roman" w:hint="eastAsia"/>
          <w:szCs w:val="20"/>
        </w:rPr>
        <w:t xml:space="preserve"> </w:t>
      </w:r>
      <w:r>
        <w:rPr>
          <w:rFonts w:cs="Times New Roman"/>
          <w:szCs w:val="20"/>
        </w:rPr>
        <w:t>By further pre-labeling the sample data, we proposed the classification scheme shown in Table B.1 below:</w:t>
      </w:r>
    </w:p>
    <w:p w14:paraId="1E580466" w14:textId="77777777" w:rsidR="00977718" w:rsidRDefault="00977718" w:rsidP="00977718">
      <w:pPr>
        <w:ind w:firstLine="200"/>
        <w:jc w:val="center"/>
        <w:rPr>
          <w:rFonts w:cs="Times New Roman"/>
        </w:rPr>
      </w:pPr>
      <w:r>
        <w:rPr>
          <w:rFonts w:cs="Times New Roman" w:hint="eastAsia"/>
        </w:rPr>
        <w:t>T</w:t>
      </w:r>
      <w:r>
        <w:rPr>
          <w:rFonts w:cs="Times New Roman"/>
        </w:rPr>
        <w:t>able B.1 Classification Scheme of User Queries</w:t>
      </w:r>
    </w:p>
    <w:tbl>
      <w:tblPr>
        <w:tblStyle w:val="a7"/>
        <w:tblW w:w="6941" w:type="dxa"/>
        <w:tblLook w:val="04A0" w:firstRow="1" w:lastRow="0" w:firstColumn="1" w:lastColumn="0" w:noHBand="0" w:noVBand="1"/>
      </w:tblPr>
      <w:tblGrid>
        <w:gridCol w:w="1026"/>
        <w:gridCol w:w="5915"/>
      </w:tblGrid>
      <w:tr w:rsidR="00977718" w14:paraId="1022C77D" w14:textId="77777777" w:rsidTr="005F64C8">
        <w:trPr>
          <w:trHeight w:val="356"/>
        </w:trPr>
        <w:tc>
          <w:tcPr>
            <w:tcW w:w="1026" w:type="dxa"/>
            <w:tcMar>
              <w:left w:w="28" w:type="dxa"/>
              <w:right w:w="28" w:type="dxa"/>
            </w:tcMar>
            <w:vAlign w:val="center"/>
          </w:tcPr>
          <w:p w14:paraId="31AD7780" w14:textId="77777777" w:rsidR="00977718" w:rsidRPr="00F6169F" w:rsidRDefault="00977718" w:rsidP="005F64C8">
            <w:pPr>
              <w:ind w:firstLineChars="0" w:firstLine="0"/>
              <w:rPr>
                <w:rFonts w:cs="Times New Roman"/>
                <w:szCs w:val="20"/>
              </w:rPr>
            </w:pPr>
            <w:r w:rsidRPr="00F6169F">
              <w:rPr>
                <w:rFonts w:cs="Times New Roman" w:hint="eastAsia"/>
                <w:szCs w:val="20"/>
              </w:rPr>
              <w:t>C</w:t>
            </w:r>
            <w:r w:rsidRPr="00F6169F">
              <w:rPr>
                <w:rFonts w:cs="Times New Roman"/>
                <w:szCs w:val="20"/>
              </w:rPr>
              <w:t>ategory</w:t>
            </w:r>
          </w:p>
        </w:tc>
        <w:tc>
          <w:tcPr>
            <w:tcW w:w="5915" w:type="dxa"/>
            <w:tcMar>
              <w:left w:w="28" w:type="dxa"/>
              <w:right w:w="28" w:type="dxa"/>
            </w:tcMar>
            <w:vAlign w:val="center"/>
          </w:tcPr>
          <w:p w14:paraId="66CE370C" w14:textId="77777777" w:rsidR="00977718" w:rsidRPr="00F6169F" w:rsidRDefault="00977718" w:rsidP="005F64C8">
            <w:pPr>
              <w:ind w:firstLineChars="0" w:firstLine="0"/>
              <w:rPr>
                <w:rFonts w:cs="Times New Roman"/>
                <w:szCs w:val="20"/>
              </w:rPr>
            </w:pPr>
            <w:r w:rsidRPr="00F6169F">
              <w:rPr>
                <w:rFonts w:cs="Times New Roman" w:hint="eastAsia"/>
                <w:szCs w:val="20"/>
              </w:rPr>
              <w:t>D</w:t>
            </w:r>
            <w:r w:rsidRPr="00F6169F">
              <w:rPr>
                <w:rFonts w:cs="Times New Roman"/>
                <w:szCs w:val="20"/>
              </w:rPr>
              <w:t>escription</w:t>
            </w:r>
          </w:p>
        </w:tc>
      </w:tr>
      <w:tr w:rsidR="00977718" w14:paraId="0B275137" w14:textId="77777777" w:rsidTr="005F64C8">
        <w:trPr>
          <w:trHeight w:val="760"/>
        </w:trPr>
        <w:tc>
          <w:tcPr>
            <w:tcW w:w="1026" w:type="dxa"/>
            <w:tcMar>
              <w:left w:w="28" w:type="dxa"/>
              <w:right w:w="28" w:type="dxa"/>
            </w:tcMar>
            <w:vAlign w:val="center"/>
          </w:tcPr>
          <w:p w14:paraId="214BD11E" w14:textId="77777777" w:rsidR="00977718" w:rsidRPr="00F6169F" w:rsidRDefault="00977718" w:rsidP="005F64C8">
            <w:pPr>
              <w:ind w:firstLineChars="0" w:firstLine="0"/>
              <w:rPr>
                <w:rFonts w:cs="Times New Roman"/>
                <w:szCs w:val="20"/>
              </w:rPr>
            </w:pPr>
            <w:r w:rsidRPr="00F6169F">
              <w:rPr>
                <w:rFonts w:cs="Times New Roman" w:hint="eastAsia"/>
                <w:szCs w:val="20"/>
              </w:rPr>
              <w:t>M</w:t>
            </w:r>
            <w:r w:rsidRPr="00F6169F">
              <w:rPr>
                <w:rFonts w:cs="Times New Roman"/>
                <w:szCs w:val="20"/>
              </w:rPr>
              <w:t>ethod</w:t>
            </w:r>
          </w:p>
        </w:tc>
        <w:tc>
          <w:tcPr>
            <w:tcW w:w="5915" w:type="dxa"/>
            <w:tcMar>
              <w:left w:w="28" w:type="dxa"/>
              <w:right w:w="28" w:type="dxa"/>
            </w:tcMar>
            <w:vAlign w:val="center"/>
          </w:tcPr>
          <w:p w14:paraId="74A2230B" w14:textId="77777777" w:rsidR="00977718" w:rsidRPr="00F6169F" w:rsidRDefault="00977718" w:rsidP="005F64C8">
            <w:pPr>
              <w:ind w:firstLineChars="0" w:firstLine="0"/>
              <w:rPr>
                <w:rFonts w:cs="Times New Roman"/>
                <w:szCs w:val="20"/>
              </w:rPr>
            </w:pPr>
            <w:r w:rsidRPr="00F6169F">
              <w:rPr>
                <w:rFonts w:cs="Times New Roman"/>
                <w:szCs w:val="20"/>
              </w:rPr>
              <w:t>A description of the methods used in the research process. The methods here can refer to information such as experimental methods, procedures, data, information resources, tools, parameters, formats, standards, protocols, models, etc.</w:t>
            </w:r>
          </w:p>
        </w:tc>
      </w:tr>
      <w:tr w:rsidR="00977718" w14:paraId="625F2F31" w14:textId="77777777" w:rsidTr="005F64C8">
        <w:tc>
          <w:tcPr>
            <w:tcW w:w="1026" w:type="dxa"/>
            <w:tcMar>
              <w:left w:w="28" w:type="dxa"/>
              <w:right w:w="28" w:type="dxa"/>
            </w:tcMar>
            <w:vAlign w:val="center"/>
          </w:tcPr>
          <w:p w14:paraId="7E6353F6" w14:textId="77777777" w:rsidR="00977718" w:rsidRPr="00F6169F" w:rsidRDefault="00977718" w:rsidP="005F64C8">
            <w:pPr>
              <w:ind w:firstLineChars="0" w:firstLine="0"/>
              <w:rPr>
                <w:rFonts w:cs="Times New Roman"/>
                <w:szCs w:val="20"/>
              </w:rPr>
            </w:pPr>
            <w:r w:rsidRPr="00F6169F">
              <w:rPr>
                <w:rFonts w:cs="Times New Roman"/>
                <w:szCs w:val="20"/>
              </w:rPr>
              <w:t>Conclusion</w:t>
            </w:r>
          </w:p>
        </w:tc>
        <w:tc>
          <w:tcPr>
            <w:tcW w:w="5915" w:type="dxa"/>
            <w:tcMar>
              <w:left w:w="28" w:type="dxa"/>
              <w:right w:w="28" w:type="dxa"/>
            </w:tcMar>
            <w:vAlign w:val="center"/>
          </w:tcPr>
          <w:p w14:paraId="43991248" w14:textId="77777777" w:rsidR="00977718" w:rsidRPr="00F6169F" w:rsidRDefault="00977718" w:rsidP="005F64C8">
            <w:pPr>
              <w:ind w:firstLineChars="0" w:firstLine="0"/>
              <w:rPr>
                <w:rFonts w:cs="Times New Roman"/>
                <w:szCs w:val="20"/>
              </w:rPr>
            </w:pPr>
            <w:r w:rsidRPr="00F6169F">
              <w:rPr>
                <w:rFonts w:cs="Times New Roman"/>
                <w:szCs w:val="20"/>
              </w:rPr>
              <w:t>Conclusions based on experimental results and experimental phenomena.</w:t>
            </w:r>
          </w:p>
        </w:tc>
      </w:tr>
      <w:tr w:rsidR="00977718" w14:paraId="2FEA5CE7" w14:textId="77777777" w:rsidTr="005F64C8">
        <w:tc>
          <w:tcPr>
            <w:tcW w:w="1026" w:type="dxa"/>
            <w:tcMar>
              <w:left w:w="28" w:type="dxa"/>
              <w:right w:w="28" w:type="dxa"/>
            </w:tcMar>
            <w:vAlign w:val="center"/>
          </w:tcPr>
          <w:p w14:paraId="78A25F3C" w14:textId="77777777" w:rsidR="00977718" w:rsidRPr="00F6169F" w:rsidRDefault="00977718" w:rsidP="005F64C8">
            <w:pPr>
              <w:ind w:firstLineChars="0" w:firstLine="0"/>
              <w:rPr>
                <w:rFonts w:cs="Times New Roman"/>
                <w:szCs w:val="20"/>
              </w:rPr>
            </w:pPr>
            <w:r w:rsidRPr="00F6169F">
              <w:rPr>
                <w:rFonts w:cs="Times New Roman"/>
                <w:szCs w:val="20"/>
              </w:rPr>
              <w:t>Goal</w:t>
            </w:r>
          </w:p>
        </w:tc>
        <w:tc>
          <w:tcPr>
            <w:tcW w:w="5915" w:type="dxa"/>
            <w:tcMar>
              <w:left w:w="28" w:type="dxa"/>
              <w:right w:w="28" w:type="dxa"/>
            </w:tcMar>
            <w:vAlign w:val="center"/>
          </w:tcPr>
          <w:p w14:paraId="082C8B58" w14:textId="77777777" w:rsidR="00977718" w:rsidRPr="00F6169F" w:rsidRDefault="00977718" w:rsidP="005F64C8">
            <w:pPr>
              <w:ind w:firstLineChars="0" w:firstLine="0"/>
              <w:rPr>
                <w:rFonts w:cs="Times New Roman"/>
                <w:szCs w:val="20"/>
              </w:rPr>
            </w:pPr>
            <w:r w:rsidRPr="00F6169F">
              <w:rPr>
                <w:rFonts w:cs="Times New Roman"/>
                <w:szCs w:val="20"/>
              </w:rPr>
              <w:t>A description of the research goal or an introduction to the research.</w:t>
            </w:r>
          </w:p>
        </w:tc>
      </w:tr>
      <w:tr w:rsidR="00977718" w14:paraId="6A9108D2" w14:textId="77777777" w:rsidTr="005F64C8">
        <w:tc>
          <w:tcPr>
            <w:tcW w:w="1026" w:type="dxa"/>
            <w:tcMar>
              <w:left w:w="28" w:type="dxa"/>
              <w:right w:w="28" w:type="dxa"/>
            </w:tcMar>
            <w:vAlign w:val="center"/>
          </w:tcPr>
          <w:p w14:paraId="4CFACAA8" w14:textId="77777777" w:rsidR="00977718" w:rsidRPr="00F6169F" w:rsidRDefault="00977718" w:rsidP="005F64C8">
            <w:pPr>
              <w:ind w:firstLineChars="0" w:firstLine="0"/>
              <w:rPr>
                <w:rFonts w:cs="Times New Roman"/>
                <w:szCs w:val="20"/>
              </w:rPr>
            </w:pPr>
            <w:r w:rsidRPr="00F6169F">
              <w:rPr>
                <w:rFonts w:cs="Times New Roman"/>
                <w:szCs w:val="20"/>
              </w:rPr>
              <w:t>Object</w:t>
            </w:r>
          </w:p>
        </w:tc>
        <w:tc>
          <w:tcPr>
            <w:tcW w:w="5915" w:type="dxa"/>
            <w:tcMar>
              <w:left w:w="28" w:type="dxa"/>
              <w:right w:w="28" w:type="dxa"/>
            </w:tcMar>
            <w:vAlign w:val="center"/>
          </w:tcPr>
          <w:p w14:paraId="4C3D6679" w14:textId="77777777" w:rsidR="00977718" w:rsidRPr="00F6169F" w:rsidRDefault="00977718" w:rsidP="005F64C8">
            <w:pPr>
              <w:ind w:firstLineChars="0" w:firstLine="0"/>
              <w:rPr>
                <w:rFonts w:cs="Times New Roman"/>
                <w:szCs w:val="20"/>
              </w:rPr>
            </w:pPr>
            <w:r w:rsidRPr="00F6169F">
              <w:rPr>
                <w:rFonts w:cs="Times New Roman"/>
                <w:szCs w:val="20"/>
              </w:rPr>
              <w:t>Explanation or introduction of a research object or topic.</w:t>
            </w:r>
          </w:p>
        </w:tc>
      </w:tr>
    </w:tbl>
    <w:p w14:paraId="590C4A76" w14:textId="77777777" w:rsidR="00977718" w:rsidRPr="00171D52" w:rsidRDefault="00977718" w:rsidP="00977718">
      <w:pPr>
        <w:pStyle w:val="2"/>
        <w:numPr>
          <w:ilvl w:val="0"/>
          <w:numId w:val="0"/>
        </w:numPr>
      </w:pPr>
      <w:r>
        <w:t xml:space="preserve">Rules </w:t>
      </w:r>
      <w:r w:rsidRPr="00171D52">
        <w:t>for Argumentative Category Recognition</w:t>
      </w:r>
    </w:p>
    <w:p w14:paraId="47917978" w14:textId="77777777" w:rsidR="00977718" w:rsidRDefault="00977718" w:rsidP="00977718">
      <w:pPr>
        <w:ind w:firstLineChars="0" w:firstLine="0"/>
        <w:rPr>
          <w:rFonts w:cs="Times New Roman"/>
          <w:szCs w:val="20"/>
        </w:rPr>
      </w:pPr>
      <w:r>
        <w:rPr>
          <w:rFonts w:cs="Times New Roman" w:hint="eastAsia"/>
          <w:szCs w:val="20"/>
        </w:rPr>
        <w:t>T</w:t>
      </w:r>
      <w:r>
        <w:rPr>
          <w:rFonts w:cs="Times New Roman"/>
          <w:szCs w:val="20"/>
        </w:rPr>
        <w:t xml:space="preserve">he formulation of annotation rules is an important step before data annotation. It can not only give the definition of each category, but also provide guidance and assistant for annotators to standardize and improve the quality and efficiency of annotation process. Before labeling, we firstly give the specific labeling rules for each category. </w:t>
      </w:r>
    </w:p>
    <w:p w14:paraId="32EDB9F3" w14:textId="77777777" w:rsidR="00977718" w:rsidRDefault="00977718" w:rsidP="00977718">
      <w:pPr>
        <w:ind w:firstLine="200"/>
        <w:rPr>
          <w:rFonts w:cs="Times New Roman"/>
          <w:szCs w:val="20"/>
        </w:rPr>
      </w:pPr>
      <w:r>
        <w:rPr>
          <w:rFonts w:cs="Times New Roman" w:hint="eastAsia"/>
          <w:szCs w:val="20"/>
        </w:rPr>
        <w:t>B</w:t>
      </w:r>
      <w:r>
        <w:rPr>
          <w:rFonts w:cs="Times New Roman"/>
          <w:szCs w:val="20"/>
        </w:rPr>
        <w:t xml:space="preserve">asically, there are two kinds of cues for annotators to use. First is the semantic information of citation context. For each citing sentence, we replace the citation placeholder with string </w:t>
      </w:r>
      <w:r w:rsidRPr="00171D52">
        <w:rPr>
          <w:rFonts w:cs="Times New Roman"/>
          <w:i/>
          <w:iCs/>
          <w:szCs w:val="20"/>
        </w:rPr>
        <w:t>[CITE]</w:t>
      </w:r>
      <w:r>
        <w:rPr>
          <w:rFonts w:cs="Times New Roman"/>
          <w:szCs w:val="20"/>
        </w:rPr>
        <w:t xml:space="preserve">. Therefore, annotators can make full usage of the contextual information during labeling. The second cue is clue words and sentence templates. </w:t>
      </w:r>
      <w:r>
        <w:rPr>
          <w:rFonts w:cs="Times New Roman" w:hint="eastAsia"/>
          <w:szCs w:val="20"/>
        </w:rPr>
        <w:t>F</w:t>
      </w:r>
      <w:r>
        <w:rPr>
          <w:rFonts w:cs="Times New Roman"/>
          <w:szCs w:val="20"/>
        </w:rPr>
        <w:t>or each argumentative category, we tried to list some typical words and sentences pattens which can be clues for annotation. The given suggestion may be incomplete, annotators need to make judgements based on their own situation. When labeling the category of Conclusion, Goal and Object, and distinguishing between two different categories that containing in the same sentence, we suggest annotating the data mainly based on the sentence templates.</w:t>
      </w:r>
    </w:p>
    <w:p w14:paraId="65037272" w14:textId="77777777" w:rsidR="00977718" w:rsidRDefault="00977718" w:rsidP="00977718">
      <w:pPr>
        <w:ind w:firstLine="200"/>
        <w:rPr>
          <w:rFonts w:cs="Times New Roman"/>
          <w:szCs w:val="20"/>
        </w:rPr>
      </w:pPr>
      <w:r w:rsidRPr="00D31995">
        <w:rPr>
          <w:rFonts w:cs="Times New Roman"/>
          <w:szCs w:val="20"/>
        </w:rPr>
        <w:t xml:space="preserve">Normally, there should only be one category for one citing sentence. If the citing sentence covers several categories, which can not be classified clearly based on the </w:t>
      </w:r>
      <w:r w:rsidRPr="00D31995">
        <w:rPr>
          <w:rFonts w:cs="Times New Roman"/>
          <w:szCs w:val="20"/>
        </w:rPr>
        <w:lastRenderedPageBreak/>
        <w:t>annotation guideline, we ask the annotator to skip the sentence.</w:t>
      </w:r>
    </w:p>
    <w:p w14:paraId="504A7114" w14:textId="77777777" w:rsidR="00977718" w:rsidRPr="00D31995" w:rsidRDefault="00977718" w:rsidP="00977718">
      <w:pPr>
        <w:pStyle w:val="2"/>
        <w:numPr>
          <w:ilvl w:val="0"/>
          <w:numId w:val="0"/>
        </w:numPr>
      </w:pPr>
      <w:r>
        <w:t xml:space="preserve">Description and </w:t>
      </w:r>
      <w:r w:rsidRPr="00D31995">
        <w:t xml:space="preserve">Examples for </w:t>
      </w:r>
      <w:r>
        <w:t>Different</w:t>
      </w:r>
      <w:r w:rsidRPr="00D31995">
        <w:t xml:space="preserve"> Categor</w:t>
      </w:r>
      <w:r>
        <w:t>ies</w:t>
      </w:r>
    </w:p>
    <w:p w14:paraId="52E0FB29" w14:textId="77777777" w:rsidR="00977718" w:rsidRDefault="00977718" w:rsidP="00977718">
      <w:pPr>
        <w:ind w:firstLineChars="0" w:firstLine="0"/>
        <w:rPr>
          <w:rFonts w:cs="Times New Roman"/>
          <w:szCs w:val="20"/>
        </w:rPr>
      </w:pPr>
      <w:r>
        <w:rPr>
          <w:rFonts w:cs="Times New Roman" w:hint="eastAsia"/>
          <w:szCs w:val="20"/>
        </w:rPr>
        <w:t>T</w:t>
      </w:r>
      <w:r>
        <w:rPr>
          <w:rFonts w:cs="Times New Roman"/>
          <w:szCs w:val="20"/>
        </w:rPr>
        <w:t>his part will give description, rules and examples for each argumentative category proposed in this paper. Annotators could make judgements based on the clue words and sentences templates.</w:t>
      </w:r>
    </w:p>
    <w:p w14:paraId="1C102724" w14:textId="77777777" w:rsidR="00977718" w:rsidRDefault="00977718" w:rsidP="00977718">
      <w:pPr>
        <w:ind w:firstLine="200"/>
        <w:rPr>
          <w:rFonts w:cs="Times New Roman"/>
          <w:szCs w:val="20"/>
        </w:rPr>
      </w:pPr>
      <w:r>
        <w:rPr>
          <w:rFonts w:cs="Times New Roman" w:hint="eastAsia"/>
          <w:szCs w:val="20"/>
        </w:rPr>
        <w:t>C</w:t>
      </w:r>
      <w:r>
        <w:rPr>
          <w:rFonts w:cs="Times New Roman"/>
          <w:szCs w:val="20"/>
        </w:rPr>
        <w:t xml:space="preserve">lue words here means the words which can bring cues for classification. For example, if the citing sentence contains noun words </w:t>
      </w:r>
      <w:r w:rsidRPr="002F7E6A">
        <w:rPr>
          <w:rFonts w:cs="Times New Roman" w:hint="eastAsia"/>
          <w:i/>
          <w:iCs/>
          <w:szCs w:val="20"/>
        </w:rPr>
        <w:t>method</w:t>
      </w:r>
      <w:r>
        <w:rPr>
          <w:rFonts w:cs="Times New Roman"/>
          <w:szCs w:val="20"/>
        </w:rPr>
        <w:t xml:space="preserve">, </w:t>
      </w:r>
      <w:r>
        <w:rPr>
          <w:rFonts w:cs="Times New Roman" w:hint="eastAsia"/>
          <w:szCs w:val="20"/>
        </w:rPr>
        <w:t>word</w:t>
      </w:r>
      <w:r>
        <w:rPr>
          <w:rFonts w:cs="Times New Roman"/>
          <w:szCs w:val="20"/>
        </w:rPr>
        <w:t xml:space="preserve"> </w:t>
      </w:r>
      <w:r w:rsidRPr="002F7E6A">
        <w:rPr>
          <w:rFonts w:cs="Times New Roman"/>
          <w:i/>
          <w:iCs/>
          <w:szCs w:val="20"/>
        </w:rPr>
        <w:t>performed</w:t>
      </w:r>
      <w:r>
        <w:rPr>
          <w:rFonts w:cs="Times New Roman"/>
          <w:szCs w:val="20"/>
        </w:rPr>
        <w:t xml:space="preserve">, and phrase </w:t>
      </w:r>
      <w:r w:rsidRPr="002F7E6A">
        <w:rPr>
          <w:rFonts w:cs="Times New Roman"/>
          <w:i/>
          <w:iCs/>
          <w:szCs w:val="20"/>
        </w:rPr>
        <w:t>Spearman's rank correlation analyses</w:t>
      </w:r>
      <w:r>
        <w:rPr>
          <w:rFonts w:cs="Times New Roman"/>
          <w:szCs w:val="20"/>
        </w:rPr>
        <w:t xml:space="preserve">, then annotator would prefer to label it with the </w:t>
      </w:r>
      <w:r w:rsidRPr="002F7E6A">
        <w:rPr>
          <w:rFonts w:cs="Times New Roman"/>
          <w:i/>
          <w:iCs/>
          <w:szCs w:val="20"/>
        </w:rPr>
        <w:t>Method</w:t>
      </w:r>
      <w:r>
        <w:rPr>
          <w:rFonts w:cs="Times New Roman"/>
          <w:szCs w:val="20"/>
        </w:rPr>
        <w:t xml:space="preserve"> category according to those clue words. Sentence templates refers to the sentence structure which is the way for writers to say what they want. </w:t>
      </w:r>
    </w:p>
    <w:p w14:paraId="32BA625A" w14:textId="77777777" w:rsidR="00977718" w:rsidRPr="00BE0608" w:rsidRDefault="00977718" w:rsidP="00977718">
      <w:pPr>
        <w:pStyle w:val="3"/>
        <w:numPr>
          <w:ilvl w:val="0"/>
          <w:numId w:val="0"/>
        </w:numPr>
        <w:spacing w:before="156" w:after="156"/>
      </w:pPr>
      <w:r w:rsidRPr="00BE0608">
        <w:rPr>
          <w:rFonts w:hint="eastAsia"/>
        </w:rPr>
        <w:t>M</w:t>
      </w:r>
      <w:r w:rsidRPr="00BE0608">
        <w:t>ethod</w:t>
      </w:r>
    </w:p>
    <w:p w14:paraId="335BDB1B" w14:textId="77777777" w:rsidR="00977718" w:rsidRDefault="00977718" w:rsidP="00977718">
      <w:pPr>
        <w:ind w:firstLine="200"/>
        <w:rPr>
          <w:rFonts w:cs="Times New Roman"/>
          <w:szCs w:val="20"/>
        </w:rPr>
      </w:pPr>
      <w:r>
        <w:rPr>
          <w:rFonts w:cs="Times New Roman"/>
          <w:szCs w:val="20"/>
        </w:rPr>
        <w:t xml:space="preserve">If the sentence mentions </w:t>
      </w:r>
      <w:r w:rsidRPr="00BE0608">
        <w:rPr>
          <w:rFonts w:cs="Times New Roman"/>
          <w:szCs w:val="20"/>
        </w:rPr>
        <w:t>experimental methods, procedures, data, information resources, tools, parameters, formats, standards, protocols, models and other information</w:t>
      </w:r>
      <w:r>
        <w:rPr>
          <w:rFonts w:cs="Times New Roman"/>
          <w:szCs w:val="20"/>
        </w:rPr>
        <w:t>, then it can be</w:t>
      </w:r>
      <w:r w:rsidRPr="00BE0608">
        <w:rPr>
          <w:rFonts w:cs="Times New Roman"/>
          <w:szCs w:val="20"/>
        </w:rPr>
        <w:t xml:space="preserve"> marked as </w:t>
      </w:r>
      <w:r w:rsidRPr="00BE0608">
        <w:rPr>
          <w:rFonts w:cs="Times New Roman"/>
          <w:i/>
          <w:iCs/>
          <w:szCs w:val="20"/>
        </w:rPr>
        <w:t>Method</w:t>
      </w:r>
      <w:r w:rsidRPr="00BE0608">
        <w:rPr>
          <w:rFonts w:cs="Times New Roman"/>
          <w:szCs w:val="20"/>
        </w:rPr>
        <w:t xml:space="preserve"> </w:t>
      </w:r>
      <w:r>
        <w:rPr>
          <w:rFonts w:cs="Times New Roman"/>
          <w:szCs w:val="20"/>
        </w:rPr>
        <w:t>category</w:t>
      </w:r>
      <w:r w:rsidRPr="00BE0608">
        <w:rPr>
          <w:rFonts w:cs="Times New Roman"/>
          <w:szCs w:val="20"/>
        </w:rPr>
        <w:t>.</w:t>
      </w:r>
      <w:r>
        <w:rPr>
          <w:rFonts w:cs="Times New Roman"/>
          <w:szCs w:val="20"/>
        </w:rPr>
        <w:t xml:space="preserve"> Clue words are given in Table B.2. More detailed examples are given in Table B.3.</w:t>
      </w:r>
    </w:p>
    <w:p w14:paraId="65F16E6D" w14:textId="777777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B.2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555"/>
        <w:gridCol w:w="5351"/>
      </w:tblGrid>
      <w:tr w:rsidR="00977718" w14:paraId="521A3229" w14:textId="77777777" w:rsidTr="005F64C8">
        <w:trPr>
          <w:trHeight w:val="448"/>
        </w:trPr>
        <w:tc>
          <w:tcPr>
            <w:tcW w:w="1555" w:type="dxa"/>
            <w:vAlign w:val="center"/>
          </w:tcPr>
          <w:p w14:paraId="7A2640B5"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5351" w:type="dxa"/>
            <w:vAlign w:val="center"/>
          </w:tcPr>
          <w:p w14:paraId="288D5C49"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504AA00B" w14:textId="77777777" w:rsidTr="005F64C8">
        <w:trPr>
          <w:trHeight w:val="927"/>
        </w:trPr>
        <w:tc>
          <w:tcPr>
            <w:tcW w:w="1555" w:type="dxa"/>
            <w:vAlign w:val="center"/>
          </w:tcPr>
          <w:p w14:paraId="52034056"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ntity of Known Methods and Tools</w:t>
            </w:r>
          </w:p>
        </w:tc>
        <w:tc>
          <w:tcPr>
            <w:tcW w:w="5351" w:type="dxa"/>
            <w:vAlign w:val="center"/>
          </w:tcPr>
          <w:p w14:paraId="61C7FD3B" w14:textId="77777777" w:rsidR="00977718" w:rsidRDefault="00977718" w:rsidP="005F64C8">
            <w:pPr>
              <w:ind w:firstLineChars="0" w:firstLine="0"/>
              <w:rPr>
                <w:rFonts w:cs="Times New Roman"/>
                <w:szCs w:val="20"/>
              </w:rPr>
            </w:pPr>
            <w:r w:rsidRPr="00ED108A">
              <w:rPr>
                <w:rFonts w:cs="Times New Roman" w:hint="eastAsia"/>
                <w:szCs w:val="20"/>
              </w:rPr>
              <w:t>Gene knockdown, SAGE</w:t>
            </w:r>
            <w:r w:rsidRPr="00ED108A">
              <w:rPr>
                <w:rFonts w:cs="Times New Roman" w:hint="eastAsia"/>
                <w:szCs w:val="20"/>
              </w:rPr>
              <w:t>：</w:t>
            </w:r>
            <w:r w:rsidRPr="00ED108A">
              <w:rPr>
                <w:rFonts w:cs="Times New Roman" w:hint="eastAsia"/>
                <w:szCs w:val="20"/>
              </w:rPr>
              <w:t xml:space="preserve">Serial Analysis of Gene Expression, </w:t>
            </w:r>
            <w:proofErr w:type="spellStart"/>
            <w:r w:rsidRPr="00ED108A">
              <w:rPr>
                <w:rFonts w:cs="Times New Roman" w:hint="eastAsia"/>
                <w:szCs w:val="20"/>
              </w:rPr>
              <w:t>miRGen</w:t>
            </w:r>
            <w:proofErr w:type="spellEnd"/>
            <w:r w:rsidRPr="00ED108A">
              <w:rPr>
                <w:rFonts w:cs="Times New Roman" w:hint="eastAsia"/>
                <w:szCs w:val="20"/>
              </w:rPr>
              <w:t xml:space="preserve">, miRNA, siRNA, MUSCLE, BLAST, SMART, </w:t>
            </w:r>
            <w:proofErr w:type="spellStart"/>
            <w:r w:rsidRPr="00ED108A">
              <w:rPr>
                <w:rFonts w:cs="Times New Roman" w:hint="eastAsia"/>
                <w:szCs w:val="20"/>
              </w:rPr>
              <w:t>GeNorm</w:t>
            </w:r>
            <w:proofErr w:type="spellEnd"/>
            <w:r w:rsidRPr="00ED108A">
              <w:rPr>
                <w:rFonts w:cs="Times New Roman" w:hint="eastAsia"/>
                <w:szCs w:val="20"/>
              </w:rPr>
              <w:t xml:space="preserve">, </w:t>
            </w:r>
            <w:proofErr w:type="spellStart"/>
            <w:r w:rsidRPr="00ED108A">
              <w:rPr>
                <w:rFonts w:cs="Times New Roman" w:hint="eastAsia"/>
                <w:szCs w:val="20"/>
              </w:rPr>
              <w:t>Rfam</w:t>
            </w:r>
            <w:proofErr w:type="spellEnd"/>
            <w:r w:rsidRPr="00ED108A">
              <w:rPr>
                <w:rFonts w:cs="Times New Roman" w:hint="eastAsia"/>
                <w:szCs w:val="20"/>
              </w:rPr>
              <w:t xml:space="preserve">, </w:t>
            </w:r>
            <w:proofErr w:type="spellStart"/>
            <w:r w:rsidRPr="00ED108A">
              <w:rPr>
                <w:rFonts w:cs="Times New Roman" w:hint="eastAsia"/>
                <w:szCs w:val="20"/>
              </w:rPr>
              <w:t>Ensembl</w:t>
            </w:r>
            <w:proofErr w:type="spellEnd"/>
            <w:r w:rsidRPr="00ED108A">
              <w:rPr>
                <w:rFonts w:cs="Times New Roman" w:hint="eastAsia"/>
                <w:szCs w:val="20"/>
              </w:rPr>
              <w:t xml:space="preserve">, GO, </w:t>
            </w:r>
            <w:proofErr w:type="spellStart"/>
            <w:r w:rsidRPr="00ED108A">
              <w:rPr>
                <w:rFonts w:cs="Times New Roman" w:hint="eastAsia"/>
                <w:szCs w:val="20"/>
              </w:rPr>
              <w:t>BioCarta</w:t>
            </w:r>
            <w:proofErr w:type="spellEnd"/>
            <w:r w:rsidRPr="00ED108A">
              <w:rPr>
                <w:rFonts w:cs="Times New Roman" w:hint="eastAsia"/>
                <w:szCs w:val="20"/>
              </w:rPr>
              <w:t xml:space="preserve">, </w:t>
            </w:r>
            <w:proofErr w:type="spellStart"/>
            <w:r w:rsidRPr="00ED108A">
              <w:rPr>
                <w:rFonts w:cs="Times New Roman" w:hint="eastAsia"/>
                <w:szCs w:val="20"/>
              </w:rPr>
              <w:t>Interpro</w:t>
            </w:r>
            <w:proofErr w:type="spellEnd"/>
          </w:p>
        </w:tc>
      </w:tr>
      <w:tr w:rsidR="00977718" w14:paraId="1DCF0E95" w14:textId="77777777" w:rsidTr="005F64C8">
        <w:trPr>
          <w:trHeight w:val="417"/>
        </w:trPr>
        <w:tc>
          <w:tcPr>
            <w:tcW w:w="1555" w:type="dxa"/>
            <w:vAlign w:val="center"/>
          </w:tcPr>
          <w:p w14:paraId="59EA9724"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ntity of Known Database</w:t>
            </w:r>
          </w:p>
        </w:tc>
        <w:tc>
          <w:tcPr>
            <w:tcW w:w="5351" w:type="dxa"/>
            <w:vAlign w:val="center"/>
          </w:tcPr>
          <w:p w14:paraId="17B5356B" w14:textId="77777777" w:rsidR="00977718" w:rsidRDefault="00977718" w:rsidP="005F64C8">
            <w:pPr>
              <w:ind w:firstLineChars="0" w:firstLine="0"/>
              <w:rPr>
                <w:rFonts w:cs="Times New Roman"/>
                <w:szCs w:val="20"/>
              </w:rPr>
            </w:pPr>
            <w:proofErr w:type="spellStart"/>
            <w:r w:rsidRPr="00ED108A">
              <w:rPr>
                <w:rFonts w:cs="Times New Roman" w:hint="eastAsia"/>
                <w:szCs w:val="20"/>
              </w:rPr>
              <w:t>ModBase</w:t>
            </w:r>
            <w:proofErr w:type="spellEnd"/>
            <w:r w:rsidRPr="00ED108A">
              <w:rPr>
                <w:rFonts w:cs="Times New Roman" w:hint="eastAsia"/>
                <w:szCs w:val="20"/>
              </w:rPr>
              <w:t xml:space="preserve">, </w:t>
            </w:r>
            <w:proofErr w:type="spellStart"/>
            <w:r w:rsidRPr="00ED108A">
              <w:rPr>
                <w:rFonts w:cs="Times New Roman" w:hint="eastAsia"/>
                <w:szCs w:val="20"/>
              </w:rPr>
              <w:t>UniProt</w:t>
            </w:r>
            <w:proofErr w:type="spellEnd"/>
            <w:r w:rsidRPr="00ED108A">
              <w:rPr>
                <w:rFonts w:cs="Times New Roman" w:hint="eastAsia"/>
                <w:szCs w:val="20"/>
              </w:rPr>
              <w:t xml:space="preserve">, GOBASE, KEGG, miRbase, </w:t>
            </w:r>
            <w:proofErr w:type="spellStart"/>
            <w:r w:rsidRPr="00ED108A">
              <w:rPr>
                <w:rFonts w:cs="Times New Roman" w:hint="eastAsia"/>
                <w:szCs w:val="20"/>
              </w:rPr>
              <w:t>BioGRID</w:t>
            </w:r>
            <w:proofErr w:type="spellEnd"/>
          </w:p>
        </w:tc>
      </w:tr>
      <w:tr w:rsidR="00977718" w14:paraId="1410C4FA" w14:textId="77777777" w:rsidTr="005F64C8">
        <w:trPr>
          <w:trHeight w:val="408"/>
        </w:trPr>
        <w:tc>
          <w:tcPr>
            <w:tcW w:w="1555" w:type="dxa"/>
            <w:vAlign w:val="center"/>
          </w:tcPr>
          <w:p w14:paraId="2B6F3343" w14:textId="77777777" w:rsidR="00977718" w:rsidRDefault="00977718" w:rsidP="005F64C8">
            <w:pPr>
              <w:ind w:firstLineChars="0" w:firstLine="0"/>
              <w:rPr>
                <w:rFonts w:cs="Times New Roman"/>
                <w:szCs w:val="20"/>
              </w:rPr>
            </w:pPr>
            <w:r>
              <w:rPr>
                <w:rFonts w:cs="Times New Roman" w:hint="eastAsia"/>
                <w:szCs w:val="20"/>
              </w:rPr>
              <w:t>N</w:t>
            </w:r>
            <w:r>
              <w:rPr>
                <w:rFonts w:cs="Times New Roman"/>
                <w:szCs w:val="20"/>
              </w:rPr>
              <w:t>oun and Verb</w:t>
            </w:r>
          </w:p>
        </w:tc>
        <w:tc>
          <w:tcPr>
            <w:tcW w:w="5351" w:type="dxa"/>
            <w:vAlign w:val="center"/>
          </w:tcPr>
          <w:p w14:paraId="640E4F9A" w14:textId="77777777" w:rsidR="00977718" w:rsidRDefault="00977718" w:rsidP="005F64C8">
            <w:pPr>
              <w:ind w:firstLineChars="0" w:firstLine="0"/>
              <w:rPr>
                <w:rFonts w:cs="Times New Roman"/>
                <w:szCs w:val="20"/>
              </w:rPr>
            </w:pPr>
            <w:r w:rsidRPr="00ED108A">
              <w:rPr>
                <w:rFonts w:cs="Times New Roman" w:hint="eastAsia"/>
                <w:szCs w:val="20"/>
              </w:rPr>
              <w:t>technique, approach, pathway, protocol, use, apply, utilize</w:t>
            </w:r>
          </w:p>
        </w:tc>
      </w:tr>
    </w:tbl>
    <w:p w14:paraId="6261723A" w14:textId="77777777"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B.3 Different kinds of examples </w:t>
      </w:r>
      <w:r>
        <w:rPr>
          <w:rFonts w:cs="Times New Roman" w:hint="eastAsia"/>
          <w:szCs w:val="20"/>
        </w:rPr>
        <w:t>f</w:t>
      </w:r>
      <w:r>
        <w:rPr>
          <w:rFonts w:cs="Times New Roman"/>
          <w:szCs w:val="20"/>
        </w:rPr>
        <w:t>or Method category</w:t>
      </w:r>
    </w:p>
    <w:tbl>
      <w:tblPr>
        <w:tblStyle w:val="a7"/>
        <w:tblW w:w="6941" w:type="dxa"/>
        <w:tblCellMar>
          <w:left w:w="57" w:type="dxa"/>
          <w:right w:w="57" w:type="dxa"/>
        </w:tblCellMar>
        <w:tblLook w:val="04A0" w:firstRow="1" w:lastRow="0" w:firstColumn="1" w:lastColumn="0" w:noHBand="0" w:noVBand="1"/>
      </w:tblPr>
      <w:tblGrid>
        <w:gridCol w:w="1555"/>
        <w:gridCol w:w="5386"/>
      </w:tblGrid>
      <w:tr w:rsidR="00977718" w:rsidRPr="00F6169F" w14:paraId="09AEC906" w14:textId="77777777" w:rsidTr="005F64C8">
        <w:trPr>
          <w:trHeight w:val="402"/>
        </w:trPr>
        <w:tc>
          <w:tcPr>
            <w:tcW w:w="1555" w:type="dxa"/>
            <w:vAlign w:val="center"/>
          </w:tcPr>
          <w:p w14:paraId="4F67F8E1"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5386" w:type="dxa"/>
            <w:vAlign w:val="center"/>
          </w:tcPr>
          <w:p w14:paraId="62C3B976"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41C9F872" w14:textId="77777777" w:rsidTr="005F64C8">
        <w:tc>
          <w:tcPr>
            <w:tcW w:w="1555" w:type="dxa"/>
          </w:tcPr>
          <w:p w14:paraId="1162A6E7"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Technical methods used in the research</w:t>
            </w:r>
          </w:p>
        </w:tc>
        <w:tc>
          <w:tcPr>
            <w:tcW w:w="5386" w:type="dxa"/>
          </w:tcPr>
          <w:p w14:paraId="10A9967B"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As a method verification Spearman's rank correlation analyses of XER and XERcomp against determined blood levels of estradiol and testosterone (total and free) [CITE] were performed on the combined study group data.</w:t>
            </w:r>
          </w:p>
          <w:p w14:paraId="54FEA6C1"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Rather than monitoring the level of identified xenoestrogens, the integrated biological activity was used to estimate the xenobiotic burden of serum samples using [CITE].</w:t>
            </w:r>
          </w:p>
          <w:p w14:paraId="48500B2F" w14:textId="77777777" w:rsidR="00977718" w:rsidRPr="00F6169F" w:rsidRDefault="00977718" w:rsidP="00977718">
            <w:pPr>
              <w:pStyle w:val="a8"/>
              <w:numPr>
                <w:ilvl w:val="0"/>
                <w:numId w:val="3"/>
              </w:numPr>
              <w:ind w:left="0" w:firstLineChars="0" w:firstLine="0"/>
              <w:rPr>
                <w:sz w:val="18"/>
                <w:szCs w:val="18"/>
              </w:rPr>
            </w:pPr>
            <w:r w:rsidRPr="00F6169F">
              <w:rPr>
                <w:rFonts w:hint="eastAsia"/>
                <w:sz w:val="18"/>
                <w:szCs w:val="18"/>
              </w:rPr>
              <w:t>Some missed sequences could be retrieved by adding protein structural information (such as hydrophobic cluster analysis, [CITE]), but these methods require visual expertise and cannot easily be automated.</w:t>
            </w:r>
          </w:p>
        </w:tc>
      </w:tr>
      <w:tr w:rsidR="00977718" w:rsidRPr="00F6169F" w14:paraId="32B956CE" w14:textId="77777777" w:rsidTr="005F64C8">
        <w:trPr>
          <w:trHeight w:val="401"/>
        </w:trPr>
        <w:tc>
          <w:tcPr>
            <w:tcW w:w="1555" w:type="dxa"/>
            <w:vMerge w:val="restart"/>
          </w:tcPr>
          <w:p w14:paraId="7C4CF63E"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 xml:space="preserve">The experiment </w:t>
            </w:r>
            <w:r w:rsidRPr="00F6169F">
              <w:rPr>
                <w:rFonts w:cs="Times New Roman"/>
                <w:sz w:val="18"/>
                <w:szCs w:val="18"/>
              </w:rPr>
              <w:lastRenderedPageBreak/>
              <w:t>procedure refers to the operation step information in the experiment</w:t>
            </w:r>
          </w:p>
        </w:tc>
        <w:tc>
          <w:tcPr>
            <w:tcW w:w="5386" w:type="dxa"/>
          </w:tcPr>
          <w:p w14:paraId="2F8F97A5" w14:textId="77777777" w:rsidR="00977718" w:rsidRPr="00A5293A" w:rsidRDefault="00977718" w:rsidP="005F64C8">
            <w:pPr>
              <w:pStyle w:val="a8"/>
              <w:ind w:firstLineChars="0" w:firstLine="0"/>
              <w:rPr>
                <w:sz w:val="18"/>
                <w:szCs w:val="18"/>
              </w:rPr>
            </w:pPr>
            <w:r w:rsidRPr="00F6169F">
              <w:rPr>
                <w:rFonts w:hint="eastAsia"/>
                <w:sz w:val="18"/>
                <w:szCs w:val="18"/>
              </w:rPr>
              <w:lastRenderedPageBreak/>
              <w:t>Venous blood samples were collected into 10 ml vacuum tubes and after centrifugation the serum was transferred to Nunc tubes and stored at -</w:t>
            </w:r>
            <w:proofErr w:type="gramStart"/>
            <w:r w:rsidRPr="00F6169F">
              <w:rPr>
                <w:rFonts w:hint="eastAsia"/>
                <w:sz w:val="18"/>
                <w:szCs w:val="18"/>
              </w:rPr>
              <w:t>80;C</w:t>
            </w:r>
            <w:proofErr w:type="gramEnd"/>
            <w:r w:rsidRPr="00F6169F">
              <w:rPr>
                <w:rFonts w:hint="eastAsia"/>
                <w:sz w:val="18"/>
                <w:szCs w:val="18"/>
              </w:rPr>
              <w:t xml:space="preserve"> </w:t>
            </w:r>
            <w:r w:rsidRPr="00F6169F">
              <w:rPr>
                <w:rFonts w:hint="eastAsia"/>
                <w:sz w:val="18"/>
                <w:szCs w:val="18"/>
              </w:rPr>
              <w:lastRenderedPageBreak/>
              <w:t>for later analysis [CITE].</w:t>
            </w:r>
          </w:p>
        </w:tc>
      </w:tr>
      <w:tr w:rsidR="00977718" w:rsidRPr="00F6169F" w14:paraId="41CC649F" w14:textId="77777777" w:rsidTr="005F64C8">
        <w:trPr>
          <w:trHeight w:val="400"/>
        </w:trPr>
        <w:tc>
          <w:tcPr>
            <w:tcW w:w="1555" w:type="dxa"/>
            <w:vMerge/>
          </w:tcPr>
          <w:p w14:paraId="0B43E9B7" w14:textId="77777777" w:rsidR="00977718" w:rsidRPr="00F6169F" w:rsidRDefault="00977718" w:rsidP="005F64C8">
            <w:pPr>
              <w:spacing w:beforeLines="50" w:before="156"/>
              <w:ind w:firstLineChars="0" w:firstLine="0"/>
              <w:rPr>
                <w:rFonts w:cs="Times New Roman"/>
                <w:sz w:val="18"/>
                <w:szCs w:val="18"/>
              </w:rPr>
            </w:pPr>
          </w:p>
        </w:tc>
        <w:tc>
          <w:tcPr>
            <w:tcW w:w="5386" w:type="dxa"/>
          </w:tcPr>
          <w:p w14:paraId="4769D2E5" w14:textId="77777777" w:rsidR="00977718" w:rsidRPr="00A5293A" w:rsidRDefault="00977718" w:rsidP="005F64C8">
            <w:pPr>
              <w:ind w:firstLineChars="0" w:firstLine="0"/>
              <w:rPr>
                <w:sz w:val="18"/>
                <w:szCs w:val="18"/>
              </w:rPr>
            </w:pPr>
            <w:r w:rsidRPr="00A5293A">
              <w:rPr>
                <w:sz w:val="18"/>
                <w:szCs w:val="18"/>
              </w:rPr>
              <w:t>The level of concordance was measured by periodically re-hybridizing the melanoma cell line A375-melanoma (American Type Culture Collection, Rockville MD) to the reference samples consisting of pooled PBMC as previously described [CITE].</w:t>
            </w:r>
          </w:p>
        </w:tc>
      </w:tr>
      <w:tr w:rsidR="00977718" w:rsidRPr="00F6169F" w14:paraId="5DE92859" w14:textId="77777777" w:rsidTr="005F64C8">
        <w:trPr>
          <w:trHeight w:val="501"/>
        </w:trPr>
        <w:tc>
          <w:tcPr>
            <w:tcW w:w="1555" w:type="dxa"/>
            <w:vMerge/>
          </w:tcPr>
          <w:p w14:paraId="593D01E6" w14:textId="77777777" w:rsidR="00977718" w:rsidRPr="00F6169F" w:rsidRDefault="00977718" w:rsidP="005F64C8">
            <w:pPr>
              <w:spacing w:beforeLines="50" w:before="156"/>
              <w:ind w:firstLineChars="0" w:firstLine="0"/>
              <w:rPr>
                <w:rFonts w:cs="Times New Roman"/>
                <w:sz w:val="18"/>
                <w:szCs w:val="18"/>
              </w:rPr>
            </w:pPr>
          </w:p>
        </w:tc>
        <w:tc>
          <w:tcPr>
            <w:tcW w:w="5386" w:type="dxa"/>
          </w:tcPr>
          <w:p w14:paraId="147EC21A" w14:textId="77777777" w:rsidR="00977718" w:rsidRPr="00F6169F" w:rsidRDefault="00977718" w:rsidP="005F64C8">
            <w:pPr>
              <w:pStyle w:val="a8"/>
              <w:ind w:firstLineChars="0" w:firstLine="0"/>
              <w:rPr>
                <w:sz w:val="18"/>
                <w:szCs w:val="18"/>
              </w:rPr>
            </w:pPr>
            <w:r w:rsidRPr="00F6169F">
              <w:rPr>
                <w:rFonts w:hint="eastAsia"/>
                <w:sz w:val="18"/>
                <w:szCs w:val="18"/>
              </w:rPr>
              <w:t xml:space="preserve">Tumor sections were incubated with trypsin at </w:t>
            </w:r>
            <w:proofErr w:type="gramStart"/>
            <w:r w:rsidRPr="00F6169F">
              <w:rPr>
                <w:rFonts w:hint="eastAsia"/>
                <w:sz w:val="18"/>
                <w:szCs w:val="18"/>
              </w:rPr>
              <w:t>37;C</w:t>
            </w:r>
            <w:proofErr w:type="gramEnd"/>
            <w:r w:rsidRPr="00F6169F">
              <w:rPr>
                <w:rFonts w:hint="eastAsia"/>
                <w:sz w:val="18"/>
                <w:szCs w:val="18"/>
              </w:rPr>
              <w:t xml:space="preserve"> for 30 min after deparaffinization, rehydration, and washing as we described recently [CITE].</w:t>
            </w:r>
          </w:p>
        </w:tc>
      </w:tr>
      <w:tr w:rsidR="00977718" w:rsidRPr="00F6169F" w14:paraId="1A489434" w14:textId="77777777" w:rsidTr="005F64C8">
        <w:trPr>
          <w:trHeight w:val="368"/>
        </w:trPr>
        <w:tc>
          <w:tcPr>
            <w:tcW w:w="1555" w:type="dxa"/>
            <w:vMerge w:val="restart"/>
          </w:tcPr>
          <w:p w14:paraId="54BDD46B"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Information resources refer to some databases, standard protocols and other information</w:t>
            </w:r>
          </w:p>
        </w:tc>
        <w:tc>
          <w:tcPr>
            <w:tcW w:w="5386" w:type="dxa"/>
          </w:tcPr>
          <w:p w14:paraId="118AF0E7" w14:textId="77777777" w:rsidR="00977718" w:rsidRPr="00A5293A" w:rsidRDefault="00977718" w:rsidP="005F64C8">
            <w:pPr>
              <w:pStyle w:val="a8"/>
              <w:ind w:firstLineChars="0" w:firstLine="0"/>
              <w:rPr>
                <w:rFonts w:cs="Times New Roman"/>
                <w:sz w:val="18"/>
                <w:szCs w:val="18"/>
              </w:rPr>
            </w:pPr>
            <w:r w:rsidRPr="00F6169F">
              <w:rPr>
                <w:rFonts w:cs="Times New Roman" w:hint="eastAsia"/>
                <w:sz w:val="18"/>
                <w:szCs w:val="18"/>
              </w:rPr>
              <w:t xml:space="preserve">A first massive comparison project, </w:t>
            </w:r>
            <w:proofErr w:type="spellStart"/>
            <w:r w:rsidRPr="00F6169F">
              <w:rPr>
                <w:rFonts w:cs="Times New Roman" w:hint="eastAsia"/>
                <w:sz w:val="18"/>
                <w:szCs w:val="18"/>
              </w:rPr>
              <w:t>OrthoMCL</w:t>
            </w:r>
            <w:proofErr w:type="spellEnd"/>
            <w:r w:rsidRPr="00F6169F">
              <w:rPr>
                <w:rFonts w:cs="Times New Roman" w:hint="eastAsia"/>
                <w:sz w:val="18"/>
                <w:szCs w:val="18"/>
              </w:rPr>
              <w:t xml:space="preserve">, was designed to cluster malaria genes based on their sequence similarity with genes of 55 other genomes (600,000 sequences), using the </w:t>
            </w:r>
            <w:proofErr w:type="spellStart"/>
            <w:r w:rsidRPr="00F6169F">
              <w:rPr>
                <w:rFonts w:cs="Times New Roman" w:hint="eastAsia"/>
                <w:sz w:val="18"/>
                <w:szCs w:val="18"/>
              </w:rPr>
              <w:t>BlastP</w:t>
            </w:r>
            <w:proofErr w:type="spellEnd"/>
            <w:r w:rsidRPr="00F6169F">
              <w:rPr>
                <w:rFonts w:cs="Times New Roman" w:hint="eastAsia"/>
                <w:sz w:val="18"/>
                <w:szCs w:val="18"/>
              </w:rPr>
              <w:t xml:space="preserve"> algorithm and </w:t>
            </w:r>
            <w:proofErr w:type="spellStart"/>
            <w:r w:rsidRPr="00F6169F">
              <w:rPr>
                <w:rFonts w:cs="Times New Roman" w:hint="eastAsia"/>
                <w:sz w:val="18"/>
                <w:szCs w:val="18"/>
              </w:rPr>
              <w:t>Karlin-Altschul</w:t>
            </w:r>
            <w:proofErr w:type="spellEnd"/>
            <w:r w:rsidRPr="00F6169F">
              <w:rPr>
                <w:rFonts w:cs="Times New Roman" w:hint="eastAsia"/>
                <w:sz w:val="18"/>
                <w:szCs w:val="18"/>
              </w:rPr>
              <w:t xml:space="preserve"> E-value statistics to build the a</w:t>
            </w:r>
            <w:r w:rsidRPr="00F6169F">
              <w:rPr>
                <w:rFonts w:cs="Times New Roman"/>
                <w:sz w:val="18"/>
                <w:szCs w:val="18"/>
              </w:rPr>
              <w:t>ll-against-all comparison table [CITE].</w:t>
            </w:r>
          </w:p>
        </w:tc>
      </w:tr>
      <w:tr w:rsidR="00977718" w:rsidRPr="00F6169F" w14:paraId="1CC04D78" w14:textId="77777777" w:rsidTr="005F64C8">
        <w:trPr>
          <w:trHeight w:val="367"/>
        </w:trPr>
        <w:tc>
          <w:tcPr>
            <w:tcW w:w="1555" w:type="dxa"/>
            <w:vMerge/>
          </w:tcPr>
          <w:p w14:paraId="6D6A50E6" w14:textId="77777777" w:rsidR="00977718" w:rsidRPr="00F6169F" w:rsidRDefault="00977718" w:rsidP="005F64C8">
            <w:pPr>
              <w:spacing w:beforeLines="50" w:before="156"/>
              <w:ind w:firstLineChars="0" w:firstLine="0"/>
              <w:rPr>
                <w:rFonts w:cs="Times New Roman"/>
                <w:sz w:val="18"/>
                <w:szCs w:val="18"/>
              </w:rPr>
            </w:pPr>
          </w:p>
        </w:tc>
        <w:tc>
          <w:tcPr>
            <w:tcW w:w="5386" w:type="dxa"/>
          </w:tcPr>
          <w:p w14:paraId="22AE88BC" w14:textId="77777777" w:rsidR="00977718" w:rsidRPr="00F6169F" w:rsidRDefault="00977718" w:rsidP="005F64C8">
            <w:pPr>
              <w:pStyle w:val="a8"/>
              <w:ind w:firstLineChars="0" w:firstLine="0"/>
              <w:rPr>
                <w:rFonts w:cs="Times New Roman"/>
                <w:sz w:val="18"/>
                <w:szCs w:val="18"/>
              </w:rPr>
            </w:pPr>
            <w:r w:rsidRPr="00F6169F">
              <w:rPr>
                <w:rFonts w:cs="Times New Roman" w:hint="eastAsia"/>
                <w:sz w:val="18"/>
                <w:szCs w:val="18"/>
              </w:rPr>
              <w:t>Description of gene function follows the guidelines of the Gene Ontology (GO) structured vocabulary [CITE].</w:t>
            </w:r>
          </w:p>
        </w:tc>
      </w:tr>
      <w:tr w:rsidR="00977718" w:rsidRPr="00F6169F" w14:paraId="08DB21E2" w14:textId="77777777" w:rsidTr="005F64C8">
        <w:trPr>
          <w:trHeight w:val="367"/>
        </w:trPr>
        <w:tc>
          <w:tcPr>
            <w:tcW w:w="1555" w:type="dxa"/>
            <w:vMerge/>
          </w:tcPr>
          <w:p w14:paraId="1868BEC7" w14:textId="77777777" w:rsidR="00977718" w:rsidRPr="00F6169F" w:rsidRDefault="00977718" w:rsidP="005F64C8">
            <w:pPr>
              <w:spacing w:beforeLines="50" w:before="156"/>
              <w:ind w:firstLineChars="0" w:firstLine="0"/>
              <w:rPr>
                <w:rFonts w:cs="Times New Roman"/>
                <w:sz w:val="18"/>
                <w:szCs w:val="18"/>
              </w:rPr>
            </w:pPr>
          </w:p>
        </w:tc>
        <w:tc>
          <w:tcPr>
            <w:tcW w:w="5386" w:type="dxa"/>
          </w:tcPr>
          <w:p w14:paraId="056B8507" w14:textId="77777777" w:rsidR="00977718" w:rsidRPr="00F6169F" w:rsidRDefault="00977718" w:rsidP="005F64C8">
            <w:pPr>
              <w:pStyle w:val="a8"/>
              <w:ind w:firstLineChars="0" w:firstLine="0"/>
              <w:rPr>
                <w:rFonts w:cs="Times New Roman"/>
                <w:sz w:val="18"/>
                <w:szCs w:val="18"/>
              </w:rPr>
            </w:pPr>
            <w:r w:rsidRPr="00F6169F">
              <w:rPr>
                <w:rFonts w:cs="Times New Roman" w:hint="eastAsia"/>
                <w:sz w:val="18"/>
                <w:szCs w:val="18"/>
              </w:rPr>
              <w:t xml:space="preserve">The Kyoto Encyclopedia of Genes and Genomes (KEGG) resource provides a set reference of metabolic schemes, manually designed so as to represent all possible primary metabolic </w:t>
            </w:r>
            <w:proofErr w:type="gramStart"/>
            <w:r w:rsidRPr="00F6169F">
              <w:rPr>
                <w:rFonts w:cs="Times New Roman" w:hint="eastAsia"/>
                <w:sz w:val="18"/>
                <w:szCs w:val="18"/>
              </w:rPr>
              <w:t>reactions, and</w:t>
            </w:r>
            <w:proofErr w:type="gramEnd"/>
            <w:r w:rsidRPr="00F6169F">
              <w:rPr>
                <w:rFonts w:cs="Times New Roman" w:hint="eastAsia"/>
                <w:sz w:val="18"/>
                <w:szCs w:val="18"/>
              </w:rPr>
              <w:t xml:space="preserve"> formatted with the KEGG Markup Language (KGML) [CITE].</w:t>
            </w:r>
          </w:p>
        </w:tc>
      </w:tr>
      <w:tr w:rsidR="00977718" w:rsidRPr="00F6169F" w14:paraId="68F13095" w14:textId="77777777" w:rsidTr="005F64C8">
        <w:tc>
          <w:tcPr>
            <w:tcW w:w="1555" w:type="dxa"/>
          </w:tcPr>
          <w:p w14:paraId="59AF8164"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The software, platforms, systems, and instruments used in the experiment.</w:t>
            </w:r>
          </w:p>
        </w:tc>
        <w:tc>
          <w:tcPr>
            <w:tcW w:w="5386" w:type="dxa"/>
          </w:tcPr>
          <w:p w14:paraId="3D03AC33" w14:textId="77777777" w:rsidR="00977718" w:rsidRPr="00F6169F" w:rsidRDefault="00977718" w:rsidP="00977718">
            <w:pPr>
              <w:pStyle w:val="a8"/>
              <w:numPr>
                <w:ilvl w:val="0"/>
                <w:numId w:val="4"/>
              </w:numPr>
              <w:ind w:left="0" w:firstLineChars="0" w:firstLine="0"/>
              <w:rPr>
                <w:rFonts w:cs="Times New Roman"/>
                <w:sz w:val="18"/>
                <w:szCs w:val="18"/>
              </w:rPr>
            </w:pPr>
            <w:r w:rsidRPr="00F6169F">
              <w:rPr>
                <w:rFonts w:cs="Times New Roman" w:hint="eastAsia"/>
                <w:sz w:val="18"/>
                <w:szCs w:val="18"/>
              </w:rPr>
              <w:t>The search for ESS with two different programs (Acescan2 and the EBI ASD tools) [CITE] indicated the presence of a high number of ESS in exon 14 in human and mouse FAK gene (Fig and data not shown).</w:t>
            </w:r>
          </w:p>
          <w:p w14:paraId="50F1F652" w14:textId="77777777" w:rsidR="00977718" w:rsidRPr="00F6169F" w:rsidRDefault="00977718" w:rsidP="00977718">
            <w:pPr>
              <w:pStyle w:val="a8"/>
              <w:numPr>
                <w:ilvl w:val="0"/>
                <w:numId w:val="4"/>
              </w:numPr>
              <w:ind w:left="0" w:firstLineChars="0" w:firstLine="0"/>
              <w:rPr>
                <w:rFonts w:cs="Times New Roman"/>
                <w:sz w:val="18"/>
                <w:szCs w:val="18"/>
              </w:rPr>
            </w:pPr>
            <w:r w:rsidRPr="00F6169F">
              <w:rPr>
                <w:rFonts w:cs="Times New Roman" w:hint="eastAsia"/>
                <w:sz w:val="18"/>
                <w:szCs w:val="18"/>
              </w:rPr>
              <w:t>The page also supports MUMMER ([CITE]) comparisons between genomes in the database or with a user-supplied sequence.</w:t>
            </w:r>
          </w:p>
          <w:p w14:paraId="6D8380CD" w14:textId="77777777" w:rsidR="00977718" w:rsidRPr="00F6169F" w:rsidRDefault="00977718" w:rsidP="00977718">
            <w:pPr>
              <w:pStyle w:val="a8"/>
              <w:numPr>
                <w:ilvl w:val="0"/>
                <w:numId w:val="4"/>
              </w:numPr>
              <w:ind w:left="0" w:firstLineChars="0" w:firstLine="0"/>
              <w:rPr>
                <w:rFonts w:cs="Times New Roman"/>
                <w:sz w:val="18"/>
                <w:szCs w:val="18"/>
              </w:rPr>
            </w:pPr>
            <w:proofErr w:type="spellStart"/>
            <w:r w:rsidRPr="00F6169F">
              <w:rPr>
                <w:rFonts w:cs="Times New Roman" w:hint="eastAsia"/>
                <w:sz w:val="18"/>
                <w:szCs w:val="18"/>
              </w:rPr>
              <w:t>RefSeq</w:t>
            </w:r>
            <w:proofErr w:type="spellEnd"/>
            <w:r w:rsidRPr="00F6169F">
              <w:rPr>
                <w:rFonts w:cs="Times New Roman" w:hint="eastAsia"/>
                <w:sz w:val="18"/>
                <w:szCs w:val="18"/>
              </w:rPr>
              <w:t xml:space="preserve"> ([CITE]) records are used when available to take advantage of their more thorough and consistent annotation.</w:t>
            </w:r>
          </w:p>
        </w:tc>
      </w:tr>
      <w:tr w:rsidR="00977718" w:rsidRPr="00F6169F" w14:paraId="1861F683" w14:textId="77777777" w:rsidTr="005F64C8">
        <w:tc>
          <w:tcPr>
            <w:tcW w:w="1555" w:type="dxa"/>
          </w:tcPr>
          <w:p w14:paraId="07E1A491"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Defined parameters during the experiment, the calculation formula of the index, and the description of the calculation process.</w:t>
            </w:r>
          </w:p>
        </w:tc>
        <w:tc>
          <w:tcPr>
            <w:tcW w:w="5386" w:type="dxa"/>
          </w:tcPr>
          <w:p w14:paraId="7672F962" w14:textId="77777777"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A second threshold given by Clb5,</w:t>
            </w:r>
            <w:proofErr w:type="gramStart"/>
            <w:r w:rsidRPr="00F6169F">
              <w:rPr>
                <w:rFonts w:cs="Times New Roman" w:hint="eastAsia"/>
                <w:sz w:val="18"/>
                <w:szCs w:val="18"/>
              </w:rPr>
              <w:t>6;Cdk</w:t>
            </w:r>
            <w:proofErr w:type="gramEnd"/>
            <w:r w:rsidRPr="00F6169F">
              <w:rPr>
                <w:rFonts w:cs="Times New Roman" w:hint="eastAsia"/>
                <w:sz w:val="18"/>
                <w:szCs w:val="18"/>
              </w:rPr>
              <w:t>1/Sic1 is required, together with the first one, to adjust the Ps value to carbon sources availability (low Ps in poor/ethanol media, high Ps in rich/glucose media) [CITE].</w:t>
            </w:r>
          </w:p>
          <w:p w14:paraId="33D612F9" w14:textId="77777777"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 xml:space="preserve">The </w:t>
            </w:r>
            <w:proofErr w:type="spellStart"/>
            <w:r w:rsidRPr="00F6169F">
              <w:rPr>
                <w:rFonts w:cs="Times New Roman" w:hint="eastAsia"/>
                <w:sz w:val="18"/>
                <w:szCs w:val="18"/>
              </w:rPr>
              <w:t>KetoCal</w:t>
            </w:r>
            <w:proofErr w:type="spellEnd"/>
            <w:r w:rsidRPr="00F6169F">
              <w:rPr>
                <w:rFonts w:cs="Times New Roman" w:hint="eastAsia"/>
                <w:sz w:val="18"/>
                <w:szCs w:val="18"/>
              </w:rPr>
              <w:t xml:space="preserve">; diet was fed to the mice in paste form (water: </w:t>
            </w:r>
            <w:proofErr w:type="spellStart"/>
            <w:r w:rsidRPr="00F6169F">
              <w:rPr>
                <w:rFonts w:cs="Times New Roman" w:hint="eastAsia"/>
                <w:sz w:val="18"/>
                <w:szCs w:val="18"/>
              </w:rPr>
              <w:t>KetoCal</w:t>
            </w:r>
            <w:proofErr w:type="spellEnd"/>
            <w:r w:rsidRPr="00F6169F">
              <w:rPr>
                <w:rFonts w:cs="Times New Roman" w:hint="eastAsia"/>
                <w:sz w:val="18"/>
                <w:szCs w:val="18"/>
              </w:rPr>
              <w:t>; 1:2) within the cage using procedures as we previously described [CITE].</w:t>
            </w:r>
          </w:p>
          <w:p w14:paraId="36A2A35D" w14:textId="77777777" w:rsidR="00977718" w:rsidRPr="00F6169F" w:rsidRDefault="00977718" w:rsidP="00977718">
            <w:pPr>
              <w:pStyle w:val="a8"/>
              <w:numPr>
                <w:ilvl w:val="0"/>
                <w:numId w:val="5"/>
              </w:numPr>
              <w:ind w:left="0" w:firstLineChars="0" w:firstLine="0"/>
              <w:rPr>
                <w:rFonts w:cs="Times New Roman"/>
                <w:sz w:val="18"/>
                <w:szCs w:val="18"/>
              </w:rPr>
            </w:pPr>
            <w:r w:rsidRPr="00F6169F">
              <w:rPr>
                <w:rFonts w:cs="Times New Roman" w:hint="eastAsia"/>
                <w:sz w:val="18"/>
                <w:szCs w:val="18"/>
              </w:rPr>
              <w:t>For both agents, we used doses below the threshold for growth retardation and systemic toxicity ([CITE]): 1 mg/kg for chlorpyrifos and either 1 or 2 mg/kg for diazinon.</w:t>
            </w:r>
          </w:p>
        </w:tc>
      </w:tr>
      <w:tr w:rsidR="00977718" w:rsidRPr="00F6169F" w14:paraId="49168CF9" w14:textId="77777777" w:rsidTr="005F64C8">
        <w:tc>
          <w:tcPr>
            <w:tcW w:w="1555" w:type="dxa"/>
          </w:tcPr>
          <w:p w14:paraId="013ABD43"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t>Subjects used in the experiment</w:t>
            </w:r>
          </w:p>
        </w:tc>
        <w:tc>
          <w:tcPr>
            <w:tcW w:w="5386" w:type="dxa"/>
          </w:tcPr>
          <w:p w14:paraId="457B5342" w14:textId="77777777"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A DL4-IgG fusion protein was used to monitor Notch1 expression ([CITE]).</w:t>
            </w:r>
          </w:p>
          <w:p w14:paraId="2735F35B" w14:textId="77777777"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siRNA duplexes (</w:t>
            </w:r>
            <w:proofErr w:type="spellStart"/>
            <w:r w:rsidRPr="00F6169F">
              <w:rPr>
                <w:rFonts w:cs="Times New Roman" w:hint="eastAsia"/>
                <w:sz w:val="18"/>
                <w:szCs w:val="18"/>
              </w:rPr>
              <w:t>SMARTpool</w:t>
            </w:r>
            <w:proofErr w:type="spellEnd"/>
            <w:r w:rsidRPr="00F6169F">
              <w:rPr>
                <w:rFonts w:cs="Times New Roman" w:hint="eastAsia"/>
                <w:sz w:val="18"/>
                <w:szCs w:val="18"/>
              </w:rPr>
              <w:t xml:space="preserve">, </w:t>
            </w:r>
            <w:proofErr w:type="spellStart"/>
            <w:r w:rsidRPr="00F6169F">
              <w:rPr>
                <w:rFonts w:cs="Times New Roman" w:hint="eastAsia"/>
                <w:sz w:val="18"/>
                <w:szCs w:val="18"/>
              </w:rPr>
              <w:t>Dharmacon</w:t>
            </w:r>
            <w:proofErr w:type="spellEnd"/>
            <w:r w:rsidRPr="00F6169F">
              <w:rPr>
                <w:rFonts w:cs="Times New Roman" w:hint="eastAsia"/>
                <w:sz w:val="18"/>
                <w:szCs w:val="18"/>
              </w:rPr>
              <w:t xml:space="preserve"> Research) designed to repress GSK-3; or non-specific control pool duplexes or siRNA duplexes designed to target </w:t>
            </w:r>
            <w:proofErr w:type="spellStart"/>
            <w:r w:rsidRPr="00F6169F">
              <w:rPr>
                <w:rFonts w:cs="Times New Roman" w:hint="eastAsia"/>
                <w:sz w:val="18"/>
                <w:szCs w:val="18"/>
              </w:rPr>
              <w:t>lamin</w:t>
            </w:r>
            <w:proofErr w:type="spellEnd"/>
            <w:r w:rsidRPr="00F6169F">
              <w:rPr>
                <w:rFonts w:cs="Times New Roman" w:hint="eastAsia"/>
                <w:sz w:val="18"/>
                <w:szCs w:val="18"/>
              </w:rPr>
              <w:t xml:space="preserve"> B1were transfected into DLD-1 cells using </w:t>
            </w:r>
            <w:proofErr w:type="spellStart"/>
            <w:r w:rsidRPr="00F6169F">
              <w:rPr>
                <w:rFonts w:cs="Times New Roman" w:hint="eastAsia"/>
                <w:sz w:val="18"/>
                <w:szCs w:val="18"/>
              </w:rPr>
              <w:t>OligofectAMINE</w:t>
            </w:r>
            <w:proofErr w:type="spellEnd"/>
            <w:r w:rsidRPr="00F6169F">
              <w:rPr>
                <w:rFonts w:cs="Times New Roman" w:hint="eastAsia"/>
                <w:sz w:val="18"/>
                <w:szCs w:val="18"/>
              </w:rPr>
              <w:t>; (Invitrogen) as describe [CITE].</w:t>
            </w:r>
          </w:p>
          <w:p w14:paraId="5BC5A9F9" w14:textId="77777777" w:rsidR="00977718" w:rsidRPr="00F6169F" w:rsidRDefault="00977718" w:rsidP="00977718">
            <w:pPr>
              <w:pStyle w:val="a8"/>
              <w:numPr>
                <w:ilvl w:val="0"/>
                <w:numId w:val="6"/>
              </w:numPr>
              <w:ind w:left="0" w:firstLineChars="0" w:firstLine="0"/>
              <w:rPr>
                <w:rFonts w:cs="Times New Roman"/>
                <w:sz w:val="18"/>
                <w:szCs w:val="18"/>
              </w:rPr>
            </w:pPr>
            <w:r w:rsidRPr="00F6169F">
              <w:rPr>
                <w:rFonts w:cs="Times New Roman" w:hint="eastAsia"/>
                <w:sz w:val="18"/>
                <w:szCs w:val="18"/>
              </w:rPr>
              <w:t>Preparation for immunochemistry was as described previously [CITE] using rabbit anti-</w:t>
            </w:r>
            <w:proofErr w:type="spellStart"/>
            <w:r w:rsidRPr="00F6169F">
              <w:rPr>
                <w:rFonts w:cs="Times New Roman" w:hint="eastAsia"/>
                <w:sz w:val="18"/>
                <w:szCs w:val="18"/>
              </w:rPr>
              <w:t>myc</w:t>
            </w:r>
            <w:proofErr w:type="spellEnd"/>
            <w:r w:rsidRPr="00F6169F">
              <w:rPr>
                <w:rFonts w:cs="Times New Roman" w:hint="eastAsia"/>
                <w:sz w:val="18"/>
                <w:szCs w:val="18"/>
              </w:rPr>
              <w:t xml:space="preserve"> (A-14) and anti-GFP (Invitrogen) antibodies, respectively, followed by 10 and 15 nm protein </w:t>
            </w:r>
            <w:proofErr w:type="spellStart"/>
            <w:proofErr w:type="gramStart"/>
            <w:r w:rsidRPr="00F6169F">
              <w:rPr>
                <w:rFonts w:cs="Times New Roman" w:hint="eastAsia"/>
                <w:sz w:val="18"/>
                <w:szCs w:val="18"/>
              </w:rPr>
              <w:t>A;gold</w:t>
            </w:r>
            <w:proofErr w:type="spellEnd"/>
            <w:proofErr w:type="gramEnd"/>
            <w:r w:rsidRPr="00F6169F">
              <w:rPr>
                <w:rFonts w:cs="Times New Roman" w:hint="eastAsia"/>
                <w:sz w:val="18"/>
                <w:szCs w:val="18"/>
              </w:rPr>
              <w:t>, respectively (Cell Microscopy Center, Utrecht University, Neth</w:t>
            </w:r>
            <w:r w:rsidRPr="00F6169F">
              <w:rPr>
                <w:rFonts w:cs="Times New Roman"/>
                <w:sz w:val="18"/>
                <w:szCs w:val="18"/>
              </w:rPr>
              <w:t>erlands).</w:t>
            </w:r>
          </w:p>
        </w:tc>
      </w:tr>
      <w:tr w:rsidR="00977718" w:rsidRPr="00F6169F" w14:paraId="077DE039" w14:textId="77777777" w:rsidTr="005F64C8">
        <w:tc>
          <w:tcPr>
            <w:tcW w:w="1555" w:type="dxa"/>
          </w:tcPr>
          <w:p w14:paraId="012B0C4B" w14:textId="77777777" w:rsidR="00977718" w:rsidRPr="00F6169F" w:rsidRDefault="00977718" w:rsidP="005F64C8">
            <w:pPr>
              <w:spacing w:beforeLines="50" w:before="156"/>
              <w:ind w:firstLineChars="0" w:firstLine="0"/>
              <w:rPr>
                <w:rFonts w:cs="Times New Roman"/>
                <w:sz w:val="18"/>
                <w:szCs w:val="18"/>
              </w:rPr>
            </w:pPr>
            <w:r w:rsidRPr="00F6169F">
              <w:rPr>
                <w:rFonts w:cs="Times New Roman"/>
                <w:sz w:val="18"/>
                <w:szCs w:val="18"/>
              </w:rPr>
              <w:lastRenderedPageBreak/>
              <w:t>Model name or mechanism with clear information</w:t>
            </w:r>
          </w:p>
        </w:tc>
        <w:tc>
          <w:tcPr>
            <w:tcW w:w="5386" w:type="dxa"/>
          </w:tcPr>
          <w:p w14:paraId="6B8358EF"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Since it is well established that the residual familial risk of breast cancer, not caused by BRCA1 or BRCA2 genes, could be explained by a polygenic or high-risk genes heterogeneity model [CITE], we selected individuals affected with breast cancer wit</w:t>
            </w:r>
            <w:r w:rsidRPr="00F6169F">
              <w:rPr>
                <w:rFonts w:cs="Times New Roman"/>
                <w:sz w:val="18"/>
                <w:szCs w:val="18"/>
              </w:rPr>
              <w:t>hout mutations in BRCA1/2 genes from high-risk families (one individual per family), in order to increase the power of the study to find genetic variants involved in breast cancer susceptibility.</w:t>
            </w:r>
          </w:p>
          <w:p w14:paraId="28F7B1CD"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By using animal models, a more optimized study design may be provided [CITE], as a number of identical (inbred) individuals under the same treatment and environmental conditions are compared and tissue collected at the same time point by the same rese</w:t>
            </w:r>
            <w:r w:rsidRPr="00F6169F">
              <w:rPr>
                <w:rFonts w:cs="Times New Roman"/>
                <w:sz w:val="18"/>
                <w:szCs w:val="18"/>
              </w:rPr>
              <w:t>archer.</w:t>
            </w:r>
          </w:p>
          <w:p w14:paraId="416CD6EC" w14:textId="77777777" w:rsidR="00977718" w:rsidRPr="00F6169F" w:rsidRDefault="00977718" w:rsidP="00977718">
            <w:pPr>
              <w:pStyle w:val="a8"/>
              <w:numPr>
                <w:ilvl w:val="0"/>
                <w:numId w:val="7"/>
              </w:numPr>
              <w:ind w:left="0" w:firstLineChars="0" w:firstLine="0"/>
              <w:rPr>
                <w:rFonts w:cs="Times New Roman"/>
                <w:sz w:val="18"/>
                <w:szCs w:val="18"/>
              </w:rPr>
            </w:pPr>
            <w:r w:rsidRPr="00F6169F">
              <w:rPr>
                <w:rFonts w:cs="Times New Roman" w:hint="eastAsia"/>
                <w:sz w:val="18"/>
                <w:szCs w:val="18"/>
              </w:rPr>
              <w:t>It is inconsistent with search-and-capture models and computational models based on asters and motors [CITE] because minus ends are not located in discrete nucleating structures at poles.</w:t>
            </w:r>
          </w:p>
        </w:tc>
      </w:tr>
    </w:tbl>
    <w:p w14:paraId="030F9EF0" w14:textId="77777777" w:rsidR="00977718" w:rsidRDefault="00977718" w:rsidP="00977718">
      <w:pPr>
        <w:ind w:firstLineChars="0" w:firstLine="0"/>
        <w:rPr>
          <w:rFonts w:cs="Times New Roman"/>
          <w:szCs w:val="20"/>
        </w:rPr>
      </w:pPr>
    </w:p>
    <w:p w14:paraId="09510175" w14:textId="77777777" w:rsidR="00977718" w:rsidRPr="00883A4D" w:rsidRDefault="00977718" w:rsidP="00977718">
      <w:pPr>
        <w:pStyle w:val="3"/>
        <w:numPr>
          <w:ilvl w:val="0"/>
          <w:numId w:val="0"/>
        </w:numPr>
        <w:spacing w:before="156" w:after="156"/>
      </w:pPr>
      <w:r w:rsidRPr="00883A4D">
        <w:rPr>
          <w:rFonts w:hint="eastAsia"/>
          <w:szCs w:val="20"/>
        </w:rPr>
        <w:t>C</w:t>
      </w:r>
      <w:r w:rsidRPr="00883A4D">
        <w:rPr>
          <w:szCs w:val="20"/>
        </w:rPr>
        <w:t>onclusion</w:t>
      </w:r>
    </w:p>
    <w:p w14:paraId="03B195B0" w14:textId="77777777" w:rsidR="00977718" w:rsidRDefault="00977718" w:rsidP="00977718">
      <w:pPr>
        <w:ind w:firstLine="200"/>
        <w:rPr>
          <w:rFonts w:cs="Times New Roman"/>
          <w:szCs w:val="20"/>
        </w:rPr>
      </w:pPr>
      <w:r>
        <w:rPr>
          <w:rFonts w:cs="Times New Roman"/>
          <w:szCs w:val="20"/>
        </w:rPr>
        <w:t xml:space="preserve">When the sentences contain the conclusions obtained by the cited paper </w:t>
      </w:r>
      <w:r>
        <w:rPr>
          <w:rFonts w:cs="Times New Roman" w:hint="eastAsia"/>
          <w:szCs w:val="20"/>
        </w:rPr>
        <w:t>o</w:t>
      </w:r>
      <w:r>
        <w:rPr>
          <w:rFonts w:cs="Times New Roman"/>
          <w:szCs w:val="20"/>
        </w:rPr>
        <w:t>r make summary b</w:t>
      </w:r>
      <w:r>
        <w:rPr>
          <w:rFonts w:cs="Times New Roman" w:hint="eastAsia"/>
          <w:szCs w:val="20"/>
        </w:rPr>
        <w:t>ased</w:t>
      </w:r>
      <w:r>
        <w:rPr>
          <w:rFonts w:cs="Times New Roman"/>
          <w:szCs w:val="20"/>
        </w:rPr>
        <w:t xml:space="preserve"> </w:t>
      </w:r>
      <w:r>
        <w:rPr>
          <w:rFonts w:cs="Times New Roman" w:hint="eastAsia"/>
          <w:szCs w:val="20"/>
        </w:rPr>
        <w:t>o</w:t>
      </w:r>
      <w:r>
        <w:rPr>
          <w:rFonts w:cs="Times New Roman"/>
          <w:szCs w:val="20"/>
        </w:rPr>
        <w:t xml:space="preserve">n the experimental results in cited paper, annotators could label the citing sentence to be </w:t>
      </w:r>
      <w:r w:rsidRPr="003306DC">
        <w:rPr>
          <w:rFonts w:cs="Times New Roman" w:hint="eastAsia"/>
          <w:i/>
          <w:iCs/>
          <w:szCs w:val="20"/>
        </w:rPr>
        <w:t>C</w:t>
      </w:r>
      <w:r w:rsidRPr="003306DC">
        <w:rPr>
          <w:rFonts w:cs="Times New Roman"/>
          <w:i/>
          <w:iCs/>
          <w:szCs w:val="20"/>
        </w:rPr>
        <w:t>onclusion</w:t>
      </w:r>
      <w:r>
        <w:rPr>
          <w:rFonts w:cs="Times New Roman"/>
          <w:szCs w:val="20"/>
        </w:rPr>
        <w:t xml:space="preserve"> category. We have clarified three situations: user query contains the description of results and conclusion from cited paper; user query contains the hypotheses and future prospects; user query reveals correlations between two objects. Following clue words in Table B.4 can be referred to.</w:t>
      </w:r>
      <w:r w:rsidRPr="00962E17">
        <w:rPr>
          <w:rFonts w:cs="Times New Roman"/>
          <w:szCs w:val="20"/>
        </w:rPr>
        <w:t xml:space="preserve"> </w:t>
      </w:r>
      <w:r>
        <w:rPr>
          <w:rFonts w:cs="Times New Roman"/>
          <w:szCs w:val="20"/>
        </w:rPr>
        <w:t>More detailed examples are given in Table B.5.</w:t>
      </w:r>
    </w:p>
    <w:p w14:paraId="4EC8438A" w14:textId="777777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B.4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980"/>
        <w:gridCol w:w="4926"/>
      </w:tblGrid>
      <w:tr w:rsidR="00977718" w14:paraId="3E352CBD" w14:textId="77777777" w:rsidTr="005F64C8">
        <w:trPr>
          <w:trHeight w:val="448"/>
        </w:trPr>
        <w:tc>
          <w:tcPr>
            <w:tcW w:w="1980" w:type="dxa"/>
            <w:vAlign w:val="center"/>
          </w:tcPr>
          <w:p w14:paraId="73D3E212"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4926" w:type="dxa"/>
            <w:vAlign w:val="center"/>
          </w:tcPr>
          <w:p w14:paraId="2294B6CA"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7172091A" w14:textId="77777777" w:rsidTr="005F64C8">
        <w:trPr>
          <w:trHeight w:val="649"/>
        </w:trPr>
        <w:tc>
          <w:tcPr>
            <w:tcW w:w="1980" w:type="dxa"/>
            <w:vAlign w:val="center"/>
          </w:tcPr>
          <w:p w14:paraId="190221D5" w14:textId="77777777" w:rsidR="00977718" w:rsidRDefault="00977718" w:rsidP="005F64C8">
            <w:pPr>
              <w:ind w:firstLineChars="0" w:firstLine="0"/>
              <w:rPr>
                <w:rFonts w:cs="Times New Roman"/>
                <w:szCs w:val="20"/>
              </w:rPr>
            </w:pPr>
            <w:r>
              <w:rPr>
                <w:rFonts w:cs="Times New Roman"/>
                <w:szCs w:val="20"/>
              </w:rPr>
              <w:t>Verb</w:t>
            </w:r>
          </w:p>
        </w:tc>
        <w:tc>
          <w:tcPr>
            <w:tcW w:w="4926" w:type="dxa"/>
            <w:vAlign w:val="center"/>
          </w:tcPr>
          <w:p w14:paraId="01D8B3B0" w14:textId="77777777" w:rsidR="00977718" w:rsidRDefault="00977718" w:rsidP="005F64C8">
            <w:pPr>
              <w:ind w:firstLineChars="0" w:firstLine="0"/>
              <w:rPr>
                <w:rFonts w:cs="Times New Roman"/>
                <w:szCs w:val="20"/>
              </w:rPr>
            </w:pPr>
            <w:r w:rsidRPr="00962E17">
              <w:rPr>
                <w:rFonts w:cs="Times New Roman"/>
                <w:szCs w:val="20"/>
              </w:rPr>
              <w:t>report, verify, identify, cause, induce, found, seen, suggest, reveal, indicate, demonstrate, support</w:t>
            </w:r>
          </w:p>
        </w:tc>
      </w:tr>
      <w:tr w:rsidR="00977718" w14:paraId="78FEA920" w14:textId="77777777" w:rsidTr="005F64C8">
        <w:trPr>
          <w:trHeight w:val="417"/>
        </w:trPr>
        <w:tc>
          <w:tcPr>
            <w:tcW w:w="1980" w:type="dxa"/>
            <w:vAlign w:val="center"/>
          </w:tcPr>
          <w:p w14:paraId="3ED4240F" w14:textId="77777777" w:rsidR="00977718" w:rsidRDefault="00977718" w:rsidP="005F64C8">
            <w:pPr>
              <w:ind w:firstLineChars="0" w:firstLine="0"/>
              <w:rPr>
                <w:rFonts w:cs="Times New Roman"/>
                <w:szCs w:val="20"/>
              </w:rPr>
            </w:pPr>
            <w:r w:rsidRPr="00962E17">
              <w:rPr>
                <w:rFonts w:cs="Times New Roman"/>
                <w:szCs w:val="20"/>
              </w:rPr>
              <w:t>Nouns, adjectives, prepositions, adverbs</w:t>
            </w:r>
          </w:p>
        </w:tc>
        <w:tc>
          <w:tcPr>
            <w:tcW w:w="4926" w:type="dxa"/>
            <w:vAlign w:val="center"/>
          </w:tcPr>
          <w:p w14:paraId="6B78165C" w14:textId="77777777" w:rsidR="00977718" w:rsidRDefault="00977718" w:rsidP="005F64C8">
            <w:pPr>
              <w:ind w:firstLineChars="0" w:firstLine="0"/>
              <w:rPr>
                <w:rFonts w:cs="Times New Roman"/>
                <w:szCs w:val="20"/>
              </w:rPr>
            </w:pPr>
            <w:r w:rsidRPr="00962E17">
              <w:rPr>
                <w:rFonts w:cs="Times New Roman"/>
                <w:szCs w:val="20"/>
              </w:rPr>
              <w:t>evidence, associated, correlated, important, related, empirically, future, hypothesis, importance, association, thus, because, since</w:t>
            </w:r>
          </w:p>
        </w:tc>
      </w:tr>
      <w:tr w:rsidR="00977718" w14:paraId="09AB7F13" w14:textId="77777777" w:rsidTr="005F64C8">
        <w:trPr>
          <w:trHeight w:val="539"/>
        </w:trPr>
        <w:tc>
          <w:tcPr>
            <w:tcW w:w="1980" w:type="dxa"/>
            <w:vAlign w:val="center"/>
          </w:tcPr>
          <w:p w14:paraId="5CAB2B6E" w14:textId="77777777" w:rsidR="00977718" w:rsidRDefault="00977718" w:rsidP="005F64C8">
            <w:pPr>
              <w:ind w:firstLineChars="0" w:firstLine="0"/>
              <w:rPr>
                <w:rFonts w:cs="Times New Roman"/>
                <w:szCs w:val="20"/>
              </w:rPr>
            </w:pPr>
            <w:r>
              <w:rPr>
                <w:rFonts w:cs="Times New Roman"/>
                <w:szCs w:val="20"/>
              </w:rPr>
              <w:t>Phrases</w:t>
            </w:r>
          </w:p>
        </w:tc>
        <w:tc>
          <w:tcPr>
            <w:tcW w:w="4926" w:type="dxa"/>
            <w:vAlign w:val="center"/>
          </w:tcPr>
          <w:p w14:paraId="2DAE1013" w14:textId="77777777" w:rsidR="00977718" w:rsidRDefault="00977718" w:rsidP="005F64C8">
            <w:pPr>
              <w:ind w:firstLineChars="0" w:firstLine="0"/>
              <w:rPr>
                <w:rFonts w:cs="Times New Roman"/>
                <w:szCs w:val="20"/>
              </w:rPr>
            </w:pPr>
            <w:r w:rsidRPr="00962E17">
              <w:rPr>
                <w:rFonts w:cs="Times New Roman"/>
                <w:szCs w:val="20"/>
              </w:rPr>
              <w:t>indeed, in fact, result in, lead to, consistent with, be regarded as, be believed to</w:t>
            </w:r>
          </w:p>
        </w:tc>
      </w:tr>
    </w:tbl>
    <w:p w14:paraId="1336AB09" w14:textId="77777777"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B.5 Different kinds of examples </w:t>
      </w:r>
      <w:r>
        <w:rPr>
          <w:rFonts w:cs="Times New Roman" w:hint="eastAsia"/>
          <w:szCs w:val="20"/>
        </w:rPr>
        <w:t>f</w:t>
      </w:r>
      <w:r>
        <w:rPr>
          <w:rFonts w:cs="Times New Roman"/>
          <w:szCs w:val="20"/>
        </w:rPr>
        <w:t>or Conclusion category</w:t>
      </w:r>
    </w:p>
    <w:tbl>
      <w:tblPr>
        <w:tblStyle w:val="a7"/>
        <w:tblW w:w="6941" w:type="dxa"/>
        <w:tblCellMar>
          <w:left w:w="57" w:type="dxa"/>
          <w:right w:w="57" w:type="dxa"/>
        </w:tblCellMar>
        <w:tblLook w:val="04A0" w:firstRow="1" w:lastRow="0" w:firstColumn="1" w:lastColumn="0" w:noHBand="0" w:noVBand="1"/>
      </w:tblPr>
      <w:tblGrid>
        <w:gridCol w:w="1696"/>
        <w:gridCol w:w="5245"/>
      </w:tblGrid>
      <w:tr w:rsidR="00977718" w:rsidRPr="00F6169F" w14:paraId="48EB44BC" w14:textId="77777777" w:rsidTr="005F64C8">
        <w:trPr>
          <w:trHeight w:val="402"/>
        </w:trPr>
        <w:tc>
          <w:tcPr>
            <w:tcW w:w="1696" w:type="dxa"/>
            <w:vAlign w:val="center"/>
          </w:tcPr>
          <w:p w14:paraId="334C356A"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5245" w:type="dxa"/>
            <w:vAlign w:val="center"/>
          </w:tcPr>
          <w:p w14:paraId="0DA9DF61"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5A15D827" w14:textId="77777777" w:rsidTr="005F64C8">
        <w:tc>
          <w:tcPr>
            <w:tcW w:w="1696" w:type="dxa"/>
          </w:tcPr>
          <w:p w14:paraId="04B8B87E" w14:textId="77777777" w:rsidR="00977718" w:rsidRPr="00F6169F" w:rsidRDefault="00977718" w:rsidP="005F64C8">
            <w:pPr>
              <w:spacing w:beforeLines="50" w:before="156"/>
              <w:ind w:firstLineChars="0" w:firstLine="0"/>
              <w:rPr>
                <w:rFonts w:cs="Times New Roman"/>
                <w:sz w:val="18"/>
                <w:szCs w:val="18"/>
              </w:rPr>
            </w:pPr>
            <w:r>
              <w:rPr>
                <w:rFonts w:cs="Times New Roman"/>
                <w:sz w:val="18"/>
                <w:szCs w:val="18"/>
              </w:rPr>
              <w:t>E</w:t>
            </w:r>
            <w:r w:rsidRPr="00962E17">
              <w:rPr>
                <w:rFonts w:cs="Times New Roman"/>
                <w:sz w:val="18"/>
                <w:szCs w:val="18"/>
              </w:rPr>
              <w:t>xperimental results and experimental phenomena</w:t>
            </w:r>
          </w:p>
        </w:tc>
        <w:tc>
          <w:tcPr>
            <w:tcW w:w="5245" w:type="dxa"/>
          </w:tcPr>
          <w:p w14:paraId="3D8A653B" w14:textId="77777777" w:rsidR="00977718" w:rsidRPr="00962E17" w:rsidRDefault="00977718" w:rsidP="00977718">
            <w:pPr>
              <w:pStyle w:val="a8"/>
              <w:numPr>
                <w:ilvl w:val="0"/>
                <w:numId w:val="8"/>
              </w:numPr>
              <w:ind w:left="0" w:firstLineChars="0" w:firstLine="0"/>
              <w:rPr>
                <w:rFonts w:cs="Times New Roman"/>
                <w:sz w:val="18"/>
                <w:szCs w:val="18"/>
              </w:rPr>
            </w:pPr>
            <w:r w:rsidRPr="00962E17">
              <w:rPr>
                <w:rFonts w:cs="Times New Roman"/>
                <w:sz w:val="18"/>
                <w:szCs w:val="18"/>
              </w:rPr>
              <w:t>In a 12-year longitudinal study of participants in NHANES III</w:t>
            </w:r>
            <w:proofErr w:type="gramStart"/>
            <w:r w:rsidRPr="00962E17">
              <w:rPr>
                <w:rFonts w:cs="Times New Roman"/>
                <w:sz w:val="18"/>
                <w:szCs w:val="18"/>
              </w:rPr>
              <w:t>, ;</w:t>
            </w:r>
            <w:proofErr w:type="gramEnd"/>
            <w:r w:rsidRPr="00962E17">
              <w:rPr>
                <w:rFonts w:cs="Times New Roman"/>
                <w:sz w:val="18"/>
                <w:szCs w:val="18"/>
              </w:rPr>
              <w:t xml:space="preserve"> 40 years of age (n = 9,757), the subgroup with blood lead concentration ; 10 ;g/dL (median, 11.8) had a relative risk of cardiovascular mortality of 1.59 (95% CI, 1.28;1.98) compared with subjects with blood lead ; 5 ;g/dL. [CITE].</w:t>
            </w:r>
          </w:p>
          <w:p w14:paraId="015A6FC4" w14:textId="77777777" w:rsidR="00977718" w:rsidRPr="00962E17" w:rsidRDefault="00977718" w:rsidP="00977718">
            <w:pPr>
              <w:pStyle w:val="a8"/>
              <w:numPr>
                <w:ilvl w:val="0"/>
                <w:numId w:val="8"/>
              </w:numPr>
              <w:ind w:left="0" w:firstLineChars="0" w:firstLine="0"/>
              <w:rPr>
                <w:rFonts w:cs="Times New Roman"/>
                <w:sz w:val="18"/>
                <w:szCs w:val="18"/>
              </w:rPr>
            </w:pPr>
            <w:r w:rsidRPr="00962E17">
              <w:rPr>
                <w:rFonts w:cs="Times New Roman"/>
                <w:sz w:val="18"/>
                <w:szCs w:val="18"/>
              </w:rPr>
              <w:t xml:space="preserve">In association, E2F was found to be significantly up regulated and its </w:t>
            </w:r>
            <w:r w:rsidRPr="00962E17">
              <w:rPr>
                <w:rFonts w:cs="Times New Roman"/>
                <w:sz w:val="18"/>
                <w:szCs w:val="18"/>
              </w:rPr>
              <w:lastRenderedPageBreak/>
              <w:t>up regulation corresponded to increased expression of various cyclins with a predominant effect on cyclin D consistent with previous reports [CITE].</w:t>
            </w:r>
          </w:p>
          <w:p w14:paraId="057E51D4" w14:textId="77777777" w:rsidR="00977718" w:rsidRPr="00962E17" w:rsidRDefault="00977718" w:rsidP="00977718">
            <w:pPr>
              <w:pStyle w:val="a8"/>
              <w:numPr>
                <w:ilvl w:val="0"/>
                <w:numId w:val="8"/>
              </w:numPr>
              <w:ind w:left="0" w:firstLineChars="0" w:firstLine="0"/>
              <w:rPr>
                <w:rFonts w:cs="Times New Roman"/>
                <w:sz w:val="18"/>
                <w:szCs w:val="18"/>
              </w:rPr>
            </w:pPr>
            <w:r w:rsidRPr="00962E17">
              <w:rPr>
                <w:rFonts w:cs="Times New Roman"/>
                <w:sz w:val="18"/>
                <w:szCs w:val="18"/>
              </w:rPr>
              <w:t>Apparent HIV-1 assembly in endosomes appears especially prominent in macrophages, in which very large numbers of virion particles are found within compartments containing the late endosomal markers CD63 and lysosome-associated membrane protein-1 (Lamp1) [CITE].</w:t>
            </w:r>
          </w:p>
        </w:tc>
      </w:tr>
      <w:tr w:rsidR="00977718" w:rsidRPr="00F6169F" w14:paraId="4CC25C0D" w14:textId="77777777" w:rsidTr="005F64C8">
        <w:tc>
          <w:tcPr>
            <w:tcW w:w="1696" w:type="dxa"/>
          </w:tcPr>
          <w:p w14:paraId="131246F7" w14:textId="77777777" w:rsidR="00977718" w:rsidRDefault="00977718" w:rsidP="005F64C8">
            <w:pPr>
              <w:spacing w:beforeLines="50" w:before="156"/>
              <w:ind w:firstLineChars="0" w:firstLine="0"/>
              <w:rPr>
                <w:rFonts w:cs="Times New Roman"/>
                <w:sz w:val="18"/>
                <w:szCs w:val="18"/>
              </w:rPr>
            </w:pPr>
            <w:r w:rsidRPr="00962E17">
              <w:rPr>
                <w:rFonts w:cs="Times New Roman"/>
                <w:sz w:val="18"/>
                <w:szCs w:val="18"/>
              </w:rPr>
              <w:lastRenderedPageBreak/>
              <w:t xml:space="preserve">The </w:t>
            </w:r>
            <w:r>
              <w:rPr>
                <w:rFonts w:cs="Times New Roman"/>
                <w:sz w:val="18"/>
                <w:szCs w:val="18"/>
              </w:rPr>
              <w:t>description</w:t>
            </w:r>
            <w:r w:rsidRPr="00962E17">
              <w:rPr>
                <w:rFonts w:cs="Times New Roman"/>
                <w:sz w:val="18"/>
                <w:szCs w:val="18"/>
              </w:rPr>
              <w:t xml:space="preserve"> of experimental conclusions of cited articles</w:t>
            </w:r>
            <w:r>
              <w:rPr>
                <w:rFonts w:cs="Times New Roman"/>
                <w:sz w:val="18"/>
                <w:szCs w:val="18"/>
              </w:rPr>
              <w:t xml:space="preserve"> which</w:t>
            </w:r>
            <w:r w:rsidRPr="00962E17">
              <w:rPr>
                <w:rFonts w:cs="Times New Roman"/>
                <w:sz w:val="18"/>
                <w:szCs w:val="18"/>
              </w:rPr>
              <w:t xml:space="preserve"> often contains clue words.</w:t>
            </w:r>
          </w:p>
        </w:tc>
        <w:tc>
          <w:tcPr>
            <w:tcW w:w="5245" w:type="dxa"/>
          </w:tcPr>
          <w:p w14:paraId="3F393072" w14:textId="77777777" w:rsidR="00977718" w:rsidRPr="0006527F" w:rsidRDefault="00977718" w:rsidP="00977718">
            <w:pPr>
              <w:pStyle w:val="a8"/>
              <w:numPr>
                <w:ilvl w:val="0"/>
                <w:numId w:val="9"/>
              </w:numPr>
              <w:ind w:left="0" w:firstLineChars="0" w:firstLine="0"/>
              <w:rPr>
                <w:rFonts w:cs="Times New Roman"/>
                <w:sz w:val="18"/>
                <w:szCs w:val="18"/>
              </w:rPr>
            </w:pPr>
            <w:r w:rsidRPr="0006527F">
              <w:rPr>
                <w:rFonts w:cs="Times New Roman"/>
                <w:sz w:val="18"/>
                <w:szCs w:val="18"/>
              </w:rPr>
              <w:t xml:space="preserve">In support to our </w:t>
            </w:r>
            <w:proofErr w:type="gramStart"/>
            <w:r w:rsidRPr="0006527F">
              <w:rPr>
                <w:rFonts w:cs="Times New Roman"/>
                <w:sz w:val="18"/>
                <w:szCs w:val="18"/>
              </w:rPr>
              <w:t>data</w:t>
            </w:r>
            <w:proofErr w:type="gramEnd"/>
            <w:r w:rsidRPr="0006527F">
              <w:rPr>
                <w:rFonts w:cs="Times New Roman"/>
                <w:sz w:val="18"/>
                <w:szCs w:val="18"/>
              </w:rPr>
              <w:t xml:space="preserve"> it was recently reported that high levels of PCBs in Slovakia male serum samples were associated with a decreased ER mediated activity and increased AhR mediated activity [CITE].</w:t>
            </w:r>
          </w:p>
          <w:p w14:paraId="10046088" w14:textId="77777777" w:rsidR="00977718" w:rsidRPr="0006527F" w:rsidRDefault="00977718" w:rsidP="00977718">
            <w:pPr>
              <w:pStyle w:val="a8"/>
              <w:numPr>
                <w:ilvl w:val="0"/>
                <w:numId w:val="9"/>
              </w:numPr>
              <w:ind w:left="0" w:firstLineChars="0" w:firstLine="0"/>
              <w:rPr>
                <w:rFonts w:cs="Times New Roman"/>
                <w:sz w:val="18"/>
                <w:szCs w:val="18"/>
              </w:rPr>
            </w:pPr>
            <w:r w:rsidRPr="0006527F">
              <w:rPr>
                <w:rFonts w:cs="Times New Roman"/>
                <w:sz w:val="18"/>
                <w:szCs w:val="18"/>
              </w:rPr>
              <w:t xml:space="preserve">Accumulating evidence suggests that </w:t>
            </w:r>
            <w:proofErr w:type="spellStart"/>
            <w:r w:rsidRPr="0006527F">
              <w:rPr>
                <w:rFonts w:cs="Times New Roman"/>
                <w:sz w:val="18"/>
                <w:szCs w:val="18"/>
              </w:rPr>
              <w:t>pDCs</w:t>
            </w:r>
            <w:proofErr w:type="spellEnd"/>
            <w:r w:rsidRPr="0006527F">
              <w:rPr>
                <w:rFonts w:cs="Times New Roman"/>
                <w:sz w:val="18"/>
                <w:szCs w:val="18"/>
              </w:rPr>
              <w:t xml:space="preserve"> (also known as natural IFN</w:t>
            </w:r>
            <w:proofErr w:type="gramStart"/>
            <w:r w:rsidRPr="0006527F">
              <w:rPr>
                <w:rFonts w:cs="Times New Roman"/>
                <w:sz w:val="18"/>
                <w:szCs w:val="18"/>
              </w:rPr>
              <w:t>-;-</w:t>
            </w:r>
            <w:proofErr w:type="gramEnd"/>
            <w:r w:rsidRPr="0006527F">
              <w:rPr>
                <w:rFonts w:cs="Times New Roman"/>
                <w:sz w:val="18"/>
                <w:szCs w:val="18"/>
              </w:rPr>
              <w:t>producing cells) are the major, but not exclusive, producers of type I IFNs following infections with DNA viruses (mouse cytomegalovirus, herpes simplex viruses types 2 and 1) [CITE], and following stimulation with certain types of CpG-ODNs (types A and C).</w:t>
            </w:r>
          </w:p>
          <w:p w14:paraId="12F7F017" w14:textId="77777777" w:rsidR="00977718" w:rsidRPr="00962E17" w:rsidRDefault="00977718" w:rsidP="00977718">
            <w:pPr>
              <w:pStyle w:val="a8"/>
              <w:numPr>
                <w:ilvl w:val="0"/>
                <w:numId w:val="9"/>
              </w:numPr>
              <w:ind w:left="0" w:firstLineChars="0" w:firstLine="0"/>
              <w:rPr>
                <w:rFonts w:cs="Times New Roman"/>
                <w:sz w:val="18"/>
                <w:szCs w:val="18"/>
              </w:rPr>
            </w:pPr>
            <w:r w:rsidRPr="0006527F">
              <w:rPr>
                <w:rFonts w:cs="Times New Roman"/>
                <w:sz w:val="18"/>
                <w:szCs w:val="18"/>
              </w:rPr>
              <w:t xml:space="preserve">Since the failure of treatment with corticosteroids to ameliorate severe cerebral malaria has been used as evidence against cytokine </w:t>
            </w:r>
            <w:proofErr w:type="gramStart"/>
            <w:r w:rsidRPr="0006527F">
              <w:rPr>
                <w:rFonts w:cs="Times New Roman"/>
                <w:sz w:val="18"/>
                <w:szCs w:val="18"/>
              </w:rPr>
              <w:t>involvement ,</w:t>
            </w:r>
            <w:proofErr w:type="gramEnd"/>
            <w:r w:rsidRPr="0006527F">
              <w:rPr>
                <w:rFonts w:cs="Times New Roman"/>
                <w:sz w:val="18"/>
                <w:szCs w:val="18"/>
              </w:rPr>
              <w:t xml:space="preserve"> it warrants recalling that MIF, known to be high in this circumstance [CITE], antagonizes glucocorticoids , and nitric oxide (noting </w:t>
            </w:r>
            <w:proofErr w:type="spellStart"/>
            <w:r w:rsidRPr="0006527F">
              <w:rPr>
                <w:rFonts w:cs="Times New Roman"/>
                <w:sz w:val="18"/>
                <w:szCs w:val="18"/>
              </w:rPr>
              <w:t>iNOS</w:t>
            </w:r>
            <w:proofErr w:type="spellEnd"/>
            <w:r w:rsidRPr="0006527F">
              <w:rPr>
                <w:rFonts w:cs="Times New Roman"/>
                <w:sz w:val="18"/>
                <w:szCs w:val="18"/>
              </w:rPr>
              <w:t xml:space="preserve"> is also high [CITE]) inhibits glucocorticoid binding to its receptor.</w:t>
            </w:r>
          </w:p>
        </w:tc>
      </w:tr>
      <w:tr w:rsidR="00977718" w:rsidRPr="00F6169F" w14:paraId="093B8896" w14:textId="77777777" w:rsidTr="005F64C8">
        <w:tc>
          <w:tcPr>
            <w:tcW w:w="1696" w:type="dxa"/>
          </w:tcPr>
          <w:p w14:paraId="57523351" w14:textId="77777777" w:rsidR="00977718" w:rsidRDefault="00977718" w:rsidP="005F64C8">
            <w:pPr>
              <w:spacing w:beforeLines="50" w:before="156"/>
              <w:ind w:firstLineChars="0" w:firstLine="0"/>
              <w:rPr>
                <w:rFonts w:cs="Times New Roman"/>
                <w:sz w:val="18"/>
                <w:szCs w:val="18"/>
              </w:rPr>
            </w:pPr>
            <w:r w:rsidRPr="0006527F">
              <w:rPr>
                <w:rFonts w:cs="Times New Roman"/>
                <w:sz w:val="18"/>
                <w:szCs w:val="18"/>
              </w:rPr>
              <w:t>The hypothesis and the outlook for the future</w:t>
            </w:r>
            <w:r>
              <w:rPr>
                <w:rFonts w:cs="Times New Roman"/>
                <w:sz w:val="18"/>
                <w:szCs w:val="18"/>
              </w:rPr>
              <w:t>.</w:t>
            </w:r>
          </w:p>
        </w:tc>
        <w:tc>
          <w:tcPr>
            <w:tcW w:w="5245" w:type="dxa"/>
          </w:tcPr>
          <w:p w14:paraId="0787870A" w14:textId="77777777" w:rsidR="00977718" w:rsidRPr="0006527F" w:rsidRDefault="00977718" w:rsidP="00977718">
            <w:pPr>
              <w:pStyle w:val="a8"/>
              <w:numPr>
                <w:ilvl w:val="0"/>
                <w:numId w:val="10"/>
              </w:numPr>
              <w:ind w:left="0" w:firstLineChars="0" w:firstLine="0"/>
              <w:rPr>
                <w:rFonts w:cs="Times New Roman"/>
                <w:sz w:val="18"/>
                <w:szCs w:val="18"/>
              </w:rPr>
            </w:pPr>
            <w:r w:rsidRPr="0006527F">
              <w:rPr>
                <w:rFonts w:cs="Times New Roman"/>
                <w:sz w:val="18"/>
                <w:szCs w:val="18"/>
              </w:rPr>
              <w:t xml:space="preserve">Virus assembly may be stabilized at this compartment by the </w:t>
            </w:r>
            <w:proofErr w:type="spellStart"/>
            <w:r w:rsidRPr="0006527F">
              <w:rPr>
                <w:rFonts w:cs="Times New Roman"/>
                <w:sz w:val="18"/>
                <w:szCs w:val="18"/>
              </w:rPr>
              <w:t>tetraspanins</w:t>
            </w:r>
            <w:proofErr w:type="spellEnd"/>
            <w:r w:rsidRPr="0006527F">
              <w:rPr>
                <w:rFonts w:cs="Times New Roman"/>
                <w:sz w:val="18"/>
                <w:szCs w:val="18"/>
              </w:rPr>
              <w:t xml:space="preserve">, as it has been suggested that HIV assembly may be gated through </w:t>
            </w:r>
            <w:proofErr w:type="spellStart"/>
            <w:r w:rsidRPr="0006527F">
              <w:rPr>
                <w:rFonts w:cs="Times New Roman"/>
                <w:sz w:val="18"/>
                <w:szCs w:val="18"/>
              </w:rPr>
              <w:t>tetraspanin</w:t>
            </w:r>
            <w:proofErr w:type="spellEnd"/>
            <w:r w:rsidRPr="0006527F">
              <w:rPr>
                <w:rFonts w:cs="Times New Roman"/>
                <w:sz w:val="18"/>
                <w:szCs w:val="18"/>
              </w:rPr>
              <w:t>-enriched microdomains [CITE].</w:t>
            </w:r>
          </w:p>
          <w:p w14:paraId="75545196" w14:textId="77777777" w:rsidR="00977718" w:rsidRPr="0006527F" w:rsidRDefault="00977718" w:rsidP="00977718">
            <w:pPr>
              <w:pStyle w:val="a8"/>
              <w:numPr>
                <w:ilvl w:val="0"/>
                <w:numId w:val="10"/>
              </w:numPr>
              <w:ind w:left="0" w:firstLineChars="0" w:firstLine="0"/>
              <w:rPr>
                <w:rFonts w:cs="Times New Roman"/>
                <w:sz w:val="18"/>
                <w:szCs w:val="18"/>
              </w:rPr>
            </w:pPr>
            <w:r w:rsidRPr="0006527F">
              <w:rPr>
                <w:rFonts w:cs="Times New Roman"/>
                <w:sz w:val="18"/>
                <w:szCs w:val="18"/>
              </w:rPr>
              <w:t>If it is indeed because of a requirement for a more stable secondary structure, then we may expect that the predicted stability of mRNAs from closed regions would be greater than those in open [CITE].</w:t>
            </w:r>
          </w:p>
          <w:p w14:paraId="3ECAE838" w14:textId="77777777" w:rsidR="00977718" w:rsidRPr="00962E17" w:rsidRDefault="00977718" w:rsidP="00977718">
            <w:pPr>
              <w:pStyle w:val="a8"/>
              <w:numPr>
                <w:ilvl w:val="0"/>
                <w:numId w:val="10"/>
              </w:numPr>
              <w:ind w:left="0" w:firstLineChars="0" w:firstLine="0"/>
              <w:rPr>
                <w:rFonts w:cs="Times New Roman"/>
                <w:sz w:val="18"/>
                <w:szCs w:val="18"/>
              </w:rPr>
            </w:pPr>
            <w:r w:rsidRPr="0006527F">
              <w:rPr>
                <w:rFonts w:cs="Times New Roman"/>
                <w:sz w:val="18"/>
                <w:szCs w:val="18"/>
              </w:rPr>
              <w:t>Future studies are required to directly assess the link between NeuroD6 expression and the rate of fusion and fission using a mitochondrial matrix-targeted photoactivable green fluorescent protein [CITE].</w:t>
            </w:r>
          </w:p>
        </w:tc>
      </w:tr>
      <w:tr w:rsidR="00977718" w:rsidRPr="00F6169F" w14:paraId="4FBC0F86" w14:textId="77777777" w:rsidTr="005F64C8">
        <w:tc>
          <w:tcPr>
            <w:tcW w:w="1696" w:type="dxa"/>
          </w:tcPr>
          <w:p w14:paraId="4BF3869B" w14:textId="77777777" w:rsidR="00977718" w:rsidRDefault="00977718" w:rsidP="005F64C8">
            <w:pPr>
              <w:spacing w:beforeLines="50" w:before="156"/>
              <w:ind w:firstLineChars="0" w:firstLine="0"/>
              <w:rPr>
                <w:rFonts w:cs="Times New Roman"/>
                <w:sz w:val="18"/>
                <w:szCs w:val="18"/>
              </w:rPr>
            </w:pPr>
            <w:r>
              <w:rPr>
                <w:rFonts w:cs="Times New Roman"/>
                <w:sz w:val="18"/>
                <w:szCs w:val="18"/>
              </w:rPr>
              <w:t>D</w:t>
            </w:r>
            <w:r w:rsidRPr="0006527F">
              <w:rPr>
                <w:rFonts w:cs="Times New Roman"/>
                <w:sz w:val="18"/>
                <w:szCs w:val="18"/>
              </w:rPr>
              <w:t xml:space="preserve">iscussion about whether there is a relationship between the two research objects. The following information </w:t>
            </w:r>
            <w:r>
              <w:rPr>
                <w:rFonts w:cs="Times New Roman"/>
                <w:sz w:val="18"/>
                <w:szCs w:val="18"/>
              </w:rPr>
              <w:t>can</w:t>
            </w:r>
            <w:r w:rsidRPr="0006527F">
              <w:rPr>
                <w:rFonts w:cs="Times New Roman"/>
                <w:sz w:val="18"/>
                <w:szCs w:val="18"/>
              </w:rPr>
              <w:t xml:space="preserve"> be mentioned: positive correlation, negative correlation, related, irrelevant, cause, help, etc.</w:t>
            </w:r>
          </w:p>
        </w:tc>
        <w:tc>
          <w:tcPr>
            <w:tcW w:w="5245" w:type="dxa"/>
          </w:tcPr>
          <w:p w14:paraId="587FD747" w14:textId="77777777" w:rsidR="00977718" w:rsidRPr="0006527F"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 xml:space="preserve">A high degree of correlation exists between the in vitro and in vivo transcriptomes of </w:t>
            </w:r>
            <w:proofErr w:type="spellStart"/>
            <w:proofErr w:type="gramStart"/>
            <w:r w:rsidRPr="0006527F">
              <w:rPr>
                <w:rFonts w:cs="Times New Roman"/>
                <w:sz w:val="18"/>
                <w:szCs w:val="18"/>
              </w:rPr>
              <w:t>P.falciparum</w:t>
            </w:r>
            <w:proofErr w:type="spellEnd"/>
            <w:proofErr w:type="gramEnd"/>
            <w:r w:rsidRPr="0006527F">
              <w:rPr>
                <w:rFonts w:cs="Times New Roman"/>
                <w:sz w:val="18"/>
                <w:szCs w:val="18"/>
              </w:rPr>
              <w:t xml:space="preserve"> with an overexpression seen for genes encoding a sexual stage antigen as well as gene families that encode surface proteins, providing interesting new vaccine candidates [CITE].</w:t>
            </w:r>
          </w:p>
          <w:p w14:paraId="3B729902" w14:textId="77777777" w:rsidR="00977718" w:rsidRPr="0006527F"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 xml:space="preserve">In addition, TII is not associated with patient' gender, </w:t>
            </w:r>
            <w:proofErr w:type="spellStart"/>
            <w:r w:rsidRPr="0006527F">
              <w:rPr>
                <w:rFonts w:cs="Times New Roman"/>
                <w:sz w:val="18"/>
                <w:szCs w:val="18"/>
              </w:rPr>
              <w:t>tumour</w:t>
            </w:r>
            <w:proofErr w:type="spellEnd"/>
            <w:r w:rsidRPr="0006527F">
              <w:rPr>
                <w:rFonts w:cs="Times New Roman"/>
                <w:sz w:val="18"/>
                <w:szCs w:val="18"/>
              </w:rPr>
              <w:t xml:space="preserve"> location, or growth pattern [CITE].</w:t>
            </w:r>
          </w:p>
          <w:p w14:paraId="3664AFE1" w14:textId="77777777" w:rsidR="00977718" w:rsidRPr="00962E17" w:rsidRDefault="00977718" w:rsidP="00977718">
            <w:pPr>
              <w:pStyle w:val="a8"/>
              <w:numPr>
                <w:ilvl w:val="0"/>
                <w:numId w:val="11"/>
              </w:numPr>
              <w:ind w:left="0" w:firstLineChars="0" w:firstLine="0"/>
              <w:rPr>
                <w:rFonts w:cs="Times New Roman"/>
                <w:sz w:val="18"/>
                <w:szCs w:val="18"/>
              </w:rPr>
            </w:pPr>
            <w:r w:rsidRPr="0006527F">
              <w:rPr>
                <w:rFonts w:cs="Times New Roman"/>
                <w:sz w:val="18"/>
                <w:szCs w:val="18"/>
              </w:rPr>
              <w:t>In murine neonatal thymus, TSLP produced from medullary thymic epithelia cells (</w:t>
            </w:r>
            <w:proofErr w:type="spellStart"/>
            <w:r w:rsidRPr="0006527F">
              <w:rPr>
                <w:rFonts w:cs="Times New Roman"/>
                <w:sz w:val="18"/>
                <w:szCs w:val="18"/>
              </w:rPr>
              <w:t>mTEC</w:t>
            </w:r>
            <w:proofErr w:type="spellEnd"/>
            <w:r w:rsidRPr="0006527F">
              <w:rPr>
                <w:rFonts w:cs="Times New Roman"/>
                <w:sz w:val="18"/>
                <w:szCs w:val="18"/>
              </w:rPr>
              <w:t>) contributes to the expression of FoxP3 and the maturation of natural regulatory T cells [CITE].</w:t>
            </w:r>
          </w:p>
        </w:tc>
      </w:tr>
    </w:tbl>
    <w:p w14:paraId="7CAC57C6" w14:textId="77777777" w:rsidR="00977718" w:rsidRPr="00962E17" w:rsidRDefault="00977718" w:rsidP="00977718">
      <w:pPr>
        <w:ind w:firstLineChars="0" w:firstLine="0"/>
        <w:rPr>
          <w:rFonts w:cs="Times New Roman"/>
          <w:szCs w:val="20"/>
        </w:rPr>
      </w:pPr>
    </w:p>
    <w:p w14:paraId="7AB04DCC" w14:textId="77777777" w:rsidR="00977718" w:rsidRPr="00883A4D" w:rsidRDefault="00977718" w:rsidP="00977718">
      <w:pPr>
        <w:pStyle w:val="3"/>
        <w:numPr>
          <w:ilvl w:val="0"/>
          <w:numId w:val="0"/>
        </w:numPr>
        <w:spacing w:before="156" w:after="156"/>
        <w:rPr>
          <w:szCs w:val="20"/>
        </w:rPr>
      </w:pPr>
      <w:r w:rsidRPr="00883A4D">
        <w:rPr>
          <w:rFonts w:hint="eastAsia"/>
          <w:szCs w:val="20"/>
        </w:rPr>
        <w:t>G</w:t>
      </w:r>
      <w:r w:rsidRPr="00883A4D">
        <w:rPr>
          <w:szCs w:val="20"/>
        </w:rPr>
        <w:t>oal</w:t>
      </w:r>
    </w:p>
    <w:p w14:paraId="58A58983" w14:textId="77777777" w:rsidR="00977718" w:rsidRDefault="00977718" w:rsidP="00977718">
      <w:pPr>
        <w:ind w:firstLine="200"/>
        <w:rPr>
          <w:rFonts w:cs="Times New Roman"/>
          <w:szCs w:val="20"/>
        </w:rPr>
      </w:pPr>
      <w:r>
        <w:rPr>
          <w:rFonts w:cs="Times New Roman" w:hint="eastAsia"/>
          <w:szCs w:val="20"/>
        </w:rPr>
        <w:t>W</w:t>
      </w:r>
      <w:r>
        <w:rPr>
          <w:rFonts w:cs="Times New Roman"/>
          <w:szCs w:val="20"/>
        </w:rPr>
        <w:t>hen make judgement about this category, we suggest referring to two sentence templates, one is “Someone did something”, another one is “</w:t>
      </w:r>
      <w:r w:rsidRPr="00E71672">
        <w:rPr>
          <w:rFonts w:cs="Times New Roman"/>
          <w:szCs w:val="20"/>
        </w:rPr>
        <w:t>Someone did something for a certain purpose</w:t>
      </w:r>
      <w:r>
        <w:rPr>
          <w:rFonts w:cs="Times New Roman"/>
          <w:szCs w:val="20"/>
        </w:rPr>
        <w:t xml:space="preserve">”. This category is derived from classification schema of Argumentative Zoning and </w:t>
      </w:r>
      <w:proofErr w:type="spellStart"/>
      <w:r>
        <w:rPr>
          <w:rFonts w:cs="Times New Roman"/>
          <w:szCs w:val="20"/>
        </w:rPr>
        <w:t>CoreSC</w:t>
      </w:r>
      <w:proofErr w:type="spellEnd"/>
      <w:r>
        <w:rPr>
          <w:rFonts w:cs="Times New Roman"/>
          <w:szCs w:val="20"/>
        </w:rPr>
        <w:t>. We list the similar category definitions described in different papers in Table B.6.</w:t>
      </w:r>
      <w:r>
        <w:rPr>
          <w:rFonts w:cs="Times New Roman" w:hint="eastAsia"/>
          <w:szCs w:val="20"/>
        </w:rPr>
        <w:t xml:space="preserve"> </w:t>
      </w:r>
    </w:p>
    <w:p w14:paraId="619950E9" w14:textId="777777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B.6 Relevant Definitions </w:t>
      </w:r>
      <w:r>
        <w:rPr>
          <w:rFonts w:cs="Times New Roman" w:hint="eastAsia"/>
          <w:szCs w:val="20"/>
        </w:rPr>
        <w:t>f</w:t>
      </w:r>
      <w:r>
        <w:rPr>
          <w:rFonts w:cs="Times New Roman"/>
          <w:szCs w:val="20"/>
        </w:rPr>
        <w:t>or Goal category</w:t>
      </w:r>
    </w:p>
    <w:tbl>
      <w:tblPr>
        <w:tblStyle w:val="a7"/>
        <w:tblW w:w="0" w:type="auto"/>
        <w:tblLook w:val="04A0" w:firstRow="1" w:lastRow="0" w:firstColumn="1" w:lastColumn="0" w:noHBand="0" w:noVBand="1"/>
      </w:tblPr>
      <w:tblGrid>
        <w:gridCol w:w="1482"/>
        <w:gridCol w:w="1774"/>
        <w:gridCol w:w="3650"/>
      </w:tblGrid>
      <w:tr w:rsidR="00977718" w14:paraId="3E573FAF" w14:textId="77777777" w:rsidTr="005F64C8">
        <w:trPr>
          <w:trHeight w:val="448"/>
        </w:trPr>
        <w:tc>
          <w:tcPr>
            <w:tcW w:w="1482" w:type="dxa"/>
            <w:vAlign w:val="center"/>
          </w:tcPr>
          <w:p w14:paraId="51C1F12E" w14:textId="77777777" w:rsidR="00977718" w:rsidRDefault="00977718" w:rsidP="005F64C8">
            <w:pPr>
              <w:ind w:firstLineChars="0" w:firstLine="0"/>
              <w:jc w:val="center"/>
              <w:rPr>
                <w:rFonts w:cs="Times New Roman"/>
                <w:szCs w:val="20"/>
              </w:rPr>
            </w:pPr>
            <w:r>
              <w:rPr>
                <w:rFonts w:cs="Times New Roman"/>
                <w:szCs w:val="20"/>
              </w:rPr>
              <w:t>Related Study</w:t>
            </w:r>
          </w:p>
        </w:tc>
        <w:tc>
          <w:tcPr>
            <w:tcW w:w="1774" w:type="dxa"/>
            <w:vAlign w:val="center"/>
          </w:tcPr>
          <w:p w14:paraId="184E5931" w14:textId="77777777" w:rsidR="00977718" w:rsidRDefault="00977718" w:rsidP="005F64C8">
            <w:pPr>
              <w:ind w:firstLineChars="0" w:firstLine="0"/>
              <w:jc w:val="center"/>
              <w:rPr>
                <w:rFonts w:cs="Times New Roman"/>
                <w:szCs w:val="20"/>
              </w:rPr>
            </w:pPr>
            <w:r>
              <w:rPr>
                <w:rFonts w:cs="Times New Roman" w:hint="eastAsia"/>
                <w:szCs w:val="20"/>
              </w:rPr>
              <w:t>S</w:t>
            </w:r>
            <w:r>
              <w:rPr>
                <w:rFonts w:cs="Times New Roman"/>
                <w:szCs w:val="20"/>
              </w:rPr>
              <w:t>imilar Category</w:t>
            </w:r>
          </w:p>
        </w:tc>
        <w:tc>
          <w:tcPr>
            <w:tcW w:w="3650" w:type="dxa"/>
            <w:vAlign w:val="center"/>
          </w:tcPr>
          <w:p w14:paraId="10C05A5C" w14:textId="77777777" w:rsidR="00977718" w:rsidRDefault="00977718" w:rsidP="005F64C8">
            <w:pPr>
              <w:ind w:firstLineChars="0" w:firstLine="0"/>
              <w:jc w:val="center"/>
              <w:rPr>
                <w:rFonts w:cs="Times New Roman"/>
                <w:szCs w:val="20"/>
              </w:rPr>
            </w:pPr>
            <w:r>
              <w:rPr>
                <w:rFonts w:cs="Times New Roman" w:hint="eastAsia"/>
                <w:szCs w:val="20"/>
              </w:rPr>
              <w:t>C</w:t>
            </w:r>
            <w:r>
              <w:rPr>
                <w:rFonts w:cs="Times New Roman"/>
                <w:szCs w:val="20"/>
              </w:rPr>
              <w:t>ategory Definition</w:t>
            </w:r>
          </w:p>
        </w:tc>
      </w:tr>
      <w:tr w:rsidR="00977718" w14:paraId="45DC9520" w14:textId="77777777" w:rsidTr="005F64C8">
        <w:trPr>
          <w:trHeight w:val="649"/>
        </w:trPr>
        <w:tc>
          <w:tcPr>
            <w:tcW w:w="1482" w:type="dxa"/>
            <w:vAlign w:val="center"/>
          </w:tcPr>
          <w:p w14:paraId="3432E242" w14:textId="77777777" w:rsidR="00977718" w:rsidRDefault="00977718" w:rsidP="005F64C8">
            <w:pPr>
              <w:ind w:firstLineChars="0" w:firstLine="0"/>
              <w:jc w:val="center"/>
              <w:rPr>
                <w:rFonts w:cs="Times New Roman"/>
                <w:szCs w:val="20"/>
              </w:rPr>
            </w:pPr>
            <w:r>
              <w:rPr>
                <w:rFonts w:cs="Times New Roman"/>
                <w:szCs w:val="20"/>
              </w:rPr>
              <w:t xml:space="preserve">Argumentative </w:t>
            </w:r>
            <w:proofErr w:type="gramStart"/>
            <w:r>
              <w:rPr>
                <w:rFonts w:cs="Times New Roman" w:hint="eastAsia"/>
                <w:szCs w:val="20"/>
              </w:rPr>
              <w:t>Zoning</w:t>
            </w:r>
            <w:proofErr w:type="gramEnd"/>
            <w:r>
              <w:rPr>
                <w:rFonts w:cs="Times New Roman" w:hint="eastAsia"/>
                <w:szCs w:val="20"/>
              </w:rPr>
              <w:t xml:space="preserve"> </w:t>
            </w:r>
            <w:r>
              <w:rPr>
                <w:rFonts w:cs="Times New Roman"/>
                <w:szCs w:val="20"/>
              </w:rPr>
              <w:t>I</w:t>
            </w:r>
          </w:p>
        </w:tc>
        <w:tc>
          <w:tcPr>
            <w:tcW w:w="1774" w:type="dxa"/>
            <w:vAlign w:val="center"/>
          </w:tcPr>
          <w:p w14:paraId="1F1ED4F8" w14:textId="77777777" w:rsidR="00977718" w:rsidRDefault="00977718" w:rsidP="005F64C8">
            <w:pPr>
              <w:ind w:firstLineChars="0" w:firstLine="0"/>
              <w:jc w:val="center"/>
              <w:rPr>
                <w:rFonts w:cs="Times New Roman"/>
                <w:szCs w:val="20"/>
              </w:rPr>
            </w:pPr>
            <w:r>
              <w:rPr>
                <w:rFonts w:cs="Times New Roman" w:hint="eastAsia"/>
                <w:szCs w:val="20"/>
              </w:rPr>
              <w:t>A</w:t>
            </w:r>
            <w:r>
              <w:rPr>
                <w:rFonts w:cs="Times New Roman"/>
                <w:szCs w:val="20"/>
              </w:rPr>
              <w:t>im</w:t>
            </w:r>
          </w:p>
        </w:tc>
        <w:tc>
          <w:tcPr>
            <w:tcW w:w="3650" w:type="dxa"/>
            <w:vAlign w:val="center"/>
          </w:tcPr>
          <w:p w14:paraId="7CDD0382" w14:textId="77777777" w:rsidR="00977718" w:rsidRDefault="00977718" w:rsidP="005F64C8">
            <w:pPr>
              <w:ind w:firstLineChars="0" w:firstLine="0"/>
              <w:jc w:val="center"/>
              <w:rPr>
                <w:rFonts w:cs="Times New Roman"/>
                <w:szCs w:val="20"/>
              </w:rPr>
            </w:pPr>
            <w:r w:rsidRPr="007F3040">
              <w:rPr>
                <w:rFonts w:cs="Times New Roman"/>
                <w:szCs w:val="20"/>
              </w:rPr>
              <w:t>Specific research goal of the current paper</w:t>
            </w:r>
          </w:p>
        </w:tc>
      </w:tr>
      <w:tr w:rsidR="00977718" w14:paraId="2EFCB611" w14:textId="77777777" w:rsidTr="005F64C8">
        <w:trPr>
          <w:trHeight w:val="417"/>
        </w:trPr>
        <w:tc>
          <w:tcPr>
            <w:tcW w:w="1482" w:type="dxa"/>
            <w:vAlign w:val="center"/>
          </w:tcPr>
          <w:p w14:paraId="3A51D30D" w14:textId="77777777" w:rsidR="00977718" w:rsidRDefault="00977718" w:rsidP="005F64C8">
            <w:pPr>
              <w:ind w:firstLineChars="0" w:firstLine="0"/>
              <w:jc w:val="center"/>
              <w:rPr>
                <w:rFonts w:cs="Times New Roman"/>
                <w:szCs w:val="20"/>
              </w:rPr>
            </w:pPr>
            <w:r>
              <w:rPr>
                <w:rFonts w:cs="Times New Roman"/>
                <w:szCs w:val="20"/>
              </w:rPr>
              <w:t xml:space="preserve">Argumentative </w:t>
            </w:r>
            <w:r>
              <w:rPr>
                <w:rFonts w:cs="Times New Roman" w:hint="eastAsia"/>
                <w:szCs w:val="20"/>
              </w:rPr>
              <w:t xml:space="preserve">Zoning </w:t>
            </w:r>
            <w:r>
              <w:rPr>
                <w:rFonts w:cs="Times New Roman"/>
                <w:szCs w:val="20"/>
              </w:rPr>
              <w:t>II</w:t>
            </w:r>
          </w:p>
        </w:tc>
        <w:tc>
          <w:tcPr>
            <w:tcW w:w="1774" w:type="dxa"/>
            <w:vAlign w:val="center"/>
          </w:tcPr>
          <w:p w14:paraId="701A7F2C" w14:textId="77777777" w:rsidR="00977718" w:rsidRDefault="00977718" w:rsidP="005F64C8">
            <w:pPr>
              <w:ind w:firstLineChars="0" w:firstLine="0"/>
              <w:jc w:val="center"/>
              <w:rPr>
                <w:rFonts w:cs="Times New Roman"/>
                <w:szCs w:val="20"/>
              </w:rPr>
            </w:pPr>
            <w:r>
              <w:rPr>
                <w:rFonts w:cs="Times New Roman" w:hint="eastAsia"/>
                <w:szCs w:val="20"/>
              </w:rPr>
              <w:t>A</w:t>
            </w:r>
            <w:r>
              <w:rPr>
                <w:rFonts w:cs="Times New Roman"/>
                <w:szCs w:val="20"/>
              </w:rPr>
              <w:t>im</w:t>
            </w:r>
          </w:p>
        </w:tc>
        <w:tc>
          <w:tcPr>
            <w:tcW w:w="3650" w:type="dxa"/>
            <w:vAlign w:val="center"/>
          </w:tcPr>
          <w:p w14:paraId="438DB8F0" w14:textId="77777777" w:rsidR="00977718" w:rsidRDefault="00977718" w:rsidP="005F64C8">
            <w:pPr>
              <w:ind w:firstLineChars="0" w:firstLine="0"/>
              <w:jc w:val="center"/>
              <w:rPr>
                <w:rFonts w:cs="Times New Roman"/>
                <w:szCs w:val="20"/>
              </w:rPr>
            </w:pPr>
            <w:r w:rsidRPr="007F3040">
              <w:rPr>
                <w:rFonts w:cs="Times New Roman"/>
                <w:szCs w:val="20"/>
              </w:rPr>
              <w:t>Statement of specific research goal, or hypothesis of current paper</w:t>
            </w:r>
          </w:p>
        </w:tc>
      </w:tr>
      <w:tr w:rsidR="00977718" w14:paraId="724E80C4" w14:textId="77777777" w:rsidTr="005F64C8">
        <w:trPr>
          <w:trHeight w:val="539"/>
        </w:trPr>
        <w:tc>
          <w:tcPr>
            <w:tcW w:w="1482" w:type="dxa"/>
            <w:vAlign w:val="center"/>
          </w:tcPr>
          <w:p w14:paraId="2FE16CB7" w14:textId="77777777" w:rsidR="00977718" w:rsidRDefault="00977718" w:rsidP="005F64C8">
            <w:pPr>
              <w:ind w:firstLineChars="0" w:firstLine="0"/>
              <w:jc w:val="center"/>
              <w:rPr>
                <w:rFonts w:cs="Times New Roman"/>
                <w:szCs w:val="20"/>
              </w:rPr>
            </w:pPr>
            <w:proofErr w:type="spellStart"/>
            <w:r w:rsidRPr="007F3040">
              <w:rPr>
                <w:rFonts w:cs="Times New Roman"/>
                <w:szCs w:val="20"/>
              </w:rPr>
              <w:t>CoreSC</w:t>
            </w:r>
            <w:proofErr w:type="spellEnd"/>
          </w:p>
        </w:tc>
        <w:tc>
          <w:tcPr>
            <w:tcW w:w="1774" w:type="dxa"/>
            <w:vAlign w:val="center"/>
          </w:tcPr>
          <w:p w14:paraId="76146758" w14:textId="77777777" w:rsidR="00977718" w:rsidRDefault="00977718" w:rsidP="005F64C8">
            <w:pPr>
              <w:ind w:firstLineChars="0" w:firstLine="0"/>
              <w:jc w:val="center"/>
              <w:rPr>
                <w:rFonts w:cs="Times New Roman"/>
                <w:szCs w:val="20"/>
              </w:rPr>
            </w:pPr>
            <w:r>
              <w:rPr>
                <w:rFonts w:cs="Times New Roman" w:hint="eastAsia"/>
                <w:szCs w:val="20"/>
              </w:rPr>
              <w:t>M</w:t>
            </w:r>
            <w:r>
              <w:rPr>
                <w:rFonts w:cs="Times New Roman"/>
                <w:szCs w:val="20"/>
              </w:rPr>
              <w:t>otivation</w:t>
            </w:r>
          </w:p>
        </w:tc>
        <w:tc>
          <w:tcPr>
            <w:tcW w:w="3650" w:type="dxa"/>
            <w:vAlign w:val="center"/>
          </w:tcPr>
          <w:p w14:paraId="07CD8406" w14:textId="77777777" w:rsidR="00977718" w:rsidRDefault="00977718" w:rsidP="005F64C8">
            <w:pPr>
              <w:ind w:firstLineChars="0" w:firstLine="0"/>
              <w:jc w:val="center"/>
              <w:rPr>
                <w:rFonts w:cs="Times New Roman"/>
                <w:szCs w:val="20"/>
              </w:rPr>
            </w:pPr>
            <w:r w:rsidRPr="007F3040">
              <w:rPr>
                <w:rFonts w:cs="Times New Roman"/>
                <w:szCs w:val="20"/>
              </w:rPr>
              <w:t>A target state of the investigation where intended discoveries are made</w:t>
            </w:r>
          </w:p>
        </w:tc>
      </w:tr>
    </w:tbl>
    <w:p w14:paraId="48AECDF2" w14:textId="77777777" w:rsidR="00977718" w:rsidRDefault="00977718" w:rsidP="00977718">
      <w:pPr>
        <w:spacing w:beforeLines="50" w:before="156"/>
        <w:ind w:firstLine="200"/>
        <w:rPr>
          <w:rFonts w:cs="Times New Roman"/>
          <w:szCs w:val="20"/>
        </w:rPr>
      </w:pPr>
      <w:r>
        <w:rPr>
          <w:rFonts w:cs="Times New Roman" w:hint="eastAsia"/>
          <w:szCs w:val="20"/>
        </w:rPr>
        <w:t>B</w:t>
      </w:r>
      <w:r>
        <w:rPr>
          <w:rFonts w:cs="Times New Roman"/>
          <w:szCs w:val="20"/>
        </w:rPr>
        <w:t xml:space="preserve">ased on the guideline, citation examples of </w:t>
      </w:r>
      <w:r w:rsidRPr="005C3BBA">
        <w:rPr>
          <w:rFonts w:cs="Times New Roman"/>
          <w:i/>
          <w:iCs/>
          <w:szCs w:val="20"/>
        </w:rPr>
        <w:t>Goal</w:t>
      </w:r>
      <w:r>
        <w:rPr>
          <w:rFonts w:cs="Times New Roman"/>
          <w:szCs w:val="20"/>
        </w:rPr>
        <w:t xml:space="preserve"> category are given below.</w:t>
      </w:r>
    </w:p>
    <w:p w14:paraId="751FA8BC" w14:textId="77777777" w:rsidR="00977718" w:rsidRPr="00201ECF" w:rsidRDefault="00977718" w:rsidP="00977718">
      <w:pPr>
        <w:pStyle w:val="a8"/>
        <w:numPr>
          <w:ilvl w:val="0"/>
          <w:numId w:val="2"/>
        </w:numPr>
        <w:ind w:left="0" w:firstLineChars="100" w:firstLine="200"/>
        <w:rPr>
          <w:rFonts w:cs="Times New Roman"/>
          <w:szCs w:val="20"/>
        </w:rPr>
      </w:pPr>
      <w:r w:rsidRPr="00201ECF">
        <w:rPr>
          <w:rFonts w:cs="Times New Roman" w:hint="eastAsia"/>
          <w:szCs w:val="20"/>
        </w:rPr>
        <w:t xml:space="preserve">For the present study the aim was to recruit 300 male spouses to pregnant women in Greenland, Warsaw (Poland) and </w:t>
      </w:r>
      <w:proofErr w:type="spellStart"/>
      <w:r w:rsidRPr="00201ECF">
        <w:rPr>
          <w:rFonts w:cs="Times New Roman" w:hint="eastAsia"/>
          <w:szCs w:val="20"/>
        </w:rPr>
        <w:t>Kharkiv</w:t>
      </w:r>
      <w:proofErr w:type="spellEnd"/>
      <w:r w:rsidRPr="00201ECF">
        <w:rPr>
          <w:rFonts w:cs="Times New Roman" w:hint="eastAsia"/>
          <w:szCs w:val="20"/>
        </w:rPr>
        <w:t xml:space="preserve"> (Ukraine), and a subgroup (n = 100) of an already established cohort of fishermen from Sweden was also included in the study [CIT</w:t>
      </w:r>
      <w:r w:rsidRPr="00201ECF">
        <w:rPr>
          <w:rFonts w:cs="Times New Roman"/>
          <w:szCs w:val="20"/>
        </w:rPr>
        <w:t>E].</w:t>
      </w:r>
    </w:p>
    <w:p w14:paraId="5A991CBF" w14:textId="77777777" w:rsidR="00977718" w:rsidRPr="00AD0FE8" w:rsidRDefault="00977718" w:rsidP="00977718">
      <w:pPr>
        <w:pStyle w:val="a8"/>
        <w:numPr>
          <w:ilvl w:val="0"/>
          <w:numId w:val="2"/>
        </w:numPr>
        <w:ind w:left="0" w:firstLineChars="100" w:firstLine="200"/>
        <w:rPr>
          <w:rFonts w:cs="Times New Roman"/>
          <w:szCs w:val="20"/>
        </w:rPr>
      </w:pPr>
      <w:r w:rsidRPr="00AD0FE8">
        <w:rPr>
          <w:rFonts w:cs="Times New Roman" w:hint="eastAsia"/>
          <w:szCs w:val="20"/>
        </w:rPr>
        <w:t>For instance, Masuda and colleagues [CITE] compared the molecular profile of the same RA FLSs cultured at low density (proliferating) and high density (quiescent).</w:t>
      </w:r>
    </w:p>
    <w:p w14:paraId="3EF0AD52" w14:textId="77777777" w:rsidR="00977718" w:rsidRPr="00AD0FE8" w:rsidRDefault="00977718" w:rsidP="00977718">
      <w:pPr>
        <w:pStyle w:val="a8"/>
        <w:numPr>
          <w:ilvl w:val="0"/>
          <w:numId w:val="2"/>
        </w:numPr>
        <w:ind w:left="0" w:firstLineChars="100" w:firstLine="200"/>
        <w:rPr>
          <w:rFonts w:cs="Times New Roman"/>
          <w:szCs w:val="20"/>
        </w:rPr>
      </w:pPr>
      <w:r w:rsidRPr="00AD0FE8">
        <w:rPr>
          <w:rFonts w:cs="Times New Roman" w:hint="eastAsia"/>
          <w:szCs w:val="20"/>
        </w:rPr>
        <w:t>We have previously compared the systemic effects of rIL-2 in peripheral blood monocytes (PBMC) to the peripheral effects induced in melanoma metastases three hours after administration to patient with metastatic melanoma [CITE].</w:t>
      </w:r>
    </w:p>
    <w:p w14:paraId="3235E5C7" w14:textId="77777777" w:rsidR="00977718" w:rsidRPr="005C3BBA" w:rsidRDefault="00977718" w:rsidP="00977718">
      <w:pPr>
        <w:pStyle w:val="a8"/>
        <w:numPr>
          <w:ilvl w:val="0"/>
          <w:numId w:val="2"/>
        </w:numPr>
        <w:ind w:left="0" w:firstLineChars="100" w:firstLine="200"/>
        <w:rPr>
          <w:rFonts w:cs="Times New Roman"/>
          <w:szCs w:val="20"/>
        </w:rPr>
      </w:pPr>
      <w:r w:rsidRPr="00AD0FE8">
        <w:rPr>
          <w:rFonts w:cs="Times New Roman" w:hint="eastAsia"/>
          <w:szCs w:val="20"/>
        </w:rPr>
        <w:t xml:space="preserve">In this study, by examining the phagocytic ability of macrophages from </w:t>
      </w:r>
      <w:proofErr w:type="spellStart"/>
      <w:r w:rsidRPr="00AD0FE8">
        <w:rPr>
          <w:rFonts w:cs="Times New Roman" w:hint="eastAsia"/>
          <w:szCs w:val="20"/>
        </w:rPr>
        <w:t>Syt</w:t>
      </w:r>
      <w:proofErr w:type="spellEnd"/>
      <w:r w:rsidRPr="00AD0FE8">
        <w:rPr>
          <w:rFonts w:cs="Times New Roman" w:hint="eastAsia"/>
          <w:szCs w:val="20"/>
        </w:rPr>
        <w:t xml:space="preserve"> VII;/; mice [CITE], we clarify a long-standing controversy about the role of intracellular free Ca2+ ([Ca2</w:t>
      </w:r>
      <w:proofErr w:type="gramStart"/>
      <w:r w:rsidRPr="00AD0FE8">
        <w:rPr>
          <w:rFonts w:cs="Times New Roman" w:hint="eastAsia"/>
          <w:szCs w:val="20"/>
        </w:rPr>
        <w:t>+]</w:t>
      </w:r>
      <w:proofErr w:type="spellStart"/>
      <w:r w:rsidRPr="00AD0FE8">
        <w:rPr>
          <w:rFonts w:cs="Times New Roman" w:hint="eastAsia"/>
          <w:szCs w:val="20"/>
        </w:rPr>
        <w:t>i</w:t>
      </w:r>
      <w:proofErr w:type="spellEnd"/>
      <w:proofErr w:type="gramEnd"/>
      <w:r w:rsidRPr="00AD0FE8">
        <w:rPr>
          <w:rFonts w:cs="Times New Roman" w:hint="eastAsia"/>
          <w:szCs w:val="20"/>
        </w:rPr>
        <w:t>) in phagocytosis.</w:t>
      </w:r>
    </w:p>
    <w:p w14:paraId="58BCC59A" w14:textId="77777777" w:rsidR="00977718" w:rsidRPr="007F3040" w:rsidRDefault="00977718" w:rsidP="00977718">
      <w:pPr>
        <w:pStyle w:val="3"/>
        <w:numPr>
          <w:ilvl w:val="0"/>
          <w:numId w:val="0"/>
        </w:numPr>
        <w:spacing w:before="156" w:after="156"/>
        <w:rPr>
          <w:szCs w:val="20"/>
        </w:rPr>
      </w:pPr>
      <w:r>
        <w:rPr>
          <w:rFonts w:hint="eastAsia"/>
          <w:szCs w:val="20"/>
        </w:rPr>
        <w:t>O</w:t>
      </w:r>
      <w:r>
        <w:rPr>
          <w:szCs w:val="20"/>
        </w:rPr>
        <w:t>bject</w:t>
      </w:r>
    </w:p>
    <w:p w14:paraId="5CF59BA1" w14:textId="77777777" w:rsidR="00977718" w:rsidRDefault="00977718" w:rsidP="00977718">
      <w:pPr>
        <w:ind w:firstLineChars="0" w:firstLine="0"/>
        <w:rPr>
          <w:rFonts w:cs="Times New Roman"/>
          <w:szCs w:val="20"/>
        </w:rPr>
      </w:pPr>
      <w:r w:rsidRPr="004F67D7">
        <w:rPr>
          <w:rFonts w:cs="Times New Roman"/>
          <w:szCs w:val="20"/>
        </w:rPr>
        <w:t>When the sentence is</w:t>
      </w:r>
      <w:r>
        <w:rPr>
          <w:rFonts w:cs="Times New Roman"/>
          <w:szCs w:val="20"/>
        </w:rPr>
        <w:t xml:space="preserve"> </w:t>
      </w:r>
      <w:r w:rsidRPr="004F67D7">
        <w:rPr>
          <w:rFonts w:cs="Times New Roman"/>
          <w:szCs w:val="20"/>
        </w:rPr>
        <w:t xml:space="preserve">the description </w:t>
      </w:r>
      <w:r>
        <w:rPr>
          <w:rFonts w:cs="Times New Roman"/>
          <w:szCs w:val="20"/>
        </w:rPr>
        <w:t>or</w:t>
      </w:r>
      <w:r w:rsidRPr="004F67D7">
        <w:rPr>
          <w:rFonts w:cs="Times New Roman"/>
          <w:szCs w:val="20"/>
        </w:rPr>
        <w:t xml:space="preserve"> introduction for a certain research object or topic, the annotator </w:t>
      </w:r>
      <w:r>
        <w:rPr>
          <w:rFonts w:cs="Times New Roman"/>
          <w:szCs w:val="20"/>
        </w:rPr>
        <w:t>can mark</w:t>
      </w:r>
      <w:r w:rsidRPr="004F67D7">
        <w:rPr>
          <w:rFonts w:cs="Times New Roman"/>
          <w:szCs w:val="20"/>
        </w:rPr>
        <w:t xml:space="preserve"> the citation sentence as an </w:t>
      </w:r>
      <w:r w:rsidRPr="00AC2206">
        <w:rPr>
          <w:rFonts w:cs="Times New Roman"/>
          <w:i/>
          <w:iCs/>
          <w:szCs w:val="20"/>
        </w:rPr>
        <w:t>Object</w:t>
      </w:r>
      <w:r w:rsidRPr="004F67D7">
        <w:rPr>
          <w:rFonts w:cs="Times New Roman"/>
          <w:szCs w:val="20"/>
        </w:rPr>
        <w:t xml:space="preserve"> </w:t>
      </w:r>
      <w:r>
        <w:rPr>
          <w:rFonts w:cs="Times New Roman"/>
          <w:szCs w:val="20"/>
        </w:rPr>
        <w:t>category</w:t>
      </w:r>
      <w:r w:rsidRPr="004F67D7">
        <w:rPr>
          <w:rFonts w:cs="Times New Roman"/>
          <w:szCs w:val="20"/>
        </w:rPr>
        <w:t>.</w:t>
      </w:r>
      <w:r>
        <w:rPr>
          <w:rFonts w:cs="Times New Roman"/>
          <w:szCs w:val="20"/>
        </w:rPr>
        <w:t xml:space="preserve"> This category is based on the </w:t>
      </w:r>
      <w:proofErr w:type="spellStart"/>
      <w:r>
        <w:rPr>
          <w:rFonts w:cs="Times New Roman"/>
          <w:szCs w:val="20"/>
        </w:rPr>
        <w:t>CoreSC</w:t>
      </w:r>
      <w:proofErr w:type="spellEnd"/>
      <w:r>
        <w:rPr>
          <w:rFonts w:cs="Times New Roman"/>
          <w:szCs w:val="20"/>
        </w:rPr>
        <w:t xml:space="preserve"> schema. Relevant categories in </w:t>
      </w:r>
      <w:proofErr w:type="spellStart"/>
      <w:r>
        <w:rPr>
          <w:rFonts w:cs="Times New Roman"/>
          <w:szCs w:val="20"/>
        </w:rPr>
        <w:t>CoreSC</w:t>
      </w:r>
      <w:proofErr w:type="spellEnd"/>
      <w:r>
        <w:rPr>
          <w:rFonts w:cs="Times New Roman"/>
          <w:szCs w:val="20"/>
        </w:rPr>
        <w:t xml:space="preserve"> are given in Table B.7.</w:t>
      </w:r>
    </w:p>
    <w:p w14:paraId="556064E6" w14:textId="777777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B.6 Relevant Definitions </w:t>
      </w:r>
      <w:r>
        <w:rPr>
          <w:rFonts w:cs="Times New Roman" w:hint="eastAsia"/>
          <w:szCs w:val="20"/>
        </w:rPr>
        <w:t>f</w:t>
      </w:r>
      <w:r>
        <w:rPr>
          <w:rFonts w:cs="Times New Roman"/>
          <w:szCs w:val="20"/>
        </w:rPr>
        <w:t xml:space="preserve">or Goal category in </w:t>
      </w:r>
      <w:proofErr w:type="spellStart"/>
      <w:r>
        <w:rPr>
          <w:rFonts w:cs="Times New Roman"/>
          <w:szCs w:val="20"/>
        </w:rPr>
        <w:t>CoreSC</w:t>
      </w:r>
      <w:proofErr w:type="spellEnd"/>
      <w:r>
        <w:rPr>
          <w:rFonts w:cs="Times New Roman"/>
          <w:szCs w:val="20"/>
        </w:rPr>
        <w:t xml:space="preserve"> schema</w:t>
      </w:r>
    </w:p>
    <w:tbl>
      <w:tblPr>
        <w:tblStyle w:val="a7"/>
        <w:tblW w:w="0" w:type="auto"/>
        <w:tblLook w:val="04A0" w:firstRow="1" w:lastRow="0" w:firstColumn="1" w:lastColumn="0" w:noHBand="0" w:noVBand="1"/>
      </w:tblPr>
      <w:tblGrid>
        <w:gridCol w:w="1774"/>
        <w:gridCol w:w="5025"/>
      </w:tblGrid>
      <w:tr w:rsidR="00977718" w14:paraId="584794EF" w14:textId="77777777" w:rsidTr="005F64C8">
        <w:trPr>
          <w:trHeight w:val="448"/>
        </w:trPr>
        <w:tc>
          <w:tcPr>
            <w:tcW w:w="1774" w:type="dxa"/>
            <w:vAlign w:val="center"/>
          </w:tcPr>
          <w:p w14:paraId="6E0BBD98" w14:textId="77777777" w:rsidR="00977718" w:rsidRDefault="00977718" w:rsidP="005F64C8">
            <w:pPr>
              <w:ind w:firstLineChars="0" w:firstLine="0"/>
              <w:jc w:val="center"/>
              <w:rPr>
                <w:rFonts w:cs="Times New Roman"/>
                <w:szCs w:val="20"/>
              </w:rPr>
            </w:pPr>
            <w:r>
              <w:rPr>
                <w:rFonts w:cs="Times New Roman" w:hint="eastAsia"/>
                <w:szCs w:val="20"/>
              </w:rPr>
              <w:t>S</w:t>
            </w:r>
            <w:r>
              <w:rPr>
                <w:rFonts w:cs="Times New Roman"/>
                <w:szCs w:val="20"/>
              </w:rPr>
              <w:t>imilar Category</w:t>
            </w:r>
          </w:p>
        </w:tc>
        <w:tc>
          <w:tcPr>
            <w:tcW w:w="5025" w:type="dxa"/>
            <w:vAlign w:val="center"/>
          </w:tcPr>
          <w:p w14:paraId="53755B97" w14:textId="77777777" w:rsidR="00977718" w:rsidRDefault="00977718" w:rsidP="005F64C8">
            <w:pPr>
              <w:ind w:firstLineChars="0" w:firstLine="0"/>
              <w:jc w:val="center"/>
              <w:rPr>
                <w:rFonts w:cs="Times New Roman"/>
                <w:szCs w:val="20"/>
              </w:rPr>
            </w:pPr>
            <w:r>
              <w:rPr>
                <w:rFonts w:cs="Times New Roman" w:hint="eastAsia"/>
                <w:szCs w:val="20"/>
              </w:rPr>
              <w:t>C</w:t>
            </w:r>
            <w:r>
              <w:rPr>
                <w:rFonts w:cs="Times New Roman"/>
                <w:szCs w:val="20"/>
              </w:rPr>
              <w:t>ategory Definition</w:t>
            </w:r>
          </w:p>
        </w:tc>
      </w:tr>
      <w:tr w:rsidR="00977718" w14:paraId="3792FA7E" w14:textId="77777777" w:rsidTr="005F64C8">
        <w:trPr>
          <w:trHeight w:val="649"/>
        </w:trPr>
        <w:tc>
          <w:tcPr>
            <w:tcW w:w="1774" w:type="dxa"/>
            <w:vAlign w:val="center"/>
          </w:tcPr>
          <w:p w14:paraId="4D296FF0" w14:textId="77777777" w:rsidR="00977718" w:rsidRDefault="00977718" w:rsidP="005F64C8">
            <w:pPr>
              <w:ind w:firstLineChars="0" w:firstLine="0"/>
              <w:jc w:val="center"/>
              <w:rPr>
                <w:rFonts w:cs="Times New Roman"/>
                <w:szCs w:val="20"/>
              </w:rPr>
            </w:pPr>
            <w:r w:rsidRPr="005C3BBA">
              <w:rPr>
                <w:rFonts w:cs="Times New Roman"/>
                <w:szCs w:val="20"/>
              </w:rPr>
              <w:t>Object-New</w:t>
            </w:r>
          </w:p>
        </w:tc>
        <w:tc>
          <w:tcPr>
            <w:tcW w:w="5025" w:type="dxa"/>
            <w:vAlign w:val="center"/>
          </w:tcPr>
          <w:p w14:paraId="49B81F3B" w14:textId="77777777" w:rsidR="00977718" w:rsidRDefault="00977718" w:rsidP="005F64C8">
            <w:pPr>
              <w:ind w:firstLineChars="0" w:firstLine="0"/>
              <w:jc w:val="center"/>
              <w:rPr>
                <w:rFonts w:cs="Times New Roman"/>
                <w:szCs w:val="20"/>
              </w:rPr>
            </w:pPr>
            <w:r w:rsidRPr="005C3BBA">
              <w:rPr>
                <w:rFonts w:cs="Times New Roman"/>
                <w:szCs w:val="20"/>
              </w:rPr>
              <w:t>An entity which is a product or main theme of the investigation</w:t>
            </w:r>
          </w:p>
        </w:tc>
      </w:tr>
      <w:tr w:rsidR="00977718" w14:paraId="6A52B1CB" w14:textId="77777777" w:rsidTr="005F64C8">
        <w:trPr>
          <w:trHeight w:val="417"/>
        </w:trPr>
        <w:tc>
          <w:tcPr>
            <w:tcW w:w="1774" w:type="dxa"/>
            <w:vAlign w:val="center"/>
          </w:tcPr>
          <w:p w14:paraId="1CA0885F" w14:textId="77777777" w:rsidR="00977718" w:rsidRDefault="00977718" w:rsidP="005F64C8">
            <w:pPr>
              <w:ind w:firstLineChars="0" w:firstLine="0"/>
              <w:jc w:val="center"/>
              <w:rPr>
                <w:rFonts w:cs="Times New Roman"/>
                <w:szCs w:val="20"/>
              </w:rPr>
            </w:pPr>
            <w:r w:rsidRPr="005C3BBA">
              <w:rPr>
                <w:rFonts w:cs="Times New Roman"/>
                <w:szCs w:val="20"/>
              </w:rPr>
              <w:t>Object-New-Advantage</w:t>
            </w:r>
          </w:p>
        </w:tc>
        <w:tc>
          <w:tcPr>
            <w:tcW w:w="5025" w:type="dxa"/>
            <w:vAlign w:val="center"/>
          </w:tcPr>
          <w:p w14:paraId="559C5AC2" w14:textId="77777777" w:rsidR="00977718" w:rsidRDefault="00977718" w:rsidP="005F64C8">
            <w:pPr>
              <w:ind w:firstLineChars="0" w:firstLine="0"/>
              <w:jc w:val="center"/>
              <w:rPr>
                <w:rFonts w:cs="Times New Roman"/>
                <w:szCs w:val="20"/>
              </w:rPr>
            </w:pPr>
            <w:r w:rsidRPr="005C3BBA">
              <w:rPr>
                <w:rFonts w:cs="Times New Roman"/>
                <w:szCs w:val="20"/>
              </w:rPr>
              <w:t>Advantage of an object</w:t>
            </w:r>
          </w:p>
        </w:tc>
      </w:tr>
      <w:tr w:rsidR="00977718" w14:paraId="17BE0FE8" w14:textId="77777777" w:rsidTr="005F64C8">
        <w:trPr>
          <w:trHeight w:val="539"/>
        </w:trPr>
        <w:tc>
          <w:tcPr>
            <w:tcW w:w="1774" w:type="dxa"/>
            <w:vAlign w:val="center"/>
          </w:tcPr>
          <w:p w14:paraId="017BB97A" w14:textId="77777777" w:rsidR="00977718" w:rsidRDefault="00977718" w:rsidP="005F64C8">
            <w:pPr>
              <w:ind w:firstLineChars="0" w:firstLine="0"/>
              <w:jc w:val="center"/>
              <w:rPr>
                <w:rFonts w:cs="Times New Roman"/>
                <w:szCs w:val="20"/>
              </w:rPr>
            </w:pPr>
            <w:r w:rsidRPr="005C3BBA">
              <w:rPr>
                <w:rFonts w:cs="Times New Roman"/>
                <w:szCs w:val="20"/>
              </w:rPr>
              <w:lastRenderedPageBreak/>
              <w:t>Object-New-Disadvantage</w:t>
            </w:r>
          </w:p>
        </w:tc>
        <w:tc>
          <w:tcPr>
            <w:tcW w:w="5025" w:type="dxa"/>
            <w:vAlign w:val="center"/>
          </w:tcPr>
          <w:p w14:paraId="0287330C" w14:textId="77777777" w:rsidR="00977718" w:rsidRDefault="00977718" w:rsidP="005F64C8">
            <w:pPr>
              <w:ind w:firstLineChars="0" w:firstLine="0"/>
              <w:jc w:val="center"/>
              <w:rPr>
                <w:rFonts w:cs="Times New Roman"/>
                <w:szCs w:val="20"/>
              </w:rPr>
            </w:pPr>
            <w:r w:rsidRPr="005C3BBA">
              <w:rPr>
                <w:rFonts w:cs="Times New Roman"/>
                <w:szCs w:val="20"/>
              </w:rPr>
              <w:t>Disadvantage of an object</w:t>
            </w:r>
          </w:p>
        </w:tc>
      </w:tr>
    </w:tbl>
    <w:p w14:paraId="7174ED43" w14:textId="77777777" w:rsidR="00977718" w:rsidRPr="005C3BBA" w:rsidRDefault="00977718" w:rsidP="00977718">
      <w:pPr>
        <w:ind w:firstLineChars="0" w:firstLine="0"/>
        <w:rPr>
          <w:rFonts w:cs="Times New Roman"/>
          <w:szCs w:val="20"/>
        </w:rPr>
      </w:pPr>
    </w:p>
    <w:p w14:paraId="2DBF1AD1" w14:textId="77777777" w:rsidR="00977718" w:rsidRDefault="00977718" w:rsidP="00977718">
      <w:pPr>
        <w:ind w:firstLine="200"/>
        <w:rPr>
          <w:rFonts w:cs="Times New Roman"/>
          <w:szCs w:val="20"/>
        </w:rPr>
      </w:pPr>
      <w:r>
        <w:rPr>
          <w:rFonts w:cs="Times New Roman"/>
          <w:szCs w:val="20"/>
        </w:rPr>
        <w:t xml:space="preserve">Normally, when the author wants to describe the definition or </w:t>
      </w:r>
      <w:r>
        <w:rPr>
          <w:rFonts w:cs="Times New Roman" w:hint="eastAsia"/>
          <w:szCs w:val="20"/>
        </w:rPr>
        <w:t>composition</w:t>
      </w:r>
      <w:r>
        <w:rPr>
          <w:rFonts w:cs="Times New Roman"/>
          <w:szCs w:val="20"/>
        </w:rPr>
        <w:t xml:space="preserve"> of some research object, there will be some specific clue words, such as </w:t>
      </w:r>
      <w:r w:rsidRPr="00DA714F">
        <w:rPr>
          <w:rFonts w:cs="Times New Roman"/>
          <w:i/>
          <w:iCs/>
          <w:szCs w:val="20"/>
        </w:rPr>
        <w:t>contain</w:t>
      </w:r>
      <w:r>
        <w:rPr>
          <w:rFonts w:cs="Times New Roman"/>
          <w:szCs w:val="20"/>
        </w:rPr>
        <w:t xml:space="preserve"> or i</w:t>
      </w:r>
      <w:r w:rsidRPr="00DA714F">
        <w:rPr>
          <w:rFonts w:cs="Times New Roman"/>
          <w:i/>
          <w:iCs/>
          <w:szCs w:val="20"/>
        </w:rPr>
        <w:t>s a member of</w:t>
      </w:r>
      <w:r>
        <w:rPr>
          <w:rFonts w:cs="Times New Roman"/>
          <w:szCs w:val="20"/>
        </w:rPr>
        <w:t>. However, the attributes description of research object is relatively broad. The authors can not only explain the importance and necessity of the object, but also introduce the related background knowledge.</w:t>
      </w:r>
      <w:r w:rsidRPr="00952D43">
        <w:rPr>
          <w:rFonts w:cs="Times New Roman"/>
          <w:szCs w:val="20"/>
        </w:rPr>
        <w:t xml:space="preserve"> </w:t>
      </w:r>
      <w:r>
        <w:rPr>
          <w:rFonts w:cs="Times New Roman"/>
          <w:szCs w:val="20"/>
        </w:rPr>
        <w:t>Following clue words in Table B.8 can be referred to.</w:t>
      </w:r>
      <w:r w:rsidRPr="00962E17">
        <w:rPr>
          <w:rFonts w:cs="Times New Roman"/>
          <w:szCs w:val="20"/>
        </w:rPr>
        <w:t xml:space="preserve"> </w:t>
      </w:r>
      <w:r>
        <w:rPr>
          <w:rFonts w:cs="Times New Roman"/>
          <w:szCs w:val="20"/>
        </w:rPr>
        <w:t>More detailed examples are given in Table B.9.</w:t>
      </w:r>
    </w:p>
    <w:p w14:paraId="17747C59" w14:textId="77777777" w:rsidR="00977718" w:rsidRDefault="00977718" w:rsidP="00977718">
      <w:pPr>
        <w:ind w:firstLineChars="0" w:firstLine="0"/>
        <w:jc w:val="center"/>
        <w:rPr>
          <w:rFonts w:cs="Times New Roman"/>
          <w:szCs w:val="20"/>
        </w:rPr>
      </w:pPr>
      <w:r>
        <w:rPr>
          <w:rFonts w:cs="Times New Roman" w:hint="eastAsia"/>
          <w:szCs w:val="20"/>
        </w:rPr>
        <w:t>T</w:t>
      </w:r>
      <w:r>
        <w:rPr>
          <w:rFonts w:cs="Times New Roman"/>
          <w:szCs w:val="20"/>
        </w:rPr>
        <w:t xml:space="preserve">able B.8 Clue Words </w:t>
      </w:r>
      <w:r>
        <w:rPr>
          <w:rFonts w:cs="Times New Roman" w:hint="eastAsia"/>
          <w:szCs w:val="20"/>
        </w:rPr>
        <w:t>f</w:t>
      </w:r>
      <w:r>
        <w:rPr>
          <w:rFonts w:cs="Times New Roman"/>
          <w:szCs w:val="20"/>
        </w:rPr>
        <w:t>or Method category</w:t>
      </w:r>
    </w:p>
    <w:tbl>
      <w:tblPr>
        <w:tblStyle w:val="a7"/>
        <w:tblW w:w="0" w:type="auto"/>
        <w:tblLook w:val="04A0" w:firstRow="1" w:lastRow="0" w:firstColumn="1" w:lastColumn="0" w:noHBand="0" w:noVBand="1"/>
      </w:tblPr>
      <w:tblGrid>
        <w:gridCol w:w="1980"/>
        <w:gridCol w:w="4926"/>
      </w:tblGrid>
      <w:tr w:rsidR="00977718" w14:paraId="604DB611" w14:textId="77777777" w:rsidTr="005F64C8">
        <w:trPr>
          <w:trHeight w:val="448"/>
        </w:trPr>
        <w:tc>
          <w:tcPr>
            <w:tcW w:w="1980" w:type="dxa"/>
            <w:vAlign w:val="center"/>
          </w:tcPr>
          <w:p w14:paraId="6AD3338D" w14:textId="77777777" w:rsidR="00977718" w:rsidRDefault="00977718" w:rsidP="005F64C8">
            <w:pPr>
              <w:ind w:firstLineChars="0" w:firstLine="0"/>
              <w:rPr>
                <w:rFonts w:cs="Times New Roman"/>
                <w:szCs w:val="20"/>
              </w:rPr>
            </w:pPr>
            <w:r>
              <w:rPr>
                <w:rFonts w:cs="Times New Roman" w:hint="eastAsia"/>
                <w:szCs w:val="20"/>
              </w:rPr>
              <w:t>W</w:t>
            </w:r>
            <w:r>
              <w:rPr>
                <w:rFonts w:cs="Times New Roman"/>
                <w:szCs w:val="20"/>
              </w:rPr>
              <w:t>ord Features</w:t>
            </w:r>
          </w:p>
        </w:tc>
        <w:tc>
          <w:tcPr>
            <w:tcW w:w="4926" w:type="dxa"/>
            <w:vAlign w:val="center"/>
          </w:tcPr>
          <w:p w14:paraId="436DA487" w14:textId="77777777" w:rsidR="00977718" w:rsidRDefault="00977718" w:rsidP="005F64C8">
            <w:pPr>
              <w:ind w:firstLineChars="0" w:firstLine="0"/>
              <w:rPr>
                <w:rFonts w:cs="Times New Roman"/>
                <w:szCs w:val="20"/>
              </w:rPr>
            </w:pPr>
            <w:r>
              <w:rPr>
                <w:rFonts w:cs="Times New Roman" w:hint="eastAsia"/>
                <w:szCs w:val="20"/>
              </w:rPr>
              <w:t>E</w:t>
            </w:r>
            <w:r>
              <w:rPr>
                <w:rFonts w:cs="Times New Roman"/>
                <w:szCs w:val="20"/>
              </w:rPr>
              <w:t>xamples</w:t>
            </w:r>
          </w:p>
        </w:tc>
      </w:tr>
      <w:tr w:rsidR="00977718" w14:paraId="725F3BB3" w14:textId="77777777" w:rsidTr="005F64C8">
        <w:trPr>
          <w:trHeight w:val="649"/>
        </w:trPr>
        <w:tc>
          <w:tcPr>
            <w:tcW w:w="1980" w:type="dxa"/>
            <w:vAlign w:val="center"/>
          </w:tcPr>
          <w:p w14:paraId="204EA104" w14:textId="77777777" w:rsidR="00977718" w:rsidRDefault="00977718" w:rsidP="005F64C8">
            <w:pPr>
              <w:ind w:firstLineChars="0" w:firstLine="0"/>
              <w:rPr>
                <w:rFonts w:cs="Times New Roman"/>
                <w:szCs w:val="20"/>
              </w:rPr>
            </w:pPr>
            <w:r>
              <w:rPr>
                <w:rFonts w:cs="Times New Roman"/>
                <w:szCs w:val="20"/>
              </w:rPr>
              <w:t>Verb</w:t>
            </w:r>
          </w:p>
        </w:tc>
        <w:tc>
          <w:tcPr>
            <w:tcW w:w="4926" w:type="dxa"/>
            <w:vAlign w:val="center"/>
          </w:tcPr>
          <w:p w14:paraId="0383CD14" w14:textId="77777777" w:rsidR="00977718" w:rsidRDefault="00977718" w:rsidP="005F64C8">
            <w:pPr>
              <w:ind w:firstLineChars="0" w:firstLine="0"/>
              <w:rPr>
                <w:rFonts w:cs="Times New Roman"/>
                <w:szCs w:val="20"/>
              </w:rPr>
            </w:pPr>
            <w:r>
              <w:rPr>
                <w:rFonts w:cs="Times New Roman"/>
                <w:szCs w:val="20"/>
              </w:rPr>
              <w:t>contain</w:t>
            </w:r>
          </w:p>
        </w:tc>
      </w:tr>
      <w:tr w:rsidR="00977718" w14:paraId="20512160" w14:textId="77777777" w:rsidTr="005F64C8">
        <w:trPr>
          <w:trHeight w:val="417"/>
        </w:trPr>
        <w:tc>
          <w:tcPr>
            <w:tcW w:w="1980" w:type="dxa"/>
            <w:vAlign w:val="center"/>
          </w:tcPr>
          <w:p w14:paraId="4A822E26" w14:textId="77777777" w:rsidR="00977718" w:rsidRDefault="00977718" w:rsidP="005F64C8">
            <w:pPr>
              <w:ind w:firstLineChars="0" w:firstLine="0"/>
              <w:rPr>
                <w:rFonts w:cs="Times New Roman"/>
                <w:szCs w:val="20"/>
              </w:rPr>
            </w:pPr>
            <w:r w:rsidRPr="00962E17">
              <w:rPr>
                <w:rFonts w:cs="Times New Roman"/>
                <w:szCs w:val="20"/>
              </w:rPr>
              <w:t>Nouns, adjectives, prepositions, adverbs</w:t>
            </w:r>
          </w:p>
        </w:tc>
        <w:tc>
          <w:tcPr>
            <w:tcW w:w="4926" w:type="dxa"/>
            <w:vAlign w:val="center"/>
          </w:tcPr>
          <w:p w14:paraId="7F3145D6" w14:textId="77777777" w:rsidR="00977718" w:rsidRDefault="00977718" w:rsidP="005F64C8">
            <w:pPr>
              <w:ind w:firstLineChars="0" w:firstLine="0"/>
              <w:rPr>
                <w:rFonts w:cs="Times New Roman"/>
                <w:szCs w:val="20"/>
              </w:rPr>
            </w:pPr>
            <w:r w:rsidRPr="00952D43">
              <w:rPr>
                <w:rFonts w:cs="Times New Roman"/>
                <w:szCs w:val="20"/>
              </w:rPr>
              <w:t>necessary, required, essential</w:t>
            </w:r>
          </w:p>
        </w:tc>
      </w:tr>
      <w:tr w:rsidR="00977718" w14:paraId="17D039DA" w14:textId="77777777" w:rsidTr="005F64C8">
        <w:trPr>
          <w:trHeight w:val="539"/>
        </w:trPr>
        <w:tc>
          <w:tcPr>
            <w:tcW w:w="1980" w:type="dxa"/>
            <w:vAlign w:val="center"/>
          </w:tcPr>
          <w:p w14:paraId="637A1273" w14:textId="77777777" w:rsidR="00977718" w:rsidRDefault="00977718" w:rsidP="005F64C8">
            <w:pPr>
              <w:ind w:firstLineChars="0" w:firstLine="0"/>
              <w:rPr>
                <w:rFonts w:cs="Times New Roman"/>
                <w:szCs w:val="20"/>
              </w:rPr>
            </w:pPr>
            <w:r>
              <w:rPr>
                <w:rFonts w:cs="Times New Roman"/>
                <w:szCs w:val="20"/>
              </w:rPr>
              <w:t>Phrases</w:t>
            </w:r>
          </w:p>
        </w:tc>
        <w:tc>
          <w:tcPr>
            <w:tcW w:w="4926" w:type="dxa"/>
            <w:vAlign w:val="center"/>
          </w:tcPr>
          <w:p w14:paraId="5D22B6EB" w14:textId="77777777" w:rsidR="00977718" w:rsidRDefault="00977718" w:rsidP="005F64C8">
            <w:pPr>
              <w:ind w:firstLineChars="0" w:firstLine="0"/>
              <w:rPr>
                <w:rFonts w:cs="Times New Roman"/>
                <w:szCs w:val="20"/>
              </w:rPr>
            </w:pPr>
            <w:r w:rsidRPr="00952D43">
              <w:rPr>
                <w:rFonts w:cs="Times New Roman"/>
                <w:szCs w:val="20"/>
              </w:rPr>
              <w:t>is a member of, play a crucial role</w:t>
            </w:r>
          </w:p>
        </w:tc>
      </w:tr>
    </w:tbl>
    <w:p w14:paraId="2A4829ED" w14:textId="77777777" w:rsidR="00977718" w:rsidRPr="007A05F1" w:rsidRDefault="00977718" w:rsidP="00977718">
      <w:pPr>
        <w:spacing w:beforeLines="50" w:before="156"/>
        <w:ind w:firstLineChars="0" w:firstLine="0"/>
        <w:jc w:val="center"/>
        <w:rPr>
          <w:rFonts w:cs="Times New Roman"/>
          <w:szCs w:val="20"/>
        </w:rPr>
      </w:pPr>
      <w:r>
        <w:rPr>
          <w:rFonts w:cs="Times New Roman" w:hint="eastAsia"/>
          <w:szCs w:val="20"/>
        </w:rPr>
        <w:t>T</w:t>
      </w:r>
      <w:r>
        <w:rPr>
          <w:rFonts w:cs="Times New Roman"/>
          <w:szCs w:val="20"/>
        </w:rPr>
        <w:t xml:space="preserve">able B.9 Different kinds of examples </w:t>
      </w:r>
      <w:r>
        <w:rPr>
          <w:rFonts w:cs="Times New Roman" w:hint="eastAsia"/>
          <w:szCs w:val="20"/>
        </w:rPr>
        <w:t>f</w:t>
      </w:r>
      <w:r>
        <w:rPr>
          <w:rFonts w:cs="Times New Roman"/>
          <w:szCs w:val="20"/>
        </w:rPr>
        <w:t>or Object category</w:t>
      </w:r>
    </w:p>
    <w:tbl>
      <w:tblPr>
        <w:tblStyle w:val="a7"/>
        <w:tblW w:w="6941" w:type="dxa"/>
        <w:tblCellMar>
          <w:left w:w="57" w:type="dxa"/>
          <w:right w:w="57" w:type="dxa"/>
        </w:tblCellMar>
        <w:tblLook w:val="04A0" w:firstRow="1" w:lastRow="0" w:firstColumn="1" w:lastColumn="0" w:noHBand="0" w:noVBand="1"/>
      </w:tblPr>
      <w:tblGrid>
        <w:gridCol w:w="2405"/>
        <w:gridCol w:w="4536"/>
      </w:tblGrid>
      <w:tr w:rsidR="00977718" w:rsidRPr="00F6169F" w14:paraId="13410A2F" w14:textId="77777777" w:rsidTr="005F64C8">
        <w:trPr>
          <w:trHeight w:val="402"/>
        </w:trPr>
        <w:tc>
          <w:tcPr>
            <w:tcW w:w="2405" w:type="dxa"/>
            <w:vAlign w:val="center"/>
          </w:tcPr>
          <w:p w14:paraId="2D7D38BF" w14:textId="77777777" w:rsidR="00977718" w:rsidRPr="007A05F1" w:rsidRDefault="00977718" w:rsidP="005F64C8">
            <w:pPr>
              <w:ind w:firstLineChars="0" w:firstLine="0"/>
              <w:rPr>
                <w:rFonts w:cs="Times New Roman"/>
                <w:szCs w:val="20"/>
              </w:rPr>
            </w:pPr>
            <w:r w:rsidRPr="007A05F1">
              <w:rPr>
                <w:rFonts w:cs="Times New Roman" w:hint="eastAsia"/>
                <w:szCs w:val="20"/>
              </w:rPr>
              <w:t>D</w:t>
            </w:r>
            <w:r w:rsidRPr="007A05F1">
              <w:rPr>
                <w:rFonts w:cs="Times New Roman"/>
                <w:szCs w:val="20"/>
              </w:rPr>
              <w:t xml:space="preserve">escriptions </w:t>
            </w:r>
          </w:p>
        </w:tc>
        <w:tc>
          <w:tcPr>
            <w:tcW w:w="4536" w:type="dxa"/>
            <w:vAlign w:val="center"/>
          </w:tcPr>
          <w:p w14:paraId="37F6D473" w14:textId="77777777" w:rsidR="00977718" w:rsidRPr="007A05F1" w:rsidRDefault="00977718" w:rsidP="005F64C8">
            <w:pPr>
              <w:pStyle w:val="a8"/>
              <w:ind w:firstLineChars="0" w:firstLine="0"/>
              <w:rPr>
                <w:rFonts w:cs="Times New Roman"/>
                <w:szCs w:val="20"/>
              </w:rPr>
            </w:pPr>
            <w:r w:rsidRPr="007A05F1">
              <w:rPr>
                <w:rFonts w:cs="Times New Roman" w:hint="eastAsia"/>
                <w:szCs w:val="20"/>
              </w:rPr>
              <w:t>E</w:t>
            </w:r>
            <w:r w:rsidRPr="007A05F1">
              <w:rPr>
                <w:rFonts w:cs="Times New Roman"/>
                <w:szCs w:val="20"/>
              </w:rPr>
              <w:t>xamples</w:t>
            </w:r>
          </w:p>
        </w:tc>
      </w:tr>
      <w:tr w:rsidR="00977718" w:rsidRPr="00F6169F" w14:paraId="44909D5E" w14:textId="77777777" w:rsidTr="005F64C8">
        <w:tc>
          <w:tcPr>
            <w:tcW w:w="2405" w:type="dxa"/>
          </w:tcPr>
          <w:p w14:paraId="41306EB6" w14:textId="77777777" w:rsidR="00977718" w:rsidRPr="00F6169F" w:rsidRDefault="00977718" w:rsidP="005F64C8">
            <w:pPr>
              <w:spacing w:beforeLines="50" w:before="156"/>
              <w:ind w:firstLineChars="0" w:firstLine="0"/>
              <w:rPr>
                <w:rFonts w:cs="Times New Roman"/>
                <w:sz w:val="18"/>
                <w:szCs w:val="18"/>
              </w:rPr>
            </w:pPr>
            <w:r>
              <w:rPr>
                <w:rFonts w:cs="Times New Roman"/>
                <w:sz w:val="18"/>
                <w:szCs w:val="18"/>
              </w:rPr>
              <w:t>D</w:t>
            </w:r>
            <w:r w:rsidRPr="00952D43">
              <w:rPr>
                <w:rFonts w:cs="Times New Roman"/>
                <w:sz w:val="18"/>
                <w:szCs w:val="18"/>
              </w:rPr>
              <w:t>efinition of the research object,</w:t>
            </w:r>
            <w:r>
              <w:rPr>
                <w:rFonts w:cs="Times New Roman"/>
                <w:sz w:val="18"/>
                <w:szCs w:val="18"/>
              </w:rPr>
              <w:t xml:space="preserve"> sometime author will give more information,</w:t>
            </w:r>
            <w:r w:rsidRPr="00952D43">
              <w:rPr>
                <w:rFonts w:cs="Times New Roman"/>
                <w:sz w:val="18"/>
                <w:szCs w:val="18"/>
              </w:rPr>
              <w:t xml:space="preserve"> such as the object belongs to a certain type</w:t>
            </w:r>
            <w:r>
              <w:rPr>
                <w:rFonts w:cs="Times New Roman"/>
                <w:sz w:val="18"/>
                <w:szCs w:val="18"/>
              </w:rPr>
              <w:t xml:space="preserve"> or </w:t>
            </w:r>
            <w:r w:rsidRPr="00952D43">
              <w:rPr>
                <w:rFonts w:cs="Times New Roman"/>
                <w:sz w:val="18"/>
                <w:szCs w:val="18"/>
              </w:rPr>
              <w:t>has certain structure, etc.</w:t>
            </w:r>
          </w:p>
        </w:tc>
        <w:tc>
          <w:tcPr>
            <w:tcW w:w="4536" w:type="dxa"/>
          </w:tcPr>
          <w:p w14:paraId="7A141A73"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1</w:t>
            </w:r>
            <w:r w:rsidRPr="00952D43">
              <w:rPr>
                <w:rFonts w:cs="Times New Roman"/>
                <w:sz w:val="18"/>
                <w:szCs w:val="18"/>
              </w:rPr>
              <w:tab/>
              <w:t>CISH is a member of the SOCS adaptor family associated with TCR-mediated proliferation and survival of T cells [CITE] and its expression is specifically dependent upon the activation of STAT-5).</w:t>
            </w:r>
          </w:p>
          <w:p w14:paraId="7047A1EA"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2</w:t>
            </w:r>
            <w:r w:rsidRPr="00952D43">
              <w:rPr>
                <w:rFonts w:cs="Times New Roman"/>
                <w:sz w:val="18"/>
                <w:szCs w:val="18"/>
              </w:rPr>
              <w:tab/>
              <w:t>MCAK is a member of the Kinesin-13 family [CITE], whose members depolymerize microtubules rather than translocate along them.</w:t>
            </w:r>
          </w:p>
          <w:p w14:paraId="071B7CD5" w14:textId="77777777" w:rsidR="00977718" w:rsidRPr="00962E17" w:rsidRDefault="00977718" w:rsidP="005F64C8">
            <w:pPr>
              <w:pStyle w:val="a8"/>
              <w:ind w:firstLineChars="0" w:firstLine="0"/>
              <w:rPr>
                <w:rFonts w:cs="Times New Roman"/>
                <w:sz w:val="18"/>
                <w:szCs w:val="18"/>
              </w:rPr>
            </w:pPr>
            <w:r w:rsidRPr="00952D43">
              <w:rPr>
                <w:rFonts w:cs="Times New Roman"/>
                <w:sz w:val="18"/>
                <w:szCs w:val="18"/>
              </w:rPr>
              <w:t>3</w:t>
            </w:r>
            <w:r w:rsidRPr="00952D43">
              <w:rPr>
                <w:rFonts w:cs="Times New Roman"/>
                <w:sz w:val="18"/>
                <w:szCs w:val="18"/>
              </w:rPr>
              <w:tab/>
            </w:r>
            <w:proofErr w:type="gramStart"/>
            <w:r w:rsidRPr="00952D43">
              <w:rPr>
                <w:rFonts w:cs="Times New Roman"/>
                <w:sz w:val="18"/>
                <w:szCs w:val="18"/>
              </w:rPr>
              <w:t>PINCH</w:t>
            </w:r>
            <w:proofErr w:type="gramEnd"/>
            <w:r w:rsidRPr="00952D43">
              <w:rPr>
                <w:rFonts w:cs="Times New Roman"/>
                <w:sz w:val="18"/>
                <w:szCs w:val="18"/>
              </w:rPr>
              <w:t xml:space="preserve"> is an evolutionarily conserved adapter protein and has five LIM domains [CITE].</w:t>
            </w:r>
          </w:p>
        </w:tc>
      </w:tr>
      <w:tr w:rsidR="00977718" w:rsidRPr="00F6169F" w14:paraId="56FC547B" w14:textId="77777777" w:rsidTr="005F64C8">
        <w:tc>
          <w:tcPr>
            <w:tcW w:w="2405" w:type="dxa"/>
          </w:tcPr>
          <w:p w14:paraId="7AF1FC81" w14:textId="77777777" w:rsidR="00977718" w:rsidRDefault="00977718" w:rsidP="005F64C8">
            <w:pPr>
              <w:spacing w:beforeLines="50" w:before="156"/>
              <w:ind w:firstLineChars="0" w:firstLine="0"/>
              <w:rPr>
                <w:rFonts w:cs="Times New Roman"/>
                <w:sz w:val="18"/>
                <w:szCs w:val="18"/>
              </w:rPr>
            </w:pPr>
            <w:r w:rsidRPr="00952D43">
              <w:rPr>
                <w:rFonts w:cs="Times New Roman"/>
                <w:sz w:val="18"/>
                <w:szCs w:val="18"/>
              </w:rPr>
              <w:t>Explanation of the research object composition</w:t>
            </w:r>
            <w:r>
              <w:rPr>
                <w:rFonts w:cs="Times New Roman"/>
                <w:sz w:val="18"/>
                <w:szCs w:val="18"/>
              </w:rPr>
              <w:t>.</w:t>
            </w:r>
          </w:p>
        </w:tc>
        <w:tc>
          <w:tcPr>
            <w:tcW w:w="4536" w:type="dxa"/>
          </w:tcPr>
          <w:p w14:paraId="3070ED81"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1</w:t>
            </w:r>
            <w:r w:rsidRPr="00952D43">
              <w:rPr>
                <w:rFonts w:cs="Times New Roman"/>
                <w:sz w:val="18"/>
                <w:szCs w:val="18"/>
              </w:rPr>
              <w:tab/>
              <w:t xml:space="preserve">MSCs/MPCs are CD34(-) and lack a single, defining antigen, but can be </w:t>
            </w:r>
            <w:proofErr w:type="spellStart"/>
            <w:r w:rsidRPr="00952D43">
              <w:rPr>
                <w:rFonts w:cs="Times New Roman"/>
                <w:sz w:val="18"/>
                <w:szCs w:val="18"/>
              </w:rPr>
              <w:t>phenotyped</w:t>
            </w:r>
            <w:proofErr w:type="spellEnd"/>
            <w:r w:rsidRPr="00952D43">
              <w:rPr>
                <w:rFonts w:cs="Times New Roman"/>
                <w:sz w:val="18"/>
                <w:szCs w:val="18"/>
              </w:rPr>
              <w:t xml:space="preserve"> by a combination of cell surface markers, including thy-1 (CD90), endoglin (CD105), ALCAM (CD166</w:t>
            </w:r>
            <w:proofErr w:type="gramStart"/>
            <w:r w:rsidRPr="00952D43">
              <w:rPr>
                <w:rFonts w:cs="Times New Roman"/>
                <w:sz w:val="18"/>
                <w:szCs w:val="18"/>
              </w:rPr>
              <w:t>) ,</w:t>
            </w:r>
            <w:proofErr w:type="gramEnd"/>
            <w:r w:rsidRPr="00952D43">
              <w:rPr>
                <w:rFonts w:cs="Times New Roman"/>
                <w:sz w:val="18"/>
                <w:szCs w:val="18"/>
              </w:rPr>
              <w:t xml:space="preserve"> and receptors for low affinity nerve growth factor (LNGFR1) and BMP (BMPR1A and II) [CITE].</w:t>
            </w:r>
          </w:p>
          <w:p w14:paraId="77544574"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2</w:t>
            </w:r>
            <w:r w:rsidRPr="00952D43">
              <w:rPr>
                <w:rFonts w:cs="Times New Roman"/>
                <w:sz w:val="18"/>
                <w:szCs w:val="18"/>
              </w:rPr>
              <w:tab/>
              <w:t xml:space="preserve">In general, microtubules in cells turn over much more rapidly than microtubules assembled from pure tubulin in </w:t>
            </w:r>
            <w:proofErr w:type="gramStart"/>
            <w:r w:rsidRPr="00952D43">
              <w:rPr>
                <w:rFonts w:cs="Times New Roman"/>
                <w:sz w:val="18"/>
                <w:szCs w:val="18"/>
              </w:rPr>
              <w:t>vitro ,</w:t>
            </w:r>
            <w:proofErr w:type="gramEnd"/>
            <w:r w:rsidRPr="00952D43">
              <w:rPr>
                <w:rFonts w:cs="Times New Roman"/>
                <w:sz w:val="18"/>
                <w:szCs w:val="18"/>
              </w:rPr>
              <w:t xml:space="preserve"> due to cellular factors that contribute to increased microtubule turnover, including Op18 , Tog , and the microtubule depolymerizing kinesins, MCAK and Kif2A [CITE].</w:t>
            </w:r>
          </w:p>
          <w:p w14:paraId="76F959F0" w14:textId="77777777" w:rsidR="00977718" w:rsidRPr="00962E17" w:rsidRDefault="00977718" w:rsidP="005F64C8">
            <w:pPr>
              <w:pStyle w:val="a8"/>
              <w:ind w:firstLineChars="0" w:firstLine="0"/>
              <w:rPr>
                <w:rFonts w:cs="Times New Roman"/>
                <w:sz w:val="18"/>
                <w:szCs w:val="18"/>
              </w:rPr>
            </w:pPr>
            <w:r w:rsidRPr="00952D43">
              <w:rPr>
                <w:rFonts w:cs="Times New Roman"/>
                <w:sz w:val="18"/>
                <w:szCs w:val="18"/>
              </w:rPr>
              <w:t>3</w:t>
            </w:r>
            <w:r w:rsidRPr="00952D43">
              <w:rPr>
                <w:rFonts w:cs="Times New Roman"/>
                <w:sz w:val="18"/>
                <w:szCs w:val="18"/>
              </w:rPr>
              <w:tab/>
              <w:t xml:space="preserve">This kinase-like domain is able to interact with several components of cell-matrix contact sites including CH-ILKBP </w:t>
            </w:r>
            <w:proofErr w:type="gramStart"/>
            <w:r w:rsidRPr="00952D43">
              <w:rPr>
                <w:rFonts w:cs="Times New Roman"/>
                <w:sz w:val="18"/>
                <w:szCs w:val="18"/>
              </w:rPr>
              <w:lastRenderedPageBreak/>
              <w:t>(;-</w:t>
            </w:r>
            <w:proofErr w:type="spellStart"/>
            <w:proofErr w:type="gramEnd"/>
            <w:r w:rsidRPr="00952D43">
              <w:rPr>
                <w:rFonts w:cs="Times New Roman"/>
                <w:sz w:val="18"/>
                <w:szCs w:val="18"/>
              </w:rPr>
              <w:t>parvin</w:t>
            </w:r>
            <w:proofErr w:type="spellEnd"/>
            <w:r w:rsidRPr="00952D43">
              <w:rPr>
                <w:rFonts w:cs="Times New Roman"/>
                <w:sz w:val="18"/>
                <w:szCs w:val="18"/>
              </w:rPr>
              <w:t xml:space="preserve">, </w:t>
            </w:r>
            <w:proofErr w:type="spellStart"/>
            <w:r w:rsidRPr="00952D43">
              <w:rPr>
                <w:rFonts w:cs="Times New Roman"/>
                <w:sz w:val="18"/>
                <w:szCs w:val="18"/>
              </w:rPr>
              <w:t>actopaxin</w:t>
            </w:r>
            <w:proofErr w:type="spellEnd"/>
            <w:r w:rsidRPr="00952D43">
              <w:rPr>
                <w:rFonts w:cs="Times New Roman"/>
                <w:sz w:val="18"/>
                <w:szCs w:val="18"/>
              </w:rPr>
              <w:t>), ;1, ;2, and ;3 integrin cytoplasm tails, ;-</w:t>
            </w:r>
            <w:proofErr w:type="spellStart"/>
            <w:r w:rsidRPr="00952D43">
              <w:rPr>
                <w:rFonts w:cs="Times New Roman"/>
                <w:sz w:val="18"/>
                <w:szCs w:val="18"/>
              </w:rPr>
              <w:t>parvin</w:t>
            </w:r>
            <w:proofErr w:type="spellEnd"/>
            <w:r w:rsidRPr="00952D43">
              <w:rPr>
                <w:rFonts w:cs="Times New Roman"/>
                <w:sz w:val="18"/>
                <w:szCs w:val="18"/>
              </w:rPr>
              <w:t xml:space="preserve"> (</w:t>
            </w:r>
            <w:proofErr w:type="spellStart"/>
            <w:r w:rsidRPr="00952D43">
              <w:rPr>
                <w:rFonts w:cs="Times New Roman"/>
                <w:sz w:val="18"/>
                <w:szCs w:val="18"/>
              </w:rPr>
              <w:t>affixin</w:t>
            </w:r>
            <w:proofErr w:type="spellEnd"/>
            <w:r w:rsidRPr="00952D43">
              <w:rPr>
                <w:rFonts w:cs="Times New Roman"/>
                <w:sz w:val="18"/>
                <w:szCs w:val="18"/>
              </w:rPr>
              <w:t>), and paxillin [CITE].</w:t>
            </w:r>
          </w:p>
        </w:tc>
      </w:tr>
      <w:tr w:rsidR="00977718" w:rsidRPr="00F6169F" w14:paraId="3DA31199" w14:textId="77777777" w:rsidTr="005F64C8">
        <w:tc>
          <w:tcPr>
            <w:tcW w:w="2405" w:type="dxa"/>
          </w:tcPr>
          <w:p w14:paraId="2941DC1C" w14:textId="77777777" w:rsidR="00977718" w:rsidRPr="00952D43" w:rsidRDefault="00977718" w:rsidP="005F64C8">
            <w:pPr>
              <w:spacing w:beforeLines="50" w:before="156"/>
              <w:ind w:firstLineChars="0" w:firstLine="0"/>
              <w:rPr>
                <w:rFonts w:cs="Times New Roman"/>
                <w:sz w:val="18"/>
                <w:szCs w:val="18"/>
              </w:rPr>
            </w:pPr>
            <w:r w:rsidRPr="00952D43">
              <w:rPr>
                <w:rFonts w:cs="Times New Roman"/>
                <w:sz w:val="18"/>
                <w:szCs w:val="18"/>
              </w:rPr>
              <w:lastRenderedPageBreak/>
              <w:t>The description of the research object attributes. The attributes here include the nature and relationship of the object. Common descriptions include: the research object is located in a certain position, the research object has a certain function, and the research object has certain characteristics. In addition, when explaining the necessity and importance of the research object, it can be judged that the attribute of the research object is being discussed, that is, the sentence is marked as the object class.</w:t>
            </w:r>
          </w:p>
        </w:tc>
        <w:tc>
          <w:tcPr>
            <w:tcW w:w="4536" w:type="dxa"/>
          </w:tcPr>
          <w:p w14:paraId="5EA5E773"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1</w:t>
            </w:r>
            <w:r w:rsidRPr="00952D43">
              <w:rPr>
                <w:rFonts w:cs="Times New Roman"/>
                <w:sz w:val="18"/>
                <w:szCs w:val="18"/>
              </w:rPr>
              <w:tab/>
              <w:t>Indeed, in a caveolin-1 (cav-1)-deficient cell line (human hepatoma 7) and embryonic fibroblasts from a cav-1 knockout mouse, SV40 exploits an alternative, cav-1-independent pathway and this alternative pathway is also available in wild-type embryonic fibroblasts [CITE].</w:t>
            </w:r>
          </w:p>
          <w:p w14:paraId="1DAD1958"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2</w:t>
            </w:r>
            <w:r w:rsidRPr="00952D43">
              <w:rPr>
                <w:rFonts w:cs="Times New Roman"/>
                <w:sz w:val="18"/>
                <w:szCs w:val="18"/>
              </w:rPr>
              <w:tab/>
              <w:t xml:space="preserve">In a second TGN to ER pathway, the lipid-sorted pathway </w:t>
            </w:r>
            <w:proofErr w:type="spellStart"/>
            <w:r w:rsidRPr="00952D43">
              <w:rPr>
                <w:rFonts w:cs="Times New Roman"/>
                <w:sz w:val="18"/>
                <w:szCs w:val="18"/>
              </w:rPr>
              <w:t>utilised</w:t>
            </w:r>
            <w:proofErr w:type="spellEnd"/>
            <w:r w:rsidRPr="00952D43">
              <w:rPr>
                <w:rFonts w:cs="Times New Roman"/>
                <w:sz w:val="18"/>
                <w:szCs w:val="18"/>
              </w:rPr>
              <w:t xml:space="preserve"> by </w:t>
            </w:r>
            <w:proofErr w:type="spellStart"/>
            <w:r w:rsidRPr="00952D43">
              <w:rPr>
                <w:rFonts w:cs="Times New Roman"/>
                <w:sz w:val="18"/>
                <w:szCs w:val="18"/>
              </w:rPr>
              <w:t>STx</w:t>
            </w:r>
            <w:proofErr w:type="spellEnd"/>
            <w:r w:rsidRPr="00952D43">
              <w:rPr>
                <w:rFonts w:cs="Times New Roman"/>
                <w:sz w:val="18"/>
                <w:szCs w:val="18"/>
              </w:rPr>
              <w:t xml:space="preserve"> traffics from the TGN to the ER in a COP-I independent manner, in a manner controlled by Rab6 [CITE].</w:t>
            </w:r>
          </w:p>
          <w:p w14:paraId="14B21465"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3</w:t>
            </w:r>
            <w:r w:rsidRPr="00952D43">
              <w:rPr>
                <w:rFonts w:cs="Times New Roman"/>
                <w:sz w:val="18"/>
                <w:szCs w:val="18"/>
              </w:rPr>
              <w:tab/>
              <w:t xml:space="preserve">One popular cell type is the marsupial PtK2 cell, from the kidney of a normal adult male </w:t>
            </w:r>
            <w:proofErr w:type="spellStart"/>
            <w:r w:rsidRPr="00952D43">
              <w:rPr>
                <w:rFonts w:cs="Times New Roman"/>
                <w:sz w:val="18"/>
                <w:szCs w:val="18"/>
              </w:rPr>
              <w:t>Potorous</w:t>
            </w:r>
            <w:proofErr w:type="spellEnd"/>
            <w:r w:rsidRPr="00952D43">
              <w:rPr>
                <w:rFonts w:cs="Times New Roman"/>
                <w:sz w:val="18"/>
                <w:szCs w:val="18"/>
              </w:rPr>
              <w:t xml:space="preserve"> </w:t>
            </w:r>
            <w:proofErr w:type="spellStart"/>
            <w:r w:rsidRPr="00952D43">
              <w:rPr>
                <w:rFonts w:cs="Times New Roman"/>
                <w:sz w:val="18"/>
                <w:szCs w:val="18"/>
              </w:rPr>
              <w:t>tridactylis</w:t>
            </w:r>
            <w:proofErr w:type="spellEnd"/>
            <w:r w:rsidRPr="00952D43">
              <w:rPr>
                <w:rFonts w:cs="Times New Roman"/>
                <w:sz w:val="18"/>
                <w:szCs w:val="18"/>
              </w:rPr>
              <w:t>, which has a large flat morphology and a small number of large chromosomes (for example see [CITE]).</w:t>
            </w:r>
          </w:p>
          <w:p w14:paraId="0EC52EDA"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4</w:t>
            </w:r>
            <w:r w:rsidRPr="00952D43">
              <w:rPr>
                <w:rFonts w:cs="Times New Roman"/>
                <w:sz w:val="18"/>
                <w:szCs w:val="18"/>
              </w:rPr>
              <w:tab/>
              <w:t xml:space="preserve">Both </w:t>
            </w:r>
            <w:proofErr w:type="spellStart"/>
            <w:r w:rsidRPr="00952D43">
              <w:rPr>
                <w:rFonts w:cs="Times New Roman"/>
                <w:sz w:val="18"/>
                <w:szCs w:val="18"/>
              </w:rPr>
              <w:t>Abl</w:t>
            </w:r>
            <w:proofErr w:type="spellEnd"/>
            <w:r w:rsidRPr="00952D43">
              <w:rPr>
                <w:rFonts w:cs="Times New Roman"/>
                <w:sz w:val="18"/>
                <w:szCs w:val="18"/>
              </w:rPr>
              <w:t xml:space="preserve"> family kinases and cortactin localize to epithelial </w:t>
            </w:r>
            <w:proofErr w:type="spellStart"/>
            <w:r w:rsidRPr="00952D43">
              <w:rPr>
                <w:rFonts w:cs="Times New Roman"/>
                <w:sz w:val="18"/>
                <w:szCs w:val="18"/>
              </w:rPr>
              <w:t>adherens</w:t>
            </w:r>
            <w:proofErr w:type="spellEnd"/>
            <w:r w:rsidRPr="00952D43">
              <w:rPr>
                <w:rFonts w:cs="Times New Roman"/>
                <w:sz w:val="18"/>
                <w:szCs w:val="18"/>
              </w:rPr>
              <w:t xml:space="preserve"> junctions where they may similarly interact to promote actin assembly critical to their stability [CITE].</w:t>
            </w:r>
          </w:p>
        </w:tc>
      </w:tr>
      <w:tr w:rsidR="00977718" w:rsidRPr="00F6169F" w14:paraId="510BB113" w14:textId="77777777" w:rsidTr="005F64C8">
        <w:tc>
          <w:tcPr>
            <w:tcW w:w="2405" w:type="dxa"/>
          </w:tcPr>
          <w:p w14:paraId="33E70176" w14:textId="77777777" w:rsidR="00977718" w:rsidRPr="00952D43" w:rsidRDefault="00977718" w:rsidP="005F64C8">
            <w:pPr>
              <w:spacing w:beforeLines="50" w:before="156"/>
              <w:ind w:firstLineChars="0" w:firstLine="0"/>
              <w:rPr>
                <w:rFonts w:cs="Times New Roman"/>
                <w:sz w:val="18"/>
                <w:szCs w:val="18"/>
              </w:rPr>
            </w:pPr>
            <w:r w:rsidRPr="00952D43">
              <w:rPr>
                <w:rFonts w:cs="Times New Roman"/>
                <w:sz w:val="18"/>
                <w:szCs w:val="18"/>
              </w:rPr>
              <w:t xml:space="preserve">Sentences mention the research object and the citation </w:t>
            </w:r>
            <w:r>
              <w:rPr>
                <w:rFonts w:cs="Times New Roman"/>
                <w:sz w:val="18"/>
                <w:szCs w:val="18"/>
              </w:rPr>
              <w:t>mark</w:t>
            </w:r>
            <w:r w:rsidRPr="00952D43">
              <w:rPr>
                <w:rFonts w:cs="Times New Roman"/>
                <w:sz w:val="18"/>
                <w:szCs w:val="18"/>
              </w:rPr>
              <w:t xml:space="preserve"> closely follows the research object</w:t>
            </w:r>
            <w:r>
              <w:rPr>
                <w:rFonts w:cs="Times New Roman"/>
                <w:sz w:val="18"/>
                <w:szCs w:val="18"/>
              </w:rPr>
              <w:t>.</w:t>
            </w:r>
          </w:p>
        </w:tc>
        <w:tc>
          <w:tcPr>
            <w:tcW w:w="4536" w:type="dxa"/>
          </w:tcPr>
          <w:p w14:paraId="402FCE67" w14:textId="77777777" w:rsidR="00977718" w:rsidRDefault="00977718" w:rsidP="005F64C8">
            <w:pPr>
              <w:pStyle w:val="a8"/>
              <w:ind w:firstLineChars="0" w:firstLine="0"/>
              <w:rPr>
                <w:rFonts w:cs="Times New Roman"/>
                <w:sz w:val="18"/>
                <w:szCs w:val="18"/>
              </w:rPr>
            </w:pPr>
            <w:r w:rsidRPr="00952D43">
              <w:rPr>
                <w:rFonts w:cs="Times New Roman"/>
                <w:sz w:val="18"/>
                <w:szCs w:val="18"/>
              </w:rPr>
              <w:t>However</w:t>
            </w:r>
            <w:proofErr w:type="gramStart"/>
            <w:r w:rsidRPr="00952D43">
              <w:rPr>
                <w:rFonts w:cs="Times New Roman"/>
                <w:sz w:val="18"/>
                <w:szCs w:val="18"/>
              </w:rPr>
              <w:t>, ;</w:t>
            </w:r>
            <w:proofErr w:type="gramEnd"/>
            <w:r w:rsidRPr="00952D43">
              <w:rPr>
                <w:rFonts w:cs="Times New Roman"/>
                <w:sz w:val="18"/>
                <w:szCs w:val="18"/>
              </w:rPr>
              <w:t xml:space="preserve">-tubulin recruitment to the centrosomes is probably a complex process, as additional proteins, including </w:t>
            </w:r>
            <w:proofErr w:type="spellStart"/>
            <w:r w:rsidRPr="00952D43">
              <w:rPr>
                <w:rFonts w:cs="Times New Roman"/>
                <w:sz w:val="18"/>
                <w:szCs w:val="18"/>
              </w:rPr>
              <w:t>ninein</w:t>
            </w:r>
            <w:proofErr w:type="spellEnd"/>
            <w:r w:rsidRPr="00952D43">
              <w:rPr>
                <w:rFonts w:cs="Times New Roman"/>
                <w:sz w:val="18"/>
                <w:szCs w:val="18"/>
              </w:rPr>
              <w:t xml:space="preserve"> and </w:t>
            </w:r>
            <w:proofErr w:type="spellStart"/>
            <w:r w:rsidRPr="00952D43">
              <w:rPr>
                <w:rFonts w:cs="Times New Roman"/>
                <w:sz w:val="18"/>
                <w:szCs w:val="18"/>
              </w:rPr>
              <w:t>centrosomin</w:t>
            </w:r>
            <w:proofErr w:type="spellEnd"/>
            <w:r w:rsidRPr="00952D43">
              <w:rPr>
                <w:rFonts w:cs="Times New Roman"/>
                <w:sz w:val="18"/>
                <w:szCs w:val="18"/>
              </w:rPr>
              <w:t xml:space="preserve"> ([CITE]), provide alternative sites for ;-tubulin anchorage.</w:t>
            </w:r>
          </w:p>
          <w:p w14:paraId="050E2AA6" w14:textId="77777777" w:rsidR="00977718" w:rsidRDefault="00977718" w:rsidP="005F64C8">
            <w:pPr>
              <w:pStyle w:val="a8"/>
              <w:ind w:firstLineChars="0" w:firstLine="0"/>
              <w:rPr>
                <w:rFonts w:cs="Times New Roman"/>
                <w:sz w:val="18"/>
                <w:szCs w:val="18"/>
              </w:rPr>
            </w:pPr>
            <w:r w:rsidRPr="00952D43">
              <w:rPr>
                <w:rFonts w:cs="Times New Roman"/>
                <w:sz w:val="18"/>
                <w:szCs w:val="18"/>
              </w:rPr>
              <w:t>The second complex includes the PDZ protein PAR-3, which binds to atypical protein kinase C (</w:t>
            </w:r>
            <w:proofErr w:type="spellStart"/>
            <w:r w:rsidRPr="00952D43">
              <w:rPr>
                <w:rFonts w:cs="Times New Roman"/>
                <w:sz w:val="18"/>
                <w:szCs w:val="18"/>
              </w:rPr>
              <w:t>aPKC</w:t>
            </w:r>
            <w:proofErr w:type="spellEnd"/>
            <w:r w:rsidRPr="00952D43">
              <w:rPr>
                <w:rFonts w:cs="Times New Roman"/>
                <w:sz w:val="18"/>
                <w:szCs w:val="18"/>
              </w:rPr>
              <w:t>) [CITE], and the PDZ protein PAR-6.</w:t>
            </w:r>
          </w:p>
          <w:p w14:paraId="0B86E4FF" w14:textId="77777777" w:rsidR="00977718" w:rsidRPr="00952D43" w:rsidRDefault="00977718" w:rsidP="005F64C8">
            <w:pPr>
              <w:pStyle w:val="a8"/>
              <w:ind w:firstLineChars="0" w:firstLine="0"/>
              <w:rPr>
                <w:rFonts w:cs="Times New Roman"/>
                <w:sz w:val="18"/>
                <w:szCs w:val="18"/>
              </w:rPr>
            </w:pPr>
            <w:r w:rsidRPr="00952D43">
              <w:rPr>
                <w:rFonts w:cs="Times New Roman"/>
                <w:sz w:val="18"/>
                <w:szCs w:val="18"/>
              </w:rPr>
              <w:t xml:space="preserve">A suggested pH-dependent scaffolding by NHE1 is also a putative mechanism because NHE1 binds </w:t>
            </w:r>
            <w:proofErr w:type="gramStart"/>
            <w:r w:rsidRPr="00952D43">
              <w:rPr>
                <w:rFonts w:cs="Times New Roman"/>
                <w:sz w:val="18"/>
                <w:szCs w:val="18"/>
              </w:rPr>
              <w:t>PI(</w:t>
            </w:r>
            <w:proofErr w:type="gramEnd"/>
            <w:r w:rsidRPr="00952D43">
              <w:rPr>
                <w:rFonts w:cs="Times New Roman"/>
                <w:sz w:val="18"/>
                <w:szCs w:val="18"/>
              </w:rPr>
              <w:t>4,5)P2 [CITE] and the ezrin-radixin-</w:t>
            </w:r>
            <w:proofErr w:type="spellStart"/>
            <w:r w:rsidRPr="00952D43">
              <w:rPr>
                <w:rFonts w:cs="Times New Roman"/>
                <w:sz w:val="18"/>
                <w:szCs w:val="18"/>
              </w:rPr>
              <w:t>moesin</w:t>
            </w:r>
            <w:proofErr w:type="spellEnd"/>
            <w:r w:rsidRPr="00952D43">
              <w:rPr>
                <w:rFonts w:cs="Times New Roman"/>
                <w:sz w:val="18"/>
                <w:szCs w:val="18"/>
              </w:rPr>
              <w:t xml:space="preserve"> protein ezrin, and ezrin is suggested to sequester </w:t>
            </w:r>
            <w:proofErr w:type="spellStart"/>
            <w:r w:rsidRPr="00952D43">
              <w:rPr>
                <w:rFonts w:cs="Times New Roman"/>
                <w:sz w:val="18"/>
                <w:szCs w:val="18"/>
              </w:rPr>
              <w:t>Dbl</w:t>
            </w:r>
            <w:proofErr w:type="spellEnd"/>
            <w:r w:rsidRPr="00952D43">
              <w:rPr>
                <w:rFonts w:cs="Times New Roman"/>
                <w:sz w:val="18"/>
                <w:szCs w:val="18"/>
              </w:rPr>
              <w:t xml:space="preserve"> to plasma membrane microdomains and to regulate </w:t>
            </w:r>
            <w:proofErr w:type="spellStart"/>
            <w:r w:rsidRPr="00952D43">
              <w:rPr>
                <w:rFonts w:cs="Times New Roman"/>
                <w:sz w:val="18"/>
                <w:szCs w:val="18"/>
              </w:rPr>
              <w:t>Dbl</w:t>
            </w:r>
            <w:proofErr w:type="spellEnd"/>
            <w:r w:rsidRPr="00952D43">
              <w:rPr>
                <w:rFonts w:cs="Times New Roman"/>
                <w:sz w:val="18"/>
                <w:szCs w:val="18"/>
              </w:rPr>
              <w:t xml:space="preserve"> activation of Cdc42.</w:t>
            </w:r>
          </w:p>
        </w:tc>
      </w:tr>
    </w:tbl>
    <w:p w14:paraId="489506B6" w14:textId="77777777" w:rsidR="00977718" w:rsidRPr="00952D43" w:rsidRDefault="00977718" w:rsidP="00977718">
      <w:pPr>
        <w:ind w:firstLineChars="0" w:firstLine="0"/>
        <w:rPr>
          <w:rFonts w:cs="Times New Roman"/>
          <w:szCs w:val="20"/>
        </w:rPr>
      </w:pPr>
    </w:p>
    <w:p w14:paraId="182F41AC" w14:textId="77777777" w:rsidR="00977718" w:rsidRDefault="00977718" w:rsidP="00977718">
      <w:pPr>
        <w:ind w:firstLineChars="0" w:firstLine="0"/>
        <w:rPr>
          <w:rFonts w:cs="Times New Roman"/>
          <w:szCs w:val="20"/>
        </w:rPr>
      </w:pPr>
    </w:p>
    <w:p w14:paraId="67F716E2" w14:textId="77777777" w:rsidR="00977718" w:rsidRPr="00346F46" w:rsidRDefault="00977718" w:rsidP="00977718">
      <w:pPr>
        <w:pStyle w:val="2"/>
        <w:numPr>
          <w:ilvl w:val="0"/>
          <w:numId w:val="0"/>
        </w:numPr>
      </w:pPr>
      <w:r w:rsidRPr="00346F46">
        <w:rPr>
          <w:rFonts w:hint="eastAsia"/>
        </w:rPr>
        <w:t>C</w:t>
      </w:r>
      <w:r w:rsidRPr="00346F46">
        <w:t>onsiderations of Category Priority</w:t>
      </w:r>
    </w:p>
    <w:p w14:paraId="0D35CD2C" w14:textId="77777777" w:rsidR="00977718" w:rsidRDefault="00977718" w:rsidP="00977718">
      <w:pPr>
        <w:ind w:firstLineChars="0" w:firstLine="0"/>
        <w:rPr>
          <w:rFonts w:cs="Times New Roman"/>
          <w:szCs w:val="20"/>
        </w:rPr>
      </w:pPr>
      <w:r w:rsidRPr="00346F46">
        <w:rPr>
          <w:rFonts w:cs="Times New Roman"/>
          <w:szCs w:val="20"/>
        </w:rPr>
        <w:t xml:space="preserve">Since citation sentences often involve multiple categories of information, this </w:t>
      </w:r>
      <w:r>
        <w:rPr>
          <w:rFonts w:cs="Times New Roman"/>
          <w:szCs w:val="20"/>
        </w:rPr>
        <w:t>section</w:t>
      </w:r>
      <w:r w:rsidRPr="00346F46">
        <w:rPr>
          <w:rFonts w:cs="Times New Roman"/>
          <w:szCs w:val="20"/>
        </w:rPr>
        <w:t xml:space="preserve"> explains the category priorities that may exist in the labeling process. </w:t>
      </w:r>
      <w:r>
        <w:rPr>
          <w:rFonts w:cs="Times New Roman"/>
          <w:szCs w:val="20"/>
        </w:rPr>
        <w:t>We</w:t>
      </w:r>
      <w:r w:rsidRPr="00346F46">
        <w:rPr>
          <w:rFonts w:cs="Times New Roman"/>
          <w:szCs w:val="20"/>
        </w:rPr>
        <w:t xml:space="preserve"> recommend</w:t>
      </w:r>
      <w:r>
        <w:rPr>
          <w:rFonts w:cs="Times New Roman"/>
          <w:szCs w:val="20"/>
        </w:rPr>
        <w:t xml:space="preserve"> </w:t>
      </w:r>
      <w:r w:rsidRPr="00346F46">
        <w:rPr>
          <w:rFonts w:cs="Times New Roman"/>
          <w:szCs w:val="20"/>
        </w:rPr>
        <w:t xml:space="preserve">that the </w:t>
      </w:r>
      <w:r>
        <w:rPr>
          <w:rFonts w:cs="Times New Roman"/>
          <w:szCs w:val="20"/>
        </w:rPr>
        <w:t xml:space="preserve">annotators </w:t>
      </w:r>
      <w:r w:rsidRPr="00346F46">
        <w:rPr>
          <w:rFonts w:cs="Times New Roman"/>
          <w:szCs w:val="20"/>
        </w:rPr>
        <w:t xml:space="preserve">follow a certain order </w:t>
      </w:r>
      <w:r>
        <w:rPr>
          <w:rFonts w:cs="Times New Roman"/>
          <w:szCs w:val="20"/>
        </w:rPr>
        <w:t>when</w:t>
      </w:r>
      <w:r w:rsidRPr="00346F46">
        <w:rPr>
          <w:rFonts w:cs="Times New Roman"/>
          <w:szCs w:val="20"/>
        </w:rPr>
        <w:t xml:space="preserve"> labeling</w:t>
      </w:r>
      <w:r>
        <w:rPr>
          <w:rFonts w:cs="Times New Roman"/>
          <w:szCs w:val="20"/>
        </w:rPr>
        <w:t>. Firstly, they need to label the whole dataset based on only one category. T</w:t>
      </w:r>
      <w:r w:rsidRPr="00346F46">
        <w:rPr>
          <w:rFonts w:cs="Times New Roman"/>
          <w:szCs w:val="20"/>
        </w:rPr>
        <w:t>hen</w:t>
      </w:r>
      <w:r>
        <w:rPr>
          <w:rFonts w:cs="Times New Roman"/>
          <w:szCs w:val="20"/>
        </w:rPr>
        <w:t xml:space="preserve">, they continue to </w:t>
      </w:r>
      <w:r w:rsidRPr="00346F46">
        <w:rPr>
          <w:rFonts w:cs="Times New Roman"/>
          <w:szCs w:val="20"/>
        </w:rPr>
        <w:t>label the remaining data sequentially</w:t>
      </w:r>
      <w:r>
        <w:rPr>
          <w:rFonts w:cs="Times New Roman"/>
          <w:szCs w:val="20"/>
        </w:rPr>
        <w:t xml:space="preserve"> according to the left categories.</w:t>
      </w:r>
      <w:r w:rsidRPr="00346F46">
        <w:rPr>
          <w:rFonts w:cs="Times New Roman"/>
          <w:szCs w:val="20"/>
        </w:rPr>
        <w:t xml:space="preserve"> The suggested </w:t>
      </w:r>
      <w:r>
        <w:rPr>
          <w:rFonts w:cs="Times New Roman"/>
          <w:szCs w:val="20"/>
        </w:rPr>
        <w:t>category order is</w:t>
      </w:r>
      <w:r w:rsidRPr="00346F46">
        <w:rPr>
          <w:rFonts w:cs="Times New Roman"/>
          <w:szCs w:val="20"/>
        </w:rPr>
        <w:t xml:space="preserve"> method</w:t>
      </w:r>
      <w:r>
        <w:rPr>
          <w:rFonts w:cs="Times New Roman"/>
          <w:szCs w:val="20"/>
        </w:rPr>
        <w:t>,</w:t>
      </w:r>
      <w:r w:rsidRPr="00346F46">
        <w:rPr>
          <w:rFonts w:cs="Times New Roman"/>
          <w:szCs w:val="20"/>
        </w:rPr>
        <w:t xml:space="preserve"> conclusion</w:t>
      </w:r>
      <w:r>
        <w:rPr>
          <w:rFonts w:cs="Times New Roman"/>
          <w:szCs w:val="20"/>
        </w:rPr>
        <w:t>,</w:t>
      </w:r>
      <w:r w:rsidRPr="00346F46">
        <w:rPr>
          <w:rFonts w:cs="Times New Roman"/>
          <w:szCs w:val="20"/>
        </w:rPr>
        <w:t xml:space="preserve"> </w:t>
      </w:r>
      <w:r>
        <w:rPr>
          <w:rFonts w:cs="Times New Roman"/>
          <w:szCs w:val="20"/>
        </w:rPr>
        <w:t>goal and</w:t>
      </w:r>
      <w:r w:rsidRPr="00346F46">
        <w:rPr>
          <w:rFonts w:cs="Times New Roman"/>
          <w:szCs w:val="20"/>
        </w:rPr>
        <w:t xml:space="preserve"> object.</w:t>
      </w:r>
    </w:p>
    <w:p w14:paraId="640CC821" w14:textId="77777777" w:rsidR="00977718" w:rsidRPr="0096572C" w:rsidRDefault="00977718" w:rsidP="00977718">
      <w:pPr>
        <w:pStyle w:val="3"/>
        <w:numPr>
          <w:ilvl w:val="0"/>
          <w:numId w:val="0"/>
        </w:numPr>
        <w:spacing w:before="156" w:after="156"/>
        <w:rPr>
          <w:szCs w:val="20"/>
        </w:rPr>
      </w:pPr>
      <w:r>
        <w:rPr>
          <w:szCs w:val="20"/>
        </w:rPr>
        <w:lastRenderedPageBreak/>
        <w:t>Method and Conclusion</w:t>
      </w:r>
    </w:p>
    <w:p w14:paraId="59668E33" w14:textId="77777777" w:rsidR="00977718" w:rsidRDefault="00977718" w:rsidP="00977718">
      <w:pPr>
        <w:ind w:firstLineChars="0" w:firstLine="0"/>
        <w:rPr>
          <w:rFonts w:cs="Times New Roman"/>
          <w:szCs w:val="20"/>
        </w:rPr>
      </w:pPr>
      <w:r w:rsidRPr="0096572C">
        <w:rPr>
          <w:rFonts w:cs="Times New Roman"/>
          <w:szCs w:val="20"/>
        </w:rPr>
        <w:t xml:space="preserve">When a clear method and conclusion appear in the citation sentence at the same time, the citation sentence is marked as a </w:t>
      </w:r>
      <w:r w:rsidRPr="0096572C">
        <w:rPr>
          <w:rFonts w:cs="Times New Roman"/>
          <w:i/>
          <w:iCs/>
          <w:szCs w:val="20"/>
        </w:rPr>
        <w:t>Method</w:t>
      </w:r>
      <w:r w:rsidRPr="0096572C">
        <w:rPr>
          <w:rFonts w:cs="Times New Roman"/>
          <w:szCs w:val="20"/>
        </w:rPr>
        <w:t xml:space="preserve"> category.</w:t>
      </w:r>
      <w:r>
        <w:rPr>
          <w:rFonts w:cs="Times New Roman"/>
          <w:szCs w:val="20"/>
        </w:rPr>
        <w:t xml:space="preserve"> Example are given below:</w:t>
      </w:r>
    </w:p>
    <w:p w14:paraId="4E6A302A" w14:textId="77777777" w:rsidR="00977718" w:rsidRPr="006D3A8A" w:rsidRDefault="00977718" w:rsidP="00977718">
      <w:pPr>
        <w:pStyle w:val="a8"/>
        <w:numPr>
          <w:ilvl w:val="0"/>
          <w:numId w:val="13"/>
        </w:numPr>
        <w:ind w:firstLineChars="0"/>
        <w:rPr>
          <w:rFonts w:cs="Times New Roman"/>
          <w:szCs w:val="20"/>
        </w:rPr>
      </w:pPr>
      <w:r w:rsidRPr="006D3A8A">
        <w:rPr>
          <w:rFonts w:cs="Times New Roman"/>
          <w:szCs w:val="20"/>
        </w:rPr>
        <w:t xml:space="preserve">Even in multivariate analyses, MVD is related to survival in the whole group of patients with CRC [CITE] or subgroups of patients with stage II-III or stage A-C </w:t>
      </w:r>
      <w:proofErr w:type="spellStart"/>
      <w:r w:rsidRPr="006D3A8A">
        <w:rPr>
          <w:rFonts w:cs="Times New Roman"/>
          <w:szCs w:val="20"/>
        </w:rPr>
        <w:t>tumours</w:t>
      </w:r>
      <w:proofErr w:type="spellEnd"/>
      <w:r w:rsidRPr="006D3A8A">
        <w:rPr>
          <w:rFonts w:cs="Times New Roman"/>
          <w:szCs w:val="20"/>
        </w:rPr>
        <w:t>.</w:t>
      </w:r>
    </w:p>
    <w:p w14:paraId="5AC69BD7" w14:textId="77777777" w:rsidR="00977718" w:rsidRPr="006D3A8A" w:rsidRDefault="00977718" w:rsidP="00977718">
      <w:pPr>
        <w:pStyle w:val="a8"/>
        <w:numPr>
          <w:ilvl w:val="0"/>
          <w:numId w:val="13"/>
        </w:numPr>
        <w:ind w:firstLineChars="0"/>
        <w:rPr>
          <w:rFonts w:cs="Times New Roman"/>
          <w:szCs w:val="20"/>
        </w:rPr>
      </w:pPr>
      <w:r w:rsidRPr="006D3A8A">
        <w:rPr>
          <w:rFonts w:cs="Times New Roman"/>
          <w:szCs w:val="20"/>
        </w:rPr>
        <w:t>Apparently not, as 53BP1 plays no role in this process when tested with in an I-</w:t>
      </w:r>
      <w:proofErr w:type="spellStart"/>
      <w:r w:rsidRPr="006D3A8A">
        <w:rPr>
          <w:rFonts w:cs="Times New Roman"/>
          <w:szCs w:val="20"/>
        </w:rPr>
        <w:t>Sce</w:t>
      </w:r>
      <w:proofErr w:type="spellEnd"/>
      <w:r w:rsidRPr="006D3A8A">
        <w:rPr>
          <w:rFonts w:cs="Times New Roman"/>
          <w:szCs w:val="20"/>
        </w:rPr>
        <w:t xml:space="preserve"> I-based system developed in the </w:t>
      </w:r>
      <w:proofErr w:type="spellStart"/>
      <w:r w:rsidRPr="006D3A8A">
        <w:rPr>
          <w:rFonts w:cs="Times New Roman"/>
          <w:szCs w:val="20"/>
        </w:rPr>
        <w:t>Jasin</w:t>
      </w:r>
      <w:proofErr w:type="spellEnd"/>
      <w:r w:rsidRPr="006D3A8A">
        <w:rPr>
          <w:rFonts w:cs="Times New Roman"/>
          <w:szCs w:val="20"/>
        </w:rPr>
        <w:t xml:space="preserve"> laboratory that measures gene conversion [CITE].</w:t>
      </w:r>
    </w:p>
    <w:p w14:paraId="1055661E" w14:textId="77777777" w:rsidR="00977718" w:rsidRPr="006D3A8A" w:rsidRDefault="00977718" w:rsidP="00977718">
      <w:pPr>
        <w:pStyle w:val="a8"/>
        <w:numPr>
          <w:ilvl w:val="0"/>
          <w:numId w:val="13"/>
        </w:numPr>
        <w:ind w:firstLineChars="0"/>
        <w:rPr>
          <w:rFonts w:cs="Times New Roman"/>
          <w:szCs w:val="20"/>
        </w:rPr>
      </w:pPr>
      <w:r w:rsidRPr="006D3A8A">
        <w:rPr>
          <w:rFonts w:cs="Times New Roman"/>
          <w:szCs w:val="20"/>
        </w:rPr>
        <w:t xml:space="preserve">In a </w:t>
      </w:r>
      <w:proofErr w:type="spellStart"/>
      <w:r w:rsidRPr="006D3A8A">
        <w:rPr>
          <w:rFonts w:cs="Times New Roman"/>
          <w:szCs w:val="20"/>
        </w:rPr>
        <w:t>subcohort</w:t>
      </w:r>
      <w:proofErr w:type="spellEnd"/>
      <w:r w:rsidRPr="006D3A8A">
        <w:rPr>
          <w:rFonts w:cs="Times New Roman"/>
          <w:szCs w:val="20"/>
        </w:rPr>
        <w:t xml:space="preserve"> of middle-aged to elderly men participating in the Normative Aging Study (n = 427, blood lead </w:t>
      </w:r>
      <w:proofErr w:type="gramStart"/>
      <w:r w:rsidRPr="006D3A8A">
        <w:rPr>
          <w:rFonts w:cs="Times New Roman"/>
          <w:szCs w:val="20"/>
        </w:rPr>
        <w:t>4.5 ;</w:t>
      </w:r>
      <w:proofErr w:type="gramEnd"/>
      <w:r w:rsidRPr="006D3A8A">
        <w:rPr>
          <w:rFonts w:cs="Times New Roman"/>
          <w:szCs w:val="20"/>
        </w:rPr>
        <w:t xml:space="preserve"> 2.5 ;g/dL), multiple regression analysis revealed that log-transformed blood lead was positively correlated with serum creatinine in hypertensive but not normotensive subjects .([CITE])</w:t>
      </w:r>
    </w:p>
    <w:p w14:paraId="373B4CAA" w14:textId="77777777" w:rsidR="00977718" w:rsidRPr="006D3A8A" w:rsidRDefault="00977718" w:rsidP="00977718">
      <w:pPr>
        <w:pStyle w:val="a8"/>
        <w:numPr>
          <w:ilvl w:val="0"/>
          <w:numId w:val="13"/>
        </w:numPr>
        <w:ind w:firstLineChars="0"/>
        <w:rPr>
          <w:rFonts w:cs="Times New Roman"/>
          <w:szCs w:val="20"/>
        </w:rPr>
      </w:pPr>
      <w:r w:rsidRPr="006D3A8A">
        <w:rPr>
          <w:rFonts w:cs="Times New Roman"/>
          <w:szCs w:val="20"/>
        </w:rPr>
        <w:t xml:space="preserve">In searches of the C. </w:t>
      </w:r>
      <w:proofErr w:type="spellStart"/>
      <w:r w:rsidRPr="006D3A8A">
        <w:rPr>
          <w:rFonts w:cs="Times New Roman"/>
          <w:szCs w:val="20"/>
        </w:rPr>
        <w:t>reinhardtii</w:t>
      </w:r>
      <w:proofErr w:type="spellEnd"/>
      <w:r w:rsidRPr="006D3A8A">
        <w:rPr>
          <w:rFonts w:cs="Times New Roman"/>
          <w:szCs w:val="20"/>
        </w:rPr>
        <w:t xml:space="preserve"> proteome database, CaM-IP2 is flagellar-associated protein 91 (FAP</w:t>
      </w:r>
      <w:proofErr w:type="gramStart"/>
      <w:r w:rsidRPr="006D3A8A">
        <w:rPr>
          <w:rFonts w:cs="Times New Roman"/>
          <w:szCs w:val="20"/>
        </w:rPr>
        <w:t>91;[</w:t>
      </w:r>
      <w:proofErr w:type="gramEnd"/>
      <w:r w:rsidRPr="006D3A8A">
        <w:rPr>
          <w:rFonts w:cs="Times New Roman"/>
          <w:szCs w:val="20"/>
        </w:rPr>
        <w:t>CITE]).</w:t>
      </w:r>
    </w:p>
    <w:p w14:paraId="78F8DF56" w14:textId="77777777" w:rsidR="00977718" w:rsidRPr="0096572C" w:rsidRDefault="00977718" w:rsidP="00977718">
      <w:pPr>
        <w:ind w:firstLineChars="0" w:firstLine="0"/>
        <w:rPr>
          <w:rFonts w:cs="Times New Roman"/>
          <w:szCs w:val="20"/>
        </w:rPr>
      </w:pPr>
    </w:p>
    <w:p w14:paraId="7E9CCE50" w14:textId="77777777" w:rsidR="00977718" w:rsidRPr="0096572C" w:rsidRDefault="00977718" w:rsidP="00977718">
      <w:pPr>
        <w:pStyle w:val="3"/>
        <w:numPr>
          <w:ilvl w:val="0"/>
          <w:numId w:val="0"/>
        </w:numPr>
        <w:spacing w:before="156" w:after="156"/>
        <w:rPr>
          <w:szCs w:val="20"/>
        </w:rPr>
      </w:pPr>
      <w:r>
        <w:rPr>
          <w:szCs w:val="20"/>
        </w:rPr>
        <w:t>Method and Object</w:t>
      </w:r>
    </w:p>
    <w:p w14:paraId="60A3DECD" w14:textId="77777777" w:rsidR="00977718" w:rsidRDefault="00977718" w:rsidP="00977718">
      <w:pPr>
        <w:ind w:firstLineChars="0" w:firstLine="0"/>
        <w:rPr>
          <w:rFonts w:cs="Times New Roman"/>
          <w:szCs w:val="20"/>
        </w:rPr>
      </w:pPr>
      <w:r w:rsidRPr="0096572C">
        <w:rPr>
          <w:rFonts w:cs="Times New Roman"/>
          <w:szCs w:val="20"/>
        </w:rPr>
        <w:t xml:space="preserve">When </w:t>
      </w:r>
      <w:r>
        <w:rPr>
          <w:rFonts w:cs="Times New Roman"/>
          <w:szCs w:val="20"/>
        </w:rPr>
        <w:t xml:space="preserve">the object described in the citation sentence belongs to the </w:t>
      </w:r>
      <w:r w:rsidRPr="006D3A8A">
        <w:rPr>
          <w:rFonts w:cs="Times New Roman"/>
          <w:i/>
          <w:iCs/>
          <w:szCs w:val="20"/>
        </w:rPr>
        <w:t>Method</w:t>
      </w:r>
      <w:r>
        <w:rPr>
          <w:rFonts w:cs="Times New Roman"/>
          <w:szCs w:val="20"/>
        </w:rPr>
        <w:t xml:space="preserve"> category,</w:t>
      </w:r>
      <w:r w:rsidRPr="0096572C">
        <w:rPr>
          <w:rFonts w:cs="Times New Roman"/>
          <w:szCs w:val="20"/>
        </w:rPr>
        <w:t xml:space="preserve"> </w:t>
      </w:r>
      <w:r>
        <w:rPr>
          <w:rFonts w:cs="Times New Roman"/>
          <w:szCs w:val="20"/>
        </w:rPr>
        <w:t xml:space="preserve">the citation sentence </w:t>
      </w:r>
      <w:r w:rsidRPr="0096572C">
        <w:rPr>
          <w:rFonts w:cs="Times New Roman"/>
          <w:szCs w:val="20"/>
        </w:rPr>
        <w:t xml:space="preserve">is marked as a </w:t>
      </w:r>
      <w:r w:rsidRPr="0096572C">
        <w:rPr>
          <w:rFonts w:cs="Times New Roman"/>
          <w:i/>
          <w:iCs/>
          <w:szCs w:val="20"/>
        </w:rPr>
        <w:t>Method</w:t>
      </w:r>
      <w:r w:rsidRPr="0096572C">
        <w:rPr>
          <w:rFonts w:cs="Times New Roman"/>
          <w:szCs w:val="20"/>
        </w:rPr>
        <w:t xml:space="preserve"> category.</w:t>
      </w:r>
      <w:r>
        <w:rPr>
          <w:rFonts w:cs="Times New Roman"/>
          <w:szCs w:val="20"/>
        </w:rPr>
        <w:t xml:space="preserve"> Example are given below:</w:t>
      </w:r>
    </w:p>
    <w:p w14:paraId="09A7558A" w14:textId="77777777" w:rsidR="00977718" w:rsidRPr="006D3A8A" w:rsidRDefault="00977718" w:rsidP="00977718">
      <w:pPr>
        <w:pStyle w:val="a8"/>
        <w:numPr>
          <w:ilvl w:val="0"/>
          <w:numId w:val="12"/>
        </w:numPr>
        <w:ind w:firstLineChars="0"/>
        <w:rPr>
          <w:rFonts w:cs="Times New Roman"/>
          <w:szCs w:val="20"/>
        </w:rPr>
      </w:pPr>
      <w:proofErr w:type="spellStart"/>
      <w:r w:rsidRPr="006D3A8A">
        <w:rPr>
          <w:rFonts w:cs="Times New Roman" w:hint="eastAsia"/>
          <w:szCs w:val="20"/>
        </w:rPr>
        <w:t>PlasmoDB</w:t>
      </w:r>
      <w:proofErr w:type="spellEnd"/>
      <w:r w:rsidRPr="006D3A8A">
        <w:rPr>
          <w:rFonts w:cs="Times New Roman" w:hint="eastAsia"/>
          <w:szCs w:val="20"/>
        </w:rPr>
        <w:t xml:space="preserve"> operates inside </w:t>
      </w:r>
      <w:proofErr w:type="spellStart"/>
      <w:r w:rsidRPr="006D3A8A">
        <w:rPr>
          <w:rFonts w:cs="Times New Roman" w:hint="eastAsia"/>
          <w:szCs w:val="20"/>
        </w:rPr>
        <w:t>ApiDB</w:t>
      </w:r>
      <w:proofErr w:type="spellEnd"/>
      <w:r w:rsidRPr="006D3A8A">
        <w:rPr>
          <w:rFonts w:cs="Times New Roman" w:hint="eastAsia"/>
          <w:szCs w:val="20"/>
        </w:rPr>
        <w:t>, a master web portal for apicomplexan genomes [CITE].</w:t>
      </w:r>
    </w:p>
    <w:p w14:paraId="7389344B" w14:textId="77777777" w:rsidR="00977718" w:rsidRPr="006D3A8A" w:rsidRDefault="00977718" w:rsidP="00977718">
      <w:pPr>
        <w:pStyle w:val="a8"/>
        <w:numPr>
          <w:ilvl w:val="0"/>
          <w:numId w:val="12"/>
        </w:numPr>
        <w:ind w:firstLineChars="0"/>
        <w:rPr>
          <w:rFonts w:cs="Times New Roman"/>
          <w:szCs w:val="20"/>
        </w:rPr>
      </w:pPr>
      <w:r w:rsidRPr="006D3A8A">
        <w:rPr>
          <w:rFonts w:cs="Times New Roman" w:hint="eastAsia"/>
          <w:szCs w:val="20"/>
        </w:rPr>
        <w:t xml:space="preserve">PubChem, a repository for molecules acting on biological targets was recently </w:t>
      </w:r>
      <w:proofErr w:type="gramStart"/>
      <w:r w:rsidRPr="006D3A8A">
        <w:rPr>
          <w:rFonts w:cs="Times New Roman" w:hint="eastAsia"/>
          <w:szCs w:val="20"/>
        </w:rPr>
        <w:t>launched  and</w:t>
      </w:r>
      <w:proofErr w:type="gramEnd"/>
      <w:r w:rsidRPr="006D3A8A">
        <w:rPr>
          <w:rFonts w:cs="Times New Roman" w:hint="eastAsia"/>
          <w:szCs w:val="20"/>
        </w:rPr>
        <w:t xml:space="preserve"> the </w:t>
      </w:r>
      <w:proofErr w:type="spellStart"/>
      <w:r w:rsidRPr="006D3A8A">
        <w:rPr>
          <w:rFonts w:cs="Times New Roman" w:hint="eastAsia"/>
          <w:szCs w:val="20"/>
        </w:rPr>
        <w:t>UniProt</w:t>
      </w:r>
      <w:proofErr w:type="spellEnd"/>
      <w:r w:rsidRPr="006D3A8A">
        <w:rPr>
          <w:rFonts w:cs="Times New Roman" w:hint="eastAsia"/>
          <w:szCs w:val="20"/>
        </w:rPr>
        <w:t xml:space="preserve"> protein knowledge base was recently upgraded to report toxic doses of small molecules on proteins [CITE], however these initiatives are just starti</w:t>
      </w:r>
      <w:r w:rsidRPr="006D3A8A">
        <w:rPr>
          <w:rFonts w:cs="Times New Roman"/>
          <w:szCs w:val="20"/>
        </w:rPr>
        <w:t>ng points.</w:t>
      </w:r>
    </w:p>
    <w:p w14:paraId="71A8250B" w14:textId="77777777" w:rsidR="00977718" w:rsidRPr="006D3A8A" w:rsidRDefault="00977718" w:rsidP="00977718">
      <w:pPr>
        <w:pStyle w:val="a8"/>
        <w:numPr>
          <w:ilvl w:val="0"/>
          <w:numId w:val="12"/>
        </w:numPr>
        <w:ind w:firstLineChars="0"/>
        <w:rPr>
          <w:rFonts w:cs="Times New Roman"/>
          <w:szCs w:val="20"/>
        </w:rPr>
      </w:pPr>
      <w:r w:rsidRPr="006D3A8A">
        <w:rPr>
          <w:rFonts w:cs="Times New Roman" w:hint="eastAsia"/>
          <w:szCs w:val="20"/>
        </w:rPr>
        <w:t xml:space="preserve">Because RASF are known to be one of the key mediators of cartilage destruction in </w:t>
      </w:r>
      <w:proofErr w:type="gramStart"/>
      <w:r w:rsidRPr="006D3A8A">
        <w:rPr>
          <w:rFonts w:cs="Times New Roman" w:hint="eastAsia"/>
          <w:szCs w:val="20"/>
        </w:rPr>
        <w:t>RA ,</w:t>
      </w:r>
      <w:proofErr w:type="gramEnd"/>
      <w:r w:rsidRPr="006D3A8A">
        <w:rPr>
          <w:rFonts w:cs="Times New Roman" w:hint="eastAsia"/>
          <w:szCs w:val="20"/>
        </w:rPr>
        <w:t xml:space="preserve"> comprehensive data have emerged in recent years from gene expression analyses identifying diagnostically and therapeutically highly valued pathophysiological target</w:t>
      </w:r>
      <w:r w:rsidRPr="006D3A8A">
        <w:rPr>
          <w:rFonts w:cs="Times New Roman"/>
          <w:szCs w:val="20"/>
        </w:rPr>
        <w:t>s of RASF that mediate joint destruction and inflammation [CITE].</w:t>
      </w:r>
    </w:p>
    <w:p w14:paraId="5AA20451" w14:textId="77777777" w:rsidR="00977718" w:rsidRDefault="00977718" w:rsidP="00977718">
      <w:pPr>
        <w:pStyle w:val="3"/>
        <w:numPr>
          <w:ilvl w:val="0"/>
          <w:numId w:val="0"/>
        </w:numPr>
        <w:spacing w:before="156" w:after="156"/>
        <w:rPr>
          <w:szCs w:val="20"/>
        </w:rPr>
      </w:pPr>
      <w:r>
        <w:rPr>
          <w:rFonts w:hint="eastAsia"/>
          <w:szCs w:val="20"/>
        </w:rPr>
        <w:t>M</w:t>
      </w:r>
      <w:r>
        <w:rPr>
          <w:szCs w:val="20"/>
        </w:rPr>
        <w:t>ethod and Goal</w:t>
      </w:r>
    </w:p>
    <w:p w14:paraId="148C71DE" w14:textId="77777777" w:rsidR="00977718" w:rsidRDefault="00977718" w:rsidP="00977718">
      <w:pPr>
        <w:ind w:firstLineChars="0" w:firstLine="0"/>
        <w:rPr>
          <w:rFonts w:cs="Times New Roman"/>
          <w:szCs w:val="20"/>
        </w:rPr>
      </w:pPr>
      <w:r w:rsidRPr="006D3A8A">
        <w:rPr>
          <w:rFonts w:cs="Times New Roman"/>
          <w:szCs w:val="20"/>
        </w:rPr>
        <w:t xml:space="preserve">When the method and the goal appear in the citation sentence at the same time, the citation sentence is marked as the method category. The sentence patterns that can be referred to are "use a certain method to do " and "use a certain method to do </w:t>
      </w:r>
      <w:r>
        <w:rPr>
          <w:rFonts w:cs="Times New Roman"/>
          <w:szCs w:val="20"/>
        </w:rPr>
        <w:t>some</w:t>
      </w:r>
      <w:r w:rsidRPr="006D3A8A">
        <w:rPr>
          <w:rFonts w:cs="Times New Roman"/>
          <w:szCs w:val="20"/>
        </w:rPr>
        <w:t xml:space="preserve">thing for a purpose". </w:t>
      </w:r>
      <w:r>
        <w:rPr>
          <w:rFonts w:cs="Times New Roman"/>
          <w:szCs w:val="20"/>
        </w:rPr>
        <w:t>Example are given below:</w:t>
      </w:r>
    </w:p>
    <w:p w14:paraId="6AF90E57"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Zimmermann and colleagues [CITE] used negative selection with anti-CD14 magnetic beads to obtain a relatively clean population of RA FLSs (passage 1).</w:t>
      </w:r>
    </w:p>
    <w:p w14:paraId="6FA7FE63"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 xml:space="preserve">Recently, </w:t>
      </w:r>
      <w:proofErr w:type="spellStart"/>
      <w:r w:rsidRPr="006D3A8A">
        <w:rPr>
          <w:rFonts w:cs="Times New Roman" w:hint="eastAsia"/>
          <w:szCs w:val="20"/>
        </w:rPr>
        <w:t>Koralov</w:t>
      </w:r>
      <w:proofErr w:type="spellEnd"/>
      <w:r w:rsidRPr="006D3A8A">
        <w:rPr>
          <w:rFonts w:cs="Times New Roman" w:hint="eastAsia"/>
          <w:szCs w:val="20"/>
        </w:rPr>
        <w:t xml:space="preserve"> et al generated genetically modified mice to study VH replacement [CITE].</w:t>
      </w:r>
    </w:p>
    <w:p w14:paraId="1AD713A1" w14:textId="77777777" w:rsidR="00977718" w:rsidRPr="006D3A8A" w:rsidRDefault="00977718" w:rsidP="00977718">
      <w:pPr>
        <w:pStyle w:val="a8"/>
        <w:numPr>
          <w:ilvl w:val="0"/>
          <w:numId w:val="14"/>
        </w:numPr>
        <w:ind w:firstLineChars="0"/>
        <w:rPr>
          <w:rFonts w:cs="Times New Roman"/>
          <w:szCs w:val="20"/>
        </w:rPr>
      </w:pPr>
      <w:r w:rsidRPr="006D3A8A">
        <w:rPr>
          <w:rFonts w:cs="Times New Roman" w:hint="eastAsia"/>
          <w:szCs w:val="20"/>
        </w:rPr>
        <w:t xml:space="preserve">Nguyen and colleagues studied the relation between peptide YY and cholecystokinin concentrations and gastric emptying in 39 mechanically ventilated intensive care unit patients, two-thirds of whom presented with delayed </w:t>
      </w:r>
      <w:r w:rsidRPr="006D3A8A">
        <w:rPr>
          <w:rFonts w:cs="Times New Roman" w:hint="eastAsia"/>
          <w:szCs w:val="20"/>
        </w:rPr>
        <w:lastRenderedPageBreak/>
        <w:t>gastric emptying as assessed wi</w:t>
      </w:r>
      <w:r w:rsidRPr="006D3A8A">
        <w:rPr>
          <w:rFonts w:cs="Times New Roman"/>
          <w:szCs w:val="20"/>
        </w:rPr>
        <w:t>th the 13C-octanoate breath test [CITE].</w:t>
      </w:r>
    </w:p>
    <w:p w14:paraId="4818BE1C" w14:textId="77777777" w:rsidR="00977718" w:rsidRDefault="00977718" w:rsidP="00977718">
      <w:pPr>
        <w:ind w:firstLineChars="0" w:firstLine="0"/>
        <w:rPr>
          <w:rFonts w:cs="Times New Roman"/>
          <w:szCs w:val="20"/>
        </w:rPr>
      </w:pPr>
    </w:p>
    <w:p w14:paraId="784221F8" w14:textId="77777777" w:rsidR="00977718" w:rsidRDefault="00977718" w:rsidP="00977718">
      <w:pPr>
        <w:pStyle w:val="3"/>
        <w:numPr>
          <w:ilvl w:val="0"/>
          <w:numId w:val="0"/>
        </w:numPr>
        <w:spacing w:before="156" w:after="156"/>
        <w:rPr>
          <w:szCs w:val="20"/>
        </w:rPr>
      </w:pPr>
      <w:r>
        <w:rPr>
          <w:rFonts w:hint="eastAsia"/>
          <w:szCs w:val="20"/>
        </w:rPr>
        <w:t>C</w:t>
      </w:r>
      <w:r>
        <w:rPr>
          <w:szCs w:val="20"/>
        </w:rPr>
        <w:t>onclusion and Method</w:t>
      </w:r>
    </w:p>
    <w:p w14:paraId="1C1E1338" w14:textId="77777777" w:rsidR="00977718" w:rsidRDefault="00977718" w:rsidP="00977718">
      <w:pPr>
        <w:ind w:firstLineChars="0" w:firstLine="0"/>
        <w:rPr>
          <w:rFonts w:cs="Times New Roman"/>
          <w:szCs w:val="20"/>
        </w:rPr>
      </w:pPr>
      <w:r w:rsidRPr="00F25AAB">
        <w:rPr>
          <w:rFonts w:cs="Times New Roman"/>
          <w:szCs w:val="20"/>
        </w:rPr>
        <w:t xml:space="preserve">The method category covers multiple subcategories. When some </w:t>
      </w:r>
      <w:r>
        <w:rPr>
          <w:rFonts w:cs="Times New Roman"/>
          <w:szCs w:val="20"/>
        </w:rPr>
        <w:t>citation</w:t>
      </w:r>
      <w:r w:rsidRPr="00F25AAB">
        <w:rPr>
          <w:rFonts w:cs="Times New Roman"/>
          <w:szCs w:val="20"/>
        </w:rPr>
        <w:t xml:space="preserve"> sentences involve the "data" subcategory in the method category in the process of describing the conclusion, the </w:t>
      </w:r>
      <w:r>
        <w:rPr>
          <w:rFonts w:cs="Times New Roman"/>
          <w:szCs w:val="20"/>
        </w:rPr>
        <w:t>citation</w:t>
      </w:r>
      <w:r w:rsidRPr="00F25AAB">
        <w:rPr>
          <w:rFonts w:cs="Times New Roman"/>
          <w:szCs w:val="20"/>
        </w:rPr>
        <w:t xml:space="preserve"> sentences are marked as the conclusion category</w:t>
      </w:r>
      <w:r>
        <w:rPr>
          <w:rFonts w:cs="Times New Roman"/>
          <w:szCs w:val="20"/>
        </w:rPr>
        <w:t>.</w:t>
      </w:r>
      <w:r w:rsidRPr="006D3A8A">
        <w:rPr>
          <w:rFonts w:cs="Times New Roman"/>
          <w:szCs w:val="20"/>
        </w:rPr>
        <w:t xml:space="preserve"> </w:t>
      </w:r>
      <w:r>
        <w:rPr>
          <w:rFonts w:cs="Times New Roman"/>
          <w:szCs w:val="20"/>
        </w:rPr>
        <w:t>Example are given below:</w:t>
      </w:r>
    </w:p>
    <w:p w14:paraId="48D40304" w14:textId="77777777" w:rsidR="00977718" w:rsidRPr="00F25AAB" w:rsidRDefault="00977718" w:rsidP="00977718">
      <w:pPr>
        <w:pStyle w:val="a8"/>
        <w:numPr>
          <w:ilvl w:val="0"/>
          <w:numId w:val="15"/>
        </w:numPr>
        <w:ind w:firstLineChars="0"/>
        <w:rPr>
          <w:rFonts w:cs="Times New Roman"/>
          <w:szCs w:val="20"/>
        </w:rPr>
      </w:pPr>
      <w:r w:rsidRPr="00F25AAB">
        <w:rPr>
          <w:rFonts w:cs="Times New Roman" w:hint="eastAsia"/>
          <w:szCs w:val="20"/>
        </w:rPr>
        <w:t>Those data are consistent with previous data in the mouse ([CITE]) but not with others reported for human DCs, indicating an inability of the hyphal form to induce IL-12.</w:t>
      </w:r>
    </w:p>
    <w:p w14:paraId="088488B9" w14:textId="77777777" w:rsidR="00977718" w:rsidRPr="00F25AAB" w:rsidRDefault="00977718" w:rsidP="00977718">
      <w:pPr>
        <w:pStyle w:val="a8"/>
        <w:numPr>
          <w:ilvl w:val="0"/>
          <w:numId w:val="15"/>
        </w:numPr>
        <w:ind w:firstLineChars="0"/>
        <w:rPr>
          <w:rFonts w:cs="Times New Roman"/>
          <w:szCs w:val="20"/>
        </w:rPr>
      </w:pPr>
      <w:r w:rsidRPr="00F25AAB">
        <w:rPr>
          <w:rFonts w:cs="Times New Roman" w:hint="eastAsia"/>
          <w:szCs w:val="20"/>
        </w:rPr>
        <w:t xml:space="preserve">In a population-based study of Swedish women 50;59 years of age (n = 820), low levels of blood lead (mean </w:t>
      </w:r>
      <w:proofErr w:type="gramStart"/>
      <w:r w:rsidRPr="00F25AAB">
        <w:rPr>
          <w:rFonts w:cs="Times New Roman" w:hint="eastAsia"/>
          <w:szCs w:val="20"/>
        </w:rPr>
        <w:t>2.2 ;g</w:t>
      </w:r>
      <w:proofErr w:type="gramEnd"/>
      <w:r w:rsidRPr="00F25AAB">
        <w:rPr>
          <w:rFonts w:cs="Times New Roman" w:hint="eastAsia"/>
          <w:szCs w:val="20"/>
        </w:rPr>
        <w:t>/dL; 5th;95th percentiles, 1.1;4.6 ;g/dL) were inversely correlated with creatinine clearance and glomerular filtration rate, after adjusti</w:t>
      </w:r>
      <w:r w:rsidRPr="00F25AAB">
        <w:rPr>
          <w:rFonts w:cs="Times New Roman"/>
          <w:szCs w:val="20"/>
        </w:rPr>
        <w:t>ng for age, body mass index, urinary or blood cadmium, hypertension, diabetes, and regular use of nonsteroidal anti-inflammatory drug (NSAID) medication.([CITE]</w:t>
      </w:r>
    </w:p>
    <w:p w14:paraId="5F7DD3A2" w14:textId="77777777" w:rsidR="00977718" w:rsidRPr="00F25AAB" w:rsidRDefault="00977718" w:rsidP="00977718">
      <w:pPr>
        <w:pStyle w:val="a8"/>
        <w:numPr>
          <w:ilvl w:val="0"/>
          <w:numId w:val="15"/>
        </w:numPr>
        <w:ind w:firstLineChars="0"/>
        <w:rPr>
          <w:rFonts w:cs="Times New Roman"/>
          <w:szCs w:val="20"/>
        </w:rPr>
      </w:pPr>
      <w:r w:rsidRPr="00F25AAB">
        <w:rPr>
          <w:rFonts w:cs="Times New Roman" w:hint="eastAsia"/>
          <w:szCs w:val="20"/>
        </w:rPr>
        <w:t>Recent genetic data support this view of sequential activation [CITE].</w:t>
      </w:r>
    </w:p>
    <w:p w14:paraId="792CD10E" w14:textId="77777777" w:rsidR="00977718" w:rsidRDefault="00977718" w:rsidP="00977718">
      <w:pPr>
        <w:ind w:firstLineChars="0" w:firstLine="0"/>
        <w:rPr>
          <w:rFonts w:cs="Times New Roman"/>
          <w:szCs w:val="20"/>
        </w:rPr>
      </w:pPr>
    </w:p>
    <w:p w14:paraId="475CF2CF" w14:textId="77777777" w:rsidR="00977718" w:rsidRDefault="00977718" w:rsidP="00977718">
      <w:pPr>
        <w:ind w:firstLineChars="0" w:firstLine="0"/>
        <w:rPr>
          <w:rFonts w:cs="Times New Roman"/>
          <w:szCs w:val="20"/>
        </w:rPr>
      </w:pPr>
    </w:p>
    <w:p w14:paraId="53DBB841" w14:textId="77777777" w:rsidR="00977718" w:rsidRDefault="00977718" w:rsidP="00977718">
      <w:pPr>
        <w:pStyle w:val="3"/>
        <w:numPr>
          <w:ilvl w:val="0"/>
          <w:numId w:val="0"/>
        </w:numPr>
        <w:spacing w:before="156" w:after="156"/>
        <w:rPr>
          <w:szCs w:val="20"/>
        </w:rPr>
      </w:pPr>
      <w:r>
        <w:rPr>
          <w:rFonts w:hint="eastAsia"/>
          <w:szCs w:val="20"/>
        </w:rPr>
        <w:t>C</w:t>
      </w:r>
      <w:r>
        <w:rPr>
          <w:szCs w:val="20"/>
        </w:rPr>
        <w:t>onclusion and Goal</w:t>
      </w:r>
    </w:p>
    <w:p w14:paraId="2F387346" w14:textId="77777777" w:rsidR="00977718" w:rsidRDefault="00977718" w:rsidP="00977718">
      <w:pPr>
        <w:ind w:firstLineChars="0" w:firstLine="0"/>
        <w:rPr>
          <w:rFonts w:cs="Times New Roman"/>
          <w:szCs w:val="20"/>
        </w:rPr>
      </w:pPr>
      <w:r w:rsidRPr="00F25AAB">
        <w:rPr>
          <w:rFonts w:cs="Times New Roman"/>
          <w:szCs w:val="20"/>
        </w:rPr>
        <w:t xml:space="preserve">When the citation sentence contains the clue words given in the conclusion category, but the citation sentence actually belongs to the </w:t>
      </w:r>
      <w:r>
        <w:rPr>
          <w:rFonts w:cs="Times New Roman"/>
          <w:szCs w:val="20"/>
        </w:rPr>
        <w:t>Goal</w:t>
      </w:r>
      <w:r w:rsidRPr="00F25AAB">
        <w:rPr>
          <w:rFonts w:cs="Times New Roman"/>
          <w:szCs w:val="20"/>
        </w:rPr>
        <w:t xml:space="preserve"> category, the citation sentence is marked with the </w:t>
      </w:r>
      <w:r>
        <w:rPr>
          <w:rFonts w:cs="Times New Roman"/>
          <w:szCs w:val="20"/>
        </w:rPr>
        <w:t>Goal</w:t>
      </w:r>
      <w:r w:rsidRPr="00F25AAB">
        <w:rPr>
          <w:rFonts w:cs="Times New Roman"/>
          <w:szCs w:val="20"/>
        </w:rPr>
        <w:t xml:space="preserve"> category.</w:t>
      </w:r>
      <w:r w:rsidRPr="006D3A8A">
        <w:rPr>
          <w:rFonts w:cs="Times New Roman"/>
          <w:szCs w:val="20"/>
        </w:rPr>
        <w:t xml:space="preserve"> </w:t>
      </w:r>
      <w:r>
        <w:rPr>
          <w:rFonts w:cs="Times New Roman"/>
          <w:szCs w:val="20"/>
        </w:rPr>
        <w:t>Example are given below:</w:t>
      </w:r>
    </w:p>
    <w:p w14:paraId="23AB2038" w14:textId="77777777" w:rsidR="00977718" w:rsidRPr="00F25AAB" w:rsidRDefault="00977718" w:rsidP="00977718">
      <w:pPr>
        <w:pStyle w:val="a8"/>
        <w:numPr>
          <w:ilvl w:val="0"/>
          <w:numId w:val="16"/>
        </w:numPr>
        <w:ind w:firstLineChars="0"/>
        <w:rPr>
          <w:rFonts w:cs="Times New Roman"/>
          <w:szCs w:val="20"/>
        </w:rPr>
      </w:pPr>
      <w:r w:rsidRPr="00F25AAB">
        <w:rPr>
          <w:rFonts w:cs="Times New Roman" w:hint="eastAsia"/>
          <w:szCs w:val="20"/>
        </w:rPr>
        <w:t>The genes encoding all its subunits have been identified in Drosophila and some of them have been functionally assessed [CITE].</w:t>
      </w:r>
    </w:p>
    <w:p w14:paraId="76FFCB5F" w14:textId="77777777" w:rsidR="00977718" w:rsidRDefault="00977718" w:rsidP="00977718">
      <w:pPr>
        <w:ind w:firstLineChars="0" w:firstLine="0"/>
        <w:rPr>
          <w:rFonts w:cs="Times New Roman"/>
          <w:szCs w:val="20"/>
        </w:rPr>
      </w:pPr>
    </w:p>
    <w:p w14:paraId="4E2A0335" w14:textId="77777777" w:rsidR="00977718" w:rsidRDefault="00977718" w:rsidP="00977718">
      <w:pPr>
        <w:pStyle w:val="3"/>
        <w:numPr>
          <w:ilvl w:val="0"/>
          <w:numId w:val="0"/>
        </w:numPr>
        <w:spacing w:before="156" w:after="156"/>
        <w:rPr>
          <w:szCs w:val="20"/>
        </w:rPr>
      </w:pPr>
      <w:r>
        <w:rPr>
          <w:rFonts w:hint="eastAsia"/>
          <w:szCs w:val="20"/>
        </w:rPr>
        <w:t>O</w:t>
      </w:r>
      <w:r>
        <w:rPr>
          <w:szCs w:val="20"/>
        </w:rPr>
        <w:t>bject and Method</w:t>
      </w:r>
    </w:p>
    <w:p w14:paraId="3CC9E04C" w14:textId="77777777" w:rsidR="00977718" w:rsidRDefault="00977718" w:rsidP="00977718">
      <w:pPr>
        <w:ind w:firstLineChars="0" w:firstLine="0"/>
        <w:rPr>
          <w:rFonts w:cs="Times New Roman"/>
          <w:szCs w:val="20"/>
        </w:rPr>
      </w:pPr>
      <w:r w:rsidRPr="00F25AAB">
        <w:rPr>
          <w:rFonts w:cs="Times New Roman"/>
          <w:szCs w:val="20"/>
        </w:rPr>
        <w:t xml:space="preserve">When a citation sentence describes an object and conforms to the object sentence pattern template, </w:t>
      </w:r>
      <w:r>
        <w:rPr>
          <w:rFonts w:cs="Times New Roman"/>
          <w:szCs w:val="20"/>
        </w:rPr>
        <w:t>although</w:t>
      </w:r>
      <w:r w:rsidRPr="00F25AAB">
        <w:rPr>
          <w:rFonts w:cs="Times New Roman"/>
          <w:szCs w:val="20"/>
        </w:rPr>
        <w:t xml:space="preserve"> the citation sentence mentions method-type clue words, the citation sentence is marked as the object category. </w:t>
      </w:r>
      <w:r>
        <w:rPr>
          <w:rFonts w:cs="Times New Roman"/>
          <w:szCs w:val="20"/>
        </w:rPr>
        <w:t>Example are given below:</w:t>
      </w:r>
    </w:p>
    <w:p w14:paraId="27AE877F" w14:textId="77777777" w:rsidR="00977718" w:rsidRPr="00F25AAB" w:rsidRDefault="00977718" w:rsidP="00977718">
      <w:pPr>
        <w:pStyle w:val="a8"/>
        <w:numPr>
          <w:ilvl w:val="0"/>
          <w:numId w:val="17"/>
        </w:numPr>
        <w:ind w:firstLineChars="0"/>
        <w:rPr>
          <w:rFonts w:cs="Times New Roman"/>
          <w:szCs w:val="20"/>
        </w:rPr>
      </w:pPr>
      <w:r w:rsidRPr="00F25AAB">
        <w:rPr>
          <w:rFonts w:cs="Times New Roman" w:hint="eastAsia"/>
          <w:szCs w:val="20"/>
        </w:rPr>
        <w:t xml:space="preserve">By using a synthetic peptide encoding the C-terminal 52-96 amino acid sequence of </w:t>
      </w:r>
      <w:proofErr w:type="spellStart"/>
      <w:r w:rsidRPr="00F25AAB">
        <w:rPr>
          <w:rFonts w:cs="Times New Roman" w:hint="eastAsia"/>
          <w:szCs w:val="20"/>
        </w:rPr>
        <w:t>Vpr</w:t>
      </w:r>
      <w:proofErr w:type="spellEnd"/>
      <w:r w:rsidRPr="00F25AAB">
        <w:rPr>
          <w:rFonts w:cs="Times New Roman" w:hint="eastAsia"/>
          <w:szCs w:val="20"/>
        </w:rPr>
        <w:t xml:space="preserve">, which contains the apoptosis inducing domain [CITE], we investigated the effect of </w:t>
      </w:r>
      <w:proofErr w:type="spellStart"/>
      <w:r w:rsidRPr="00F25AAB">
        <w:rPr>
          <w:rFonts w:cs="Times New Roman" w:hint="eastAsia"/>
          <w:szCs w:val="20"/>
        </w:rPr>
        <w:t>Vpr</w:t>
      </w:r>
      <w:proofErr w:type="spellEnd"/>
      <w:r w:rsidRPr="00F25AAB">
        <w:rPr>
          <w:rFonts w:cs="Times New Roman" w:hint="eastAsia"/>
          <w:szCs w:val="20"/>
        </w:rPr>
        <w:t xml:space="preserve"> in primary human monocytes and in THP1 promonocytic cell line.</w:t>
      </w:r>
    </w:p>
    <w:p w14:paraId="6D90DC57" w14:textId="77777777" w:rsidR="00977718" w:rsidRPr="00F25AAB" w:rsidRDefault="00977718" w:rsidP="00977718">
      <w:pPr>
        <w:pStyle w:val="3"/>
        <w:numPr>
          <w:ilvl w:val="0"/>
          <w:numId w:val="0"/>
        </w:numPr>
        <w:spacing w:before="156" w:after="156"/>
        <w:rPr>
          <w:szCs w:val="20"/>
        </w:rPr>
      </w:pPr>
      <w:r>
        <w:rPr>
          <w:rFonts w:hint="eastAsia"/>
          <w:szCs w:val="20"/>
        </w:rPr>
        <w:t>G</w:t>
      </w:r>
      <w:r>
        <w:rPr>
          <w:szCs w:val="20"/>
        </w:rPr>
        <w:t>oal and Method</w:t>
      </w:r>
    </w:p>
    <w:p w14:paraId="6961E133" w14:textId="77777777" w:rsidR="00977718" w:rsidRDefault="00977718" w:rsidP="00977718">
      <w:pPr>
        <w:ind w:firstLineChars="0" w:firstLine="0"/>
        <w:rPr>
          <w:rFonts w:cs="Times New Roman"/>
          <w:szCs w:val="20"/>
        </w:rPr>
      </w:pPr>
      <w:r w:rsidRPr="00F25AAB">
        <w:rPr>
          <w:rFonts w:cs="Times New Roman"/>
          <w:szCs w:val="20"/>
        </w:rPr>
        <w:t xml:space="preserve">When the citation sentence conforms to the </w:t>
      </w:r>
      <w:r>
        <w:rPr>
          <w:rFonts w:cs="Times New Roman"/>
          <w:szCs w:val="20"/>
        </w:rPr>
        <w:t>goal</w:t>
      </w:r>
      <w:r w:rsidRPr="00F25AAB">
        <w:rPr>
          <w:rFonts w:cs="Times New Roman"/>
          <w:szCs w:val="20"/>
        </w:rPr>
        <w:t xml:space="preserve"> sentence pattern template, </w:t>
      </w:r>
      <w:r>
        <w:rPr>
          <w:rFonts w:cs="Times New Roman"/>
          <w:szCs w:val="20"/>
        </w:rPr>
        <w:t>although</w:t>
      </w:r>
      <w:r w:rsidRPr="00F25AAB">
        <w:rPr>
          <w:rFonts w:cs="Times New Roman"/>
          <w:szCs w:val="20"/>
        </w:rPr>
        <w:t xml:space="preserve"> the citation sentence contains method clue words, the citation sentence is marked as the </w:t>
      </w:r>
      <w:r>
        <w:rPr>
          <w:rFonts w:cs="Times New Roman"/>
          <w:szCs w:val="20"/>
        </w:rPr>
        <w:t>goal</w:t>
      </w:r>
      <w:r w:rsidRPr="00F25AAB">
        <w:rPr>
          <w:rFonts w:cs="Times New Roman"/>
          <w:szCs w:val="20"/>
        </w:rPr>
        <w:t xml:space="preserve"> category. </w:t>
      </w:r>
      <w:r>
        <w:rPr>
          <w:rFonts w:cs="Times New Roman"/>
          <w:szCs w:val="20"/>
        </w:rPr>
        <w:t>Example are given below:</w:t>
      </w:r>
    </w:p>
    <w:p w14:paraId="6B095B6F" w14:textId="77777777" w:rsidR="00977718" w:rsidRPr="00F25AAB" w:rsidRDefault="00977718" w:rsidP="00977718">
      <w:pPr>
        <w:pStyle w:val="a8"/>
        <w:numPr>
          <w:ilvl w:val="0"/>
          <w:numId w:val="18"/>
        </w:numPr>
        <w:ind w:firstLineChars="0"/>
        <w:rPr>
          <w:rFonts w:cs="Times New Roman"/>
          <w:szCs w:val="20"/>
        </w:rPr>
      </w:pPr>
      <w:r w:rsidRPr="00F25AAB">
        <w:rPr>
          <w:rFonts w:cs="Times New Roman" w:hint="eastAsia"/>
          <w:szCs w:val="20"/>
        </w:rPr>
        <w:t xml:space="preserve">In the present work, over 20,000 clones were sequenced from a normalized cDNA library from </w:t>
      </w:r>
      <w:proofErr w:type="spellStart"/>
      <w:proofErr w:type="gramStart"/>
      <w:r w:rsidRPr="00F25AAB">
        <w:rPr>
          <w:rFonts w:cs="Times New Roman" w:hint="eastAsia"/>
          <w:szCs w:val="20"/>
        </w:rPr>
        <w:t>G.morsitans</w:t>
      </w:r>
      <w:proofErr w:type="spellEnd"/>
      <w:proofErr w:type="gramEnd"/>
      <w:r w:rsidRPr="00F25AAB">
        <w:rPr>
          <w:rFonts w:cs="Times New Roman" w:hint="eastAsia"/>
          <w:szCs w:val="20"/>
        </w:rPr>
        <w:t xml:space="preserve"> </w:t>
      </w:r>
      <w:proofErr w:type="spellStart"/>
      <w:r w:rsidRPr="00F25AAB">
        <w:rPr>
          <w:rFonts w:cs="Times New Roman" w:hint="eastAsia"/>
          <w:szCs w:val="20"/>
        </w:rPr>
        <w:t>morsitans</w:t>
      </w:r>
      <w:proofErr w:type="spellEnd"/>
      <w:r w:rsidRPr="00F25AAB">
        <w:rPr>
          <w:rFonts w:cs="Times New Roman" w:hint="eastAsia"/>
          <w:szCs w:val="20"/>
        </w:rPr>
        <w:t xml:space="preserve"> and analyzed in combination with previously described ESTs from adult tsetse fat body  and midgut [CITE], permitting a </w:t>
      </w:r>
      <w:r w:rsidRPr="00F25AAB">
        <w:rPr>
          <w:rFonts w:cs="Times New Roman" w:hint="eastAsia"/>
          <w:szCs w:val="20"/>
        </w:rPr>
        <w:lastRenderedPageBreak/>
        <w:t>uniquely detailed a</w:t>
      </w:r>
      <w:r w:rsidRPr="00F25AAB">
        <w:rPr>
          <w:rFonts w:cs="Times New Roman"/>
          <w:szCs w:val="20"/>
        </w:rPr>
        <w:t xml:space="preserve">nalysis of the </w:t>
      </w:r>
      <w:proofErr w:type="spellStart"/>
      <w:r w:rsidRPr="00F25AAB">
        <w:rPr>
          <w:rFonts w:cs="Times New Roman"/>
          <w:szCs w:val="20"/>
        </w:rPr>
        <w:t>sialome</w:t>
      </w:r>
      <w:proofErr w:type="spellEnd"/>
      <w:r w:rsidRPr="00F25AAB">
        <w:rPr>
          <w:rFonts w:cs="Times New Roman"/>
          <w:szCs w:val="20"/>
        </w:rPr>
        <w:t xml:space="preserve"> of a </w:t>
      </w:r>
      <w:proofErr w:type="spellStart"/>
      <w:r w:rsidRPr="00F25AAB">
        <w:rPr>
          <w:rFonts w:cs="Times New Roman"/>
          <w:szCs w:val="20"/>
        </w:rPr>
        <w:t>haematophagous</w:t>
      </w:r>
      <w:proofErr w:type="spellEnd"/>
      <w:r w:rsidRPr="00F25AAB">
        <w:rPr>
          <w:rFonts w:cs="Times New Roman"/>
          <w:szCs w:val="20"/>
        </w:rPr>
        <w:t xml:space="preserve"> Dipteran.</w:t>
      </w:r>
    </w:p>
    <w:p w14:paraId="19DAFEC0" w14:textId="77777777" w:rsidR="004773D1" w:rsidRPr="00977718" w:rsidRDefault="00281DAB">
      <w:pPr>
        <w:ind w:firstLine="200"/>
      </w:pPr>
    </w:p>
    <w:sectPr w:rsidR="004773D1" w:rsidRPr="00977718" w:rsidSect="0075378A">
      <w:headerReference w:type="even" r:id="rId7"/>
      <w:headerReference w:type="default" r:id="rId8"/>
      <w:footerReference w:type="even" r:id="rId9"/>
      <w:footerReference w:type="default" r:id="rId10"/>
      <w:headerReference w:type="first" r:id="rId11"/>
      <w:footerReference w:type="first" r:id="rId12"/>
      <w:pgSz w:w="11906" w:h="16838"/>
      <w:pgMar w:top="2948" w:right="2495" w:bottom="2948" w:left="249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9C9B1" w14:textId="77777777" w:rsidR="00281DAB" w:rsidRDefault="00281DAB" w:rsidP="00977718">
      <w:pPr>
        <w:spacing w:line="240" w:lineRule="auto"/>
        <w:ind w:firstLine="200"/>
      </w:pPr>
      <w:r>
        <w:separator/>
      </w:r>
    </w:p>
  </w:endnote>
  <w:endnote w:type="continuationSeparator" w:id="0">
    <w:p w14:paraId="134BB85E" w14:textId="77777777" w:rsidR="00281DAB" w:rsidRDefault="00281DAB" w:rsidP="00977718">
      <w:pPr>
        <w:spacing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6F78" w14:textId="77777777" w:rsidR="00AD0DA9" w:rsidRDefault="00281DAB">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18E9" w14:textId="77777777" w:rsidR="00AD0DA9" w:rsidRDefault="00281DAB">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CED5" w14:textId="77777777" w:rsidR="00AD0DA9" w:rsidRDefault="00281DAB">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C268B" w14:textId="77777777" w:rsidR="00281DAB" w:rsidRDefault="00281DAB" w:rsidP="00977718">
      <w:pPr>
        <w:spacing w:line="240" w:lineRule="auto"/>
        <w:ind w:firstLine="200"/>
      </w:pPr>
      <w:r>
        <w:separator/>
      </w:r>
    </w:p>
  </w:footnote>
  <w:footnote w:type="continuationSeparator" w:id="0">
    <w:p w14:paraId="6B93E86A" w14:textId="77777777" w:rsidR="00281DAB" w:rsidRDefault="00281DAB" w:rsidP="00977718">
      <w:pPr>
        <w:spacing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9F78" w14:textId="77777777" w:rsidR="00AD0DA9" w:rsidRDefault="00281DAB">
    <w:pPr>
      <w:pStyle w:val="a3"/>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2AAF5" w14:textId="77777777" w:rsidR="00AD0DA9" w:rsidRDefault="00281DAB">
    <w:pPr>
      <w:pStyle w:val="a3"/>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2E43" w14:textId="77777777" w:rsidR="00AD0DA9" w:rsidRDefault="00281DAB">
    <w:pPr>
      <w:pStyle w:val="a3"/>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23D9"/>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7538C"/>
    <w:multiLevelType w:val="hybridMultilevel"/>
    <w:tmpl w:val="DCB47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21D56"/>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A14E3"/>
    <w:multiLevelType w:val="hybridMultilevel"/>
    <w:tmpl w:val="F8627888"/>
    <w:lvl w:ilvl="0" w:tplc="87E00B82">
      <w:start w:val="1"/>
      <w:numFmt w:val="decimal"/>
      <w:suff w:val="space"/>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2B57C1"/>
    <w:multiLevelType w:val="hybridMultilevel"/>
    <w:tmpl w:val="8A2E7AE6"/>
    <w:lvl w:ilvl="0" w:tplc="07105E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7B70D0"/>
    <w:multiLevelType w:val="multilevel"/>
    <w:tmpl w:val="D9A8AE30"/>
    <w:lvl w:ilvl="0">
      <w:start w:val="1"/>
      <w:numFmt w:val="decimal"/>
      <w:lvlText w:val="%1."/>
      <w:lvlJc w:val="left"/>
      <w:pPr>
        <w:ind w:left="420" w:hanging="420"/>
      </w:p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02B2EC6"/>
    <w:multiLevelType w:val="hybridMultilevel"/>
    <w:tmpl w:val="145442FC"/>
    <w:lvl w:ilvl="0" w:tplc="725214B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06734"/>
    <w:multiLevelType w:val="hybridMultilevel"/>
    <w:tmpl w:val="D68651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2375F3"/>
    <w:multiLevelType w:val="hybridMultilevel"/>
    <w:tmpl w:val="21505A84"/>
    <w:lvl w:ilvl="0" w:tplc="64DCC47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190F0A"/>
    <w:multiLevelType w:val="hybridMultilevel"/>
    <w:tmpl w:val="CBC4D450"/>
    <w:lvl w:ilvl="0" w:tplc="9FFAC96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B3023"/>
    <w:multiLevelType w:val="multilevel"/>
    <w:tmpl w:val="70FA8AD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B8A2374"/>
    <w:multiLevelType w:val="hybridMultilevel"/>
    <w:tmpl w:val="C004E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0731C0"/>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B93EE1"/>
    <w:multiLevelType w:val="hybridMultilevel"/>
    <w:tmpl w:val="EDE6151C"/>
    <w:lvl w:ilvl="0" w:tplc="B57607A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CE6EC3"/>
    <w:multiLevelType w:val="multilevel"/>
    <w:tmpl w:val="D9A8AE30"/>
    <w:lvl w:ilvl="0">
      <w:start w:val="1"/>
      <w:numFmt w:val="decimal"/>
      <w:lvlText w:val="%1."/>
      <w:lvlJc w:val="left"/>
      <w:pPr>
        <w:ind w:left="420" w:hanging="420"/>
      </w:p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4857330"/>
    <w:multiLevelType w:val="hybridMultilevel"/>
    <w:tmpl w:val="F8627888"/>
    <w:lvl w:ilvl="0" w:tplc="87E00B8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347995"/>
    <w:multiLevelType w:val="hybridMultilevel"/>
    <w:tmpl w:val="D68651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7B7377"/>
    <w:multiLevelType w:val="hybridMultilevel"/>
    <w:tmpl w:val="F0A448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6"/>
  </w:num>
  <w:num w:numId="4">
    <w:abstractNumId w:val="8"/>
  </w:num>
  <w:num w:numId="5">
    <w:abstractNumId w:val="9"/>
  </w:num>
  <w:num w:numId="6">
    <w:abstractNumId w:val="13"/>
  </w:num>
  <w:num w:numId="7">
    <w:abstractNumId w:val="2"/>
  </w:num>
  <w:num w:numId="8">
    <w:abstractNumId w:val="3"/>
  </w:num>
  <w:num w:numId="9">
    <w:abstractNumId w:val="12"/>
  </w:num>
  <w:num w:numId="10">
    <w:abstractNumId w:val="0"/>
  </w:num>
  <w:num w:numId="11">
    <w:abstractNumId w:val="15"/>
  </w:num>
  <w:num w:numId="12">
    <w:abstractNumId w:val="1"/>
  </w:num>
  <w:num w:numId="13">
    <w:abstractNumId w:val="5"/>
  </w:num>
  <w:num w:numId="14">
    <w:abstractNumId w:val="17"/>
  </w:num>
  <w:num w:numId="15">
    <w:abstractNumId w:val="11"/>
  </w:num>
  <w:num w:numId="16">
    <w:abstractNumId w:val="16"/>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1"/>
    <w:rsid w:val="00281DAB"/>
    <w:rsid w:val="00537473"/>
    <w:rsid w:val="00685018"/>
    <w:rsid w:val="006B1F51"/>
    <w:rsid w:val="00795C5A"/>
    <w:rsid w:val="00977718"/>
    <w:rsid w:val="009C698E"/>
    <w:rsid w:val="00AD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85C8A"/>
  <w15:chartTrackingRefBased/>
  <w15:docId w15:val="{675EE53C-1E52-4EC6-AC95-33E9E879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18"/>
    <w:pPr>
      <w:widowControl w:val="0"/>
      <w:spacing w:line="240" w:lineRule="exact"/>
      <w:ind w:firstLineChars="100" w:firstLine="100"/>
      <w:jc w:val="both"/>
    </w:pPr>
    <w:rPr>
      <w:rFonts w:ascii="Times New Roman" w:hAnsi="Times New Roman"/>
      <w:sz w:val="20"/>
    </w:rPr>
  </w:style>
  <w:style w:type="paragraph" w:styleId="1">
    <w:name w:val="heading 1"/>
    <w:basedOn w:val="a"/>
    <w:next w:val="a"/>
    <w:link w:val="10"/>
    <w:uiPriority w:val="9"/>
    <w:qFormat/>
    <w:rsid w:val="00977718"/>
    <w:pPr>
      <w:keepNext/>
      <w:keepLines/>
      <w:numPr>
        <w:numId w:val="1"/>
      </w:numPr>
      <w:spacing w:before="360" w:after="240" w:line="300" w:lineRule="atLeast"/>
      <w:ind w:firstLineChars="0" w:firstLine="0"/>
      <w:jc w:val="left"/>
      <w:outlineLvl w:val="0"/>
    </w:pPr>
    <w:rPr>
      <w:rFonts w:eastAsia="Times New Roman"/>
      <w:b/>
      <w:bCs/>
      <w:kern w:val="44"/>
      <w:sz w:val="24"/>
      <w:szCs w:val="44"/>
    </w:rPr>
  </w:style>
  <w:style w:type="paragraph" w:styleId="2">
    <w:name w:val="heading 2"/>
    <w:basedOn w:val="a"/>
    <w:next w:val="a"/>
    <w:link w:val="20"/>
    <w:uiPriority w:val="9"/>
    <w:unhideWhenUsed/>
    <w:qFormat/>
    <w:rsid w:val="00977718"/>
    <w:pPr>
      <w:keepNext/>
      <w:keepLines/>
      <w:numPr>
        <w:ilvl w:val="1"/>
        <w:numId w:val="1"/>
      </w:numPr>
      <w:spacing w:before="360" w:after="160" w:line="240" w:lineRule="atLeast"/>
      <w:ind w:firstLineChars="0" w:firstLine="0"/>
      <w:jc w:val="left"/>
      <w:outlineLvl w:val="1"/>
    </w:pPr>
    <w:rPr>
      <w:rFonts w:eastAsia="Arial Unicode MS" w:cstheme="majorBidi"/>
      <w:b/>
      <w:bCs/>
      <w:szCs w:val="32"/>
    </w:rPr>
  </w:style>
  <w:style w:type="paragraph" w:styleId="3">
    <w:name w:val="heading 3"/>
    <w:basedOn w:val="a"/>
    <w:next w:val="a"/>
    <w:link w:val="30"/>
    <w:uiPriority w:val="9"/>
    <w:unhideWhenUsed/>
    <w:qFormat/>
    <w:rsid w:val="00977718"/>
    <w:pPr>
      <w:keepNext/>
      <w:keepLines/>
      <w:numPr>
        <w:ilvl w:val="2"/>
        <w:numId w:val="1"/>
      </w:numPr>
      <w:spacing w:beforeLines="50" w:before="50" w:afterLines="50" w:after="50"/>
      <w:ind w:firstLineChars="0" w:firstLine="0"/>
      <w:jc w:val="left"/>
      <w:outlineLvl w:val="2"/>
    </w:pPr>
    <w:rPr>
      <w:rFonts w:eastAsia="仿宋"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718"/>
    <w:rPr>
      <w:sz w:val="18"/>
      <w:szCs w:val="18"/>
    </w:rPr>
  </w:style>
  <w:style w:type="paragraph" w:styleId="a5">
    <w:name w:val="footer"/>
    <w:basedOn w:val="a"/>
    <w:link w:val="a6"/>
    <w:uiPriority w:val="99"/>
    <w:unhideWhenUsed/>
    <w:rsid w:val="00977718"/>
    <w:pPr>
      <w:tabs>
        <w:tab w:val="center" w:pos="4153"/>
        <w:tab w:val="right" w:pos="8306"/>
      </w:tabs>
      <w:snapToGrid w:val="0"/>
      <w:jc w:val="left"/>
    </w:pPr>
    <w:rPr>
      <w:sz w:val="18"/>
      <w:szCs w:val="18"/>
    </w:rPr>
  </w:style>
  <w:style w:type="character" w:customStyle="1" w:styleId="a6">
    <w:name w:val="页脚 字符"/>
    <w:basedOn w:val="a0"/>
    <w:link w:val="a5"/>
    <w:uiPriority w:val="99"/>
    <w:rsid w:val="00977718"/>
    <w:rPr>
      <w:sz w:val="18"/>
      <w:szCs w:val="18"/>
    </w:rPr>
  </w:style>
  <w:style w:type="character" w:customStyle="1" w:styleId="10">
    <w:name w:val="标题 1 字符"/>
    <w:basedOn w:val="a0"/>
    <w:link w:val="1"/>
    <w:uiPriority w:val="9"/>
    <w:rsid w:val="00977718"/>
    <w:rPr>
      <w:rFonts w:ascii="Times New Roman" w:eastAsia="Times New Roman" w:hAnsi="Times New Roman"/>
      <w:b/>
      <w:bCs/>
      <w:kern w:val="44"/>
      <w:sz w:val="24"/>
      <w:szCs w:val="44"/>
    </w:rPr>
  </w:style>
  <w:style w:type="character" w:customStyle="1" w:styleId="20">
    <w:name w:val="标题 2 字符"/>
    <w:basedOn w:val="a0"/>
    <w:link w:val="2"/>
    <w:uiPriority w:val="9"/>
    <w:rsid w:val="00977718"/>
    <w:rPr>
      <w:rFonts w:ascii="Times New Roman" w:eastAsia="Arial Unicode MS" w:hAnsi="Times New Roman" w:cstheme="majorBidi"/>
      <w:b/>
      <w:bCs/>
      <w:sz w:val="20"/>
      <w:szCs w:val="32"/>
    </w:rPr>
  </w:style>
  <w:style w:type="character" w:customStyle="1" w:styleId="30">
    <w:name w:val="标题 3 字符"/>
    <w:basedOn w:val="a0"/>
    <w:link w:val="3"/>
    <w:uiPriority w:val="9"/>
    <w:rsid w:val="00977718"/>
    <w:rPr>
      <w:rFonts w:ascii="Times New Roman" w:eastAsia="仿宋" w:hAnsi="Times New Roman" w:cs="Times New Roman"/>
      <w:b/>
      <w:bCs/>
      <w:sz w:val="20"/>
      <w:szCs w:val="32"/>
    </w:rPr>
  </w:style>
  <w:style w:type="table" w:styleId="a7">
    <w:name w:val="Table Grid"/>
    <w:basedOn w:val="a1"/>
    <w:rsid w:val="00977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77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3749</Words>
  <Characters>21374</Characters>
  <Application>Microsoft Office Word</Application>
  <DocSecurity>0</DocSecurity>
  <Lines>178</Lines>
  <Paragraphs>50</Paragraphs>
  <ScaleCrop>false</ScaleCrop>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shutianma(马舒天)</dc:creator>
  <cp:keywords/>
  <dc:description/>
  <cp:lastModifiedBy>shutianma(马舒天)</cp:lastModifiedBy>
  <cp:revision>2</cp:revision>
  <dcterms:created xsi:type="dcterms:W3CDTF">2021-11-23T03:12:00Z</dcterms:created>
  <dcterms:modified xsi:type="dcterms:W3CDTF">2021-11-23T03:13:00Z</dcterms:modified>
</cp:coreProperties>
</file>