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2EB4" w14:textId="68DADEE1" w:rsidR="000F308F" w:rsidRPr="008C619A" w:rsidRDefault="00700BF6" w:rsidP="00700B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C619A">
        <w:rPr>
          <w:rFonts w:ascii="Times New Roman" w:hAnsi="Times New Roman" w:cs="Times New Roman"/>
          <w:b/>
          <w:bCs/>
          <w:sz w:val="28"/>
          <w:szCs w:val="28"/>
          <w:lang w:val="es-ES"/>
        </w:rPr>
        <w:t>¿Qué es JUnit?</w:t>
      </w:r>
    </w:p>
    <w:p w14:paraId="4556478E" w14:textId="667ECC8B" w:rsidR="00700BF6" w:rsidRPr="00700BF6" w:rsidRDefault="00700BF6" w:rsidP="00700BF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79E696" w14:textId="2FA54F55" w:rsidR="00700BF6" w:rsidRDefault="00700BF6" w:rsidP="00700BF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0BF6">
        <w:rPr>
          <w:rFonts w:ascii="Times New Roman" w:hAnsi="Times New Roman" w:cs="Times New Roman"/>
          <w:sz w:val="24"/>
          <w:szCs w:val="24"/>
          <w:lang w:val="es-ES"/>
        </w:rPr>
        <w:t xml:space="preserve">JUnit se trata de un Framework Open </w:t>
      </w:r>
      <w:proofErr w:type="spellStart"/>
      <w:r w:rsidRPr="00700BF6">
        <w:rPr>
          <w:rFonts w:ascii="Times New Roman" w:hAnsi="Times New Roman" w:cs="Times New Roman"/>
          <w:sz w:val="24"/>
          <w:szCs w:val="24"/>
          <w:lang w:val="es-ES"/>
        </w:rPr>
        <w:t>Source</w:t>
      </w:r>
      <w:proofErr w:type="spellEnd"/>
      <w:r w:rsidRPr="00700BF6">
        <w:rPr>
          <w:rFonts w:ascii="Times New Roman" w:hAnsi="Times New Roman" w:cs="Times New Roman"/>
          <w:sz w:val="24"/>
          <w:szCs w:val="24"/>
          <w:lang w:val="es-ES"/>
        </w:rPr>
        <w:t xml:space="preserve"> para la automatización de las pruebas (tanto unitarias, como de integración) en los proyectos Software. El </w:t>
      </w:r>
      <w:proofErr w:type="spellStart"/>
      <w:r w:rsidRPr="00700BF6">
        <w:rPr>
          <w:rFonts w:ascii="Times New Roman" w:hAnsi="Times New Roman" w:cs="Times New Roman"/>
          <w:sz w:val="24"/>
          <w:szCs w:val="24"/>
          <w:lang w:val="es-ES"/>
        </w:rPr>
        <w:t>framework</w:t>
      </w:r>
      <w:proofErr w:type="spellEnd"/>
      <w:r w:rsidRPr="00700BF6">
        <w:rPr>
          <w:rFonts w:ascii="Times New Roman" w:hAnsi="Times New Roman" w:cs="Times New Roman"/>
          <w:sz w:val="24"/>
          <w:szCs w:val="24"/>
          <w:lang w:val="es-ES"/>
        </w:rPr>
        <w:t xml:space="preserve"> provee al usuario de herramientas, clases y métodos que le facilitan la tarea de realizar pruebas en su sistema y así asegurar su consistencia y funcionalidad.</w:t>
      </w:r>
    </w:p>
    <w:p w14:paraId="73E13F13" w14:textId="233DBBE2" w:rsidR="00700BF6" w:rsidRDefault="00700BF6" w:rsidP="00700BF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5D89DF" w14:textId="4F4D107C" w:rsidR="00700BF6" w:rsidRDefault="00700BF6" w:rsidP="00700B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>¿Cómo se utiliza?</w:t>
      </w:r>
    </w:p>
    <w:p w14:paraId="2A7CB3ED" w14:textId="7C120C7D" w:rsidR="00700BF6" w:rsidRDefault="00700BF6" w:rsidP="00700BF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0BF6">
        <w:rPr>
          <w:rFonts w:ascii="Times New Roman" w:hAnsi="Times New Roman" w:cs="Times New Roman"/>
          <w:sz w:val="24"/>
          <w:szCs w:val="24"/>
          <w:lang w:val="es-ES"/>
        </w:rPr>
        <w:t xml:space="preserve">En primer lugar, es importante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que la clase a utilizar tenga la estructura “Test”. </w:t>
      </w:r>
    </w:p>
    <w:p w14:paraId="5B75FFEF" w14:textId="58E85CA6" w:rsidR="00700BF6" w:rsidRDefault="00700BF6" w:rsidP="00700BF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8520A3C" w14:textId="679839CD" w:rsidR="00700BF6" w:rsidRDefault="00700BF6" w:rsidP="00700B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>Tipos de métodos</w:t>
      </w:r>
    </w:p>
    <w:p w14:paraId="55EE63EF" w14:textId="77777777" w:rsidR="00700BF6" w:rsidRDefault="00700BF6" w:rsidP="00700B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F1669E" w14:textId="3B82F53E" w:rsidR="00700BF6" w:rsidRPr="00700BF6" w:rsidRDefault="00700BF6" w:rsidP="00700BF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Método </w:t>
      </w:r>
      <w:proofErr w:type="spellStart"/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>setUp</w:t>
      </w:r>
      <w:proofErr w:type="spellEnd"/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700BF6">
        <w:rPr>
          <w:rFonts w:ascii="Times New Roman" w:hAnsi="Times New Roman" w:cs="Times New Roman"/>
          <w:sz w:val="24"/>
          <w:szCs w:val="24"/>
          <w:lang w:val="es-ES"/>
        </w:rPr>
        <w:t xml:space="preserve"> Asignamos valores iniciales a variables antes de la ejecución de cada test. Si sólo queremos que se inicialicen al principio una vez, el método se debe llamar "</w:t>
      </w:r>
      <w:proofErr w:type="spellStart"/>
      <w:r w:rsidRPr="00700BF6">
        <w:rPr>
          <w:rFonts w:ascii="Times New Roman" w:hAnsi="Times New Roman" w:cs="Times New Roman"/>
          <w:sz w:val="24"/>
          <w:szCs w:val="24"/>
          <w:lang w:val="es-ES"/>
        </w:rPr>
        <w:t>setUpClass</w:t>
      </w:r>
      <w:proofErr w:type="spellEnd"/>
      <w:r w:rsidRPr="00700BF6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14:paraId="65F6EE6C" w14:textId="665DE765" w:rsidR="00700BF6" w:rsidRPr="00700BF6" w:rsidRDefault="00700BF6" w:rsidP="00700BF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Método </w:t>
      </w:r>
      <w:proofErr w:type="spellStart"/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>tearDown</w:t>
      </w:r>
      <w:proofErr w:type="spellEnd"/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700BF6">
        <w:rPr>
          <w:rFonts w:ascii="Times New Roman" w:hAnsi="Times New Roman" w:cs="Times New Roman"/>
          <w:sz w:val="24"/>
          <w:szCs w:val="24"/>
          <w:lang w:val="es-ES"/>
        </w:rPr>
        <w:t xml:space="preserve"> Es llamado después de cada test y puede servir para liberar recursos o similar. Igual que antes, si queremos que sólo se llame al final de la ejecución de todos los test, se debe llamar "</w:t>
      </w:r>
      <w:proofErr w:type="spellStart"/>
      <w:r w:rsidRPr="00700BF6">
        <w:rPr>
          <w:rFonts w:ascii="Times New Roman" w:hAnsi="Times New Roman" w:cs="Times New Roman"/>
          <w:sz w:val="24"/>
          <w:szCs w:val="24"/>
          <w:lang w:val="es-ES"/>
        </w:rPr>
        <w:t>tearDownClass</w:t>
      </w:r>
      <w:proofErr w:type="spellEnd"/>
      <w:r w:rsidRPr="00700BF6">
        <w:rPr>
          <w:rFonts w:ascii="Times New Roman" w:hAnsi="Times New Roman" w:cs="Times New Roman"/>
          <w:sz w:val="24"/>
          <w:szCs w:val="24"/>
          <w:lang w:val="es-ES"/>
        </w:rPr>
        <w:t>"</w:t>
      </w:r>
    </w:p>
    <w:p w14:paraId="38512AF9" w14:textId="1CEA5F7C" w:rsidR="00700BF6" w:rsidRPr="00700BF6" w:rsidRDefault="00700BF6" w:rsidP="00700BF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>Métodos Test:</w:t>
      </w:r>
      <w:r w:rsidRPr="00700BF6">
        <w:rPr>
          <w:rFonts w:ascii="Times New Roman" w:hAnsi="Times New Roman" w:cs="Times New Roman"/>
          <w:sz w:val="24"/>
          <w:szCs w:val="24"/>
          <w:lang w:val="es-ES"/>
        </w:rPr>
        <w:t xml:space="preserve"> Contienen las pruebas concretas que vamos a realizar.</w:t>
      </w:r>
    </w:p>
    <w:p w14:paraId="6BB27D1B" w14:textId="5150CBC2" w:rsidR="00700BF6" w:rsidRDefault="00700BF6" w:rsidP="00700BF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00BF6">
        <w:rPr>
          <w:rFonts w:ascii="Times New Roman" w:hAnsi="Times New Roman" w:cs="Times New Roman"/>
          <w:b/>
          <w:bCs/>
          <w:sz w:val="24"/>
          <w:szCs w:val="24"/>
          <w:lang w:val="es-ES"/>
        </w:rPr>
        <w:t>Métodos auxiliares.</w:t>
      </w:r>
    </w:p>
    <w:p w14:paraId="23A5B91B" w14:textId="4631AF93" w:rsidR="002C4573" w:rsidRDefault="002C4573" w:rsidP="002C45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2983E6" w14:textId="21A605C0" w:rsidR="002C4573" w:rsidRDefault="002C4573" w:rsidP="002C45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Anotaciones</w:t>
      </w:r>
    </w:p>
    <w:p w14:paraId="793768CB" w14:textId="5DBC2FFA" w:rsidR="002C4573" w:rsidRDefault="002C4573" w:rsidP="002C45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267778" w14:textId="77777777" w:rsidR="002C4573" w:rsidRPr="002C4573" w:rsidRDefault="002C4573" w:rsidP="002C45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573">
        <w:rPr>
          <w:rFonts w:ascii="Times New Roman" w:hAnsi="Times New Roman" w:cs="Times New Roman"/>
          <w:b/>
          <w:bCs/>
          <w:sz w:val="24"/>
          <w:szCs w:val="24"/>
        </w:rPr>
        <w:t>@RunWith:</w:t>
      </w:r>
      <w:r w:rsidRPr="002C4573">
        <w:rPr>
          <w:rFonts w:ascii="Times New Roman" w:hAnsi="Times New Roman" w:cs="Times New Roman"/>
          <w:sz w:val="24"/>
          <w:szCs w:val="24"/>
        </w:rPr>
        <w:t xml:space="preserve"> Se le asigna una clase a la que 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2C4573">
        <w:rPr>
          <w:rFonts w:ascii="Times New Roman" w:hAnsi="Times New Roman" w:cs="Times New Roman"/>
          <w:sz w:val="24"/>
          <w:szCs w:val="24"/>
        </w:rPr>
        <w:t xml:space="preserve"> invocará en lugar del ejecutor por defecto de 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JUnit</w:t>
      </w:r>
      <w:proofErr w:type="spellEnd"/>
    </w:p>
    <w:p w14:paraId="5DC1E08D" w14:textId="77777777" w:rsidR="002C4573" w:rsidRPr="002C4573" w:rsidRDefault="002C4573" w:rsidP="002C45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573">
        <w:rPr>
          <w:rFonts w:ascii="Times New Roman" w:hAnsi="Times New Roman" w:cs="Times New Roman"/>
          <w:b/>
          <w:bCs/>
          <w:sz w:val="24"/>
          <w:szCs w:val="24"/>
        </w:rPr>
        <w:t xml:space="preserve">@Before: </w:t>
      </w:r>
      <w:r w:rsidRPr="002C4573">
        <w:rPr>
          <w:rFonts w:ascii="Times New Roman" w:hAnsi="Times New Roman" w:cs="Times New Roman"/>
          <w:sz w:val="24"/>
          <w:szCs w:val="24"/>
        </w:rPr>
        <w:t xml:space="preserve">Indicamos que el siguiente método se debe ejecutar antes de cada test (precede al método 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2C4573">
        <w:rPr>
          <w:rFonts w:ascii="Times New Roman" w:hAnsi="Times New Roman" w:cs="Times New Roman"/>
          <w:sz w:val="24"/>
          <w:szCs w:val="24"/>
        </w:rPr>
        <w:t xml:space="preserve">). Si tiene que preceder al método 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setUpClass</w:t>
      </w:r>
      <w:proofErr w:type="spellEnd"/>
      <w:r w:rsidRPr="002C4573">
        <w:rPr>
          <w:rFonts w:ascii="Times New Roman" w:hAnsi="Times New Roman" w:cs="Times New Roman"/>
          <w:sz w:val="24"/>
          <w:szCs w:val="24"/>
        </w:rPr>
        <w:t>, la notación será "@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BeforeClass</w:t>
      </w:r>
      <w:proofErr w:type="spellEnd"/>
      <w:r w:rsidRPr="002C4573">
        <w:rPr>
          <w:rFonts w:ascii="Times New Roman" w:hAnsi="Times New Roman" w:cs="Times New Roman"/>
          <w:sz w:val="24"/>
          <w:szCs w:val="24"/>
        </w:rPr>
        <w:t>"</w:t>
      </w:r>
    </w:p>
    <w:p w14:paraId="71D076A2" w14:textId="77777777" w:rsidR="002C4573" w:rsidRPr="002C4573" w:rsidRDefault="002C4573" w:rsidP="002C45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573">
        <w:rPr>
          <w:rFonts w:ascii="Times New Roman" w:hAnsi="Times New Roman" w:cs="Times New Roman"/>
          <w:b/>
          <w:bCs/>
          <w:sz w:val="24"/>
          <w:szCs w:val="24"/>
        </w:rPr>
        <w:t>@After:</w:t>
      </w:r>
      <w:r w:rsidRPr="002C4573">
        <w:rPr>
          <w:rFonts w:ascii="Times New Roman" w:hAnsi="Times New Roman" w:cs="Times New Roman"/>
          <w:sz w:val="24"/>
          <w:szCs w:val="24"/>
        </w:rPr>
        <w:t xml:space="preserve"> Indicamos que el siguiente método se debe ejecutar después de cada test (precede al método 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2C4573">
        <w:rPr>
          <w:rFonts w:ascii="Times New Roman" w:hAnsi="Times New Roman" w:cs="Times New Roman"/>
          <w:sz w:val="24"/>
          <w:szCs w:val="24"/>
        </w:rPr>
        <w:t xml:space="preserve">). Si tiene que preceder al método 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tearDownClass</w:t>
      </w:r>
      <w:proofErr w:type="spellEnd"/>
      <w:r w:rsidRPr="002C4573">
        <w:rPr>
          <w:rFonts w:ascii="Times New Roman" w:hAnsi="Times New Roman" w:cs="Times New Roman"/>
          <w:sz w:val="24"/>
          <w:szCs w:val="24"/>
        </w:rPr>
        <w:t>, la notación será "@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AfterClass</w:t>
      </w:r>
      <w:proofErr w:type="spellEnd"/>
      <w:r w:rsidRPr="002C4573">
        <w:rPr>
          <w:rFonts w:ascii="Times New Roman" w:hAnsi="Times New Roman" w:cs="Times New Roman"/>
          <w:sz w:val="24"/>
          <w:szCs w:val="24"/>
        </w:rPr>
        <w:t>"</w:t>
      </w:r>
    </w:p>
    <w:p w14:paraId="178969F5" w14:textId="656416E4" w:rsidR="002C4573" w:rsidRPr="002C4573" w:rsidRDefault="002C4573" w:rsidP="002C457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573">
        <w:rPr>
          <w:rFonts w:ascii="Times New Roman" w:hAnsi="Times New Roman" w:cs="Times New Roman"/>
          <w:b/>
          <w:bCs/>
          <w:sz w:val="24"/>
          <w:szCs w:val="24"/>
        </w:rPr>
        <w:t>@Test:</w:t>
      </w:r>
      <w:r w:rsidRPr="002C4573">
        <w:rPr>
          <w:rFonts w:ascii="Times New Roman" w:hAnsi="Times New Roman" w:cs="Times New Roman"/>
          <w:sz w:val="24"/>
          <w:szCs w:val="24"/>
        </w:rPr>
        <w:t xml:space="preserve"> Indicamos a Junit que se trata de un método de Test. En versiones anteriores de </w:t>
      </w:r>
      <w:proofErr w:type="spellStart"/>
      <w:r w:rsidRPr="002C4573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2C4573">
        <w:rPr>
          <w:rFonts w:ascii="Times New Roman" w:hAnsi="Times New Roman" w:cs="Times New Roman"/>
          <w:sz w:val="24"/>
          <w:szCs w:val="24"/>
        </w:rPr>
        <w:t xml:space="preserve"> los métodos tenían que tener un nombre con la siguiente estructura: "Test". Con esta notación colocada delante de los métodos podemos elegir el nombre libremente.</w:t>
      </w:r>
    </w:p>
    <w:p w14:paraId="0A529CEC" w14:textId="061D6A6B" w:rsidR="00700BF6" w:rsidRDefault="002C4573" w:rsidP="00700B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Funciones</w:t>
      </w:r>
    </w:p>
    <w:p w14:paraId="318832BC" w14:textId="510F220C" w:rsidR="002C4573" w:rsidRDefault="002C4573" w:rsidP="00700B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1007D3" w14:textId="77777777" w:rsidR="002C4573" w:rsidRPr="002C4573" w:rsidRDefault="002C4573" w:rsidP="002C457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C4573">
        <w:rPr>
          <w:rFonts w:ascii="Times New Roman" w:hAnsi="Times New Roman" w:cs="Times New Roman"/>
          <w:b/>
          <w:bCs/>
          <w:sz w:val="24"/>
          <w:szCs w:val="24"/>
          <w:lang w:val="es-ES"/>
        </w:rPr>
        <w:t>sertArrayEquals</w:t>
      </w:r>
      <w:proofErr w:type="spellEnd"/>
      <w:r w:rsidRPr="002C4573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2C4573">
        <w:rPr>
          <w:rFonts w:ascii="Times New Roman" w:hAnsi="Times New Roman" w:cs="Times New Roman"/>
          <w:sz w:val="24"/>
          <w:szCs w:val="24"/>
          <w:lang w:val="es-ES"/>
        </w:rPr>
        <w:t xml:space="preserve">Recibe como parámetro dos </w:t>
      </w:r>
      <w:proofErr w:type="spellStart"/>
      <w:r w:rsidRPr="002C4573">
        <w:rPr>
          <w:rFonts w:ascii="Times New Roman" w:hAnsi="Times New Roman" w:cs="Times New Roman"/>
          <w:sz w:val="24"/>
          <w:szCs w:val="24"/>
          <w:lang w:val="es-ES"/>
        </w:rPr>
        <w:t>arrays</w:t>
      </w:r>
      <w:proofErr w:type="spellEnd"/>
      <w:r w:rsidRPr="002C4573">
        <w:rPr>
          <w:rFonts w:ascii="Times New Roman" w:hAnsi="Times New Roman" w:cs="Times New Roman"/>
          <w:sz w:val="24"/>
          <w:szCs w:val="24"/>
          <w:lang w:val="es-ES"/>
        </w:rPr>
        <w:t xml:space="preserve"> y comprueba si son iguales. Devuelve </w:t>
      </w:r>
      <w:proofErr w:type="spellStart"/>
      <w:r w:rsidRPr="002C4573">
        <w:rPr>
          <w:rFonts w:ascii="Times New Roman" w:hAnsi="Times New Roman" w:cs="Times New Roman"/>
          <w:sz w:val="24"/>
          <w:szCs w:val="24"/>
          <w:lang w:val="es-ES"/>
        </w:rPr>
        <w:t>assertionError</w:t>
      </w:r>
      <w:proofErr w:type="spellEnd"/>
      <w:r w:rsidRPr="002C4573">
        <w:rPr>
          <w:rFonts w:ascii="Times New Roman" w:hAnsi="Times New Roman" w:cs="Times New Roman"/>
          <w:sz w:val="24"/>
          <w:szCs w:val="24"/>
          <w:lang w:val="es-ES"/>
        </w:rPr>
        <w:t xml:space="preserve"> si no se produce el resultado esperado</w:t>
      </w:r>
    </w:p>
    <w:p w14:paraId="1C0901EC" w14:textId="77777777" w:rsidR="002C4573" w:rsidRPr="002C4573" w:rsidRDefault="002C4573" w:rsidP="002C457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C4573">
        <w:rPr>
          <w:rFonts w:ascii="Times New Roman" w:hAnsi="Times New Roman" w:cs="Times New Roman"/>
          <w:b/>
          <w:bCs/>
          <w:sz w:val="24"/>
          <w:szCs w:val="24"/>
          <w:lang w:val="es-ES"/>
        </w:rPr>
        <w:t>sertEquals</w:t>
      </w:r>
      <w:proofErr w:type="spellEnd"/>
      <w:r w:rsidRPr="002C4573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C4573">
        <w:rPr>
          <w:rFonts w:ascii="Times New Roman" w:hAnsi="Times New Roman" w:cs="Times New Roman"/>
          <w:sz w:val="24"/>
          <w:szCs w:val="24"/>
          <w:lang w:val="es-ES"/>
        </w:rPr>
        <w:t xml:space="preserve"> Realiza la comprobación entre dos valores de tipo numérico. Devuelve </w:t>
      </w:r>
      <w:proofErr w:type="spellStart"/>
      <w:r w:rsidRPr="002C4573">
        <w:rPr>
          <w:rFonts w:ascii="Times New Roman" w:hAnsi="Times New Roman" w:cs="Times New Roman"/>
          <w:sz w:val="24"/>
          <w:szCs w:val="24"/>
          <w:lang w:val="es-ES"/>
        </w:rPr>
        <w:t>assertionError</w:t>
      </w:r>
      <w:proofErr w:type="spellEnd"/>
      <w:r w:rsidRPr="002C4573">
        <w:rPr>
          <w:rFonts w:ascii="Times New Roman" w:hAnsi="Times New Roman" w:cs="Times New Roman"/>
          <w:sz w:val="24"/>
          <w:szCs w:val="24"/>
          <w:lang w:val="es-ES"/>
        </w:rPr>
        <w:t xml:space="preserve"> si no se produce el resultado esperado</w:t>
      </w:r>
    </w:p>
    <w:p w14:paraId="209B6D2A" w14:textId="77777777" w:rsidR="002C4573" w:rsidRPr="002C4573" w:rsidRDefault="002C4573" w:rsidP="002C457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C4573">
        <w:rPr>
          <w:rFonts w:ascii="Times New Roman" w:hAnsi="Times New Roman" w:cs="Times New Roman"/>
          <w:b/>
          <w:bCs/>
          <w:sz w:val="24"/>
          <w:szCs w:val="24"/>
          <w:lang w:val="es-ES"/>
        </w:rPr>
        <w:t>sertTrue</w:t>
      </w:r>
      <w:proofErr w:type="spellEnd"/>
      <w:r w:rsidRPr="002C4573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C4573">
        <w:rPr>
          <w:rFonts w:ascii="Times New Roman" w:hAnsi="Times New Roman" w:cs="Times New Roman"/>
          <w:sz w:val="24"/>
          <w:szCs w:val="24"/>
          <w:lang w:val="es-ES"/>
        </w:rPr>
        <w:t xml:space="preserve"> Comprueba si una condición se cumple. Devuelve </w:t>
      </w:r>
      <w:proofErr w:type="spellStart"/>
      <w:r w:rsidRPr="002C4573">
        <w:rPr>
          <w:rFonts w:ascii="Times New Roman" w:hAnsi="Times New Roman" w:cs="Times New Roman"/>
          <w:sz w:val="24"/>
          <w:szCs w:val="24"/>
          <w:lang w:val="es-ES"/>
        </w:rPr>
        <w:t>assertionError</w:t>
      </w:r>
      <w:proofErr w:type="spellEnd"/>
      <w:r w:rsidRPr="002C4573">
        <w:rPr>
          <w:rFonts w:ascii="Times New Roman" w:hAnsi="Times New Roman" w:cs="Times New Roman"/>
          <w:sz w:val="24"/>
          <w:szCs w:val="24"/>
          <w:lang w:val="es-ES"/>
        </w:rPr>
        <w:t xml:space="preserve"> si no se produce el resultado esperado</w:t>
      </w:r>
    </w:p>
    <w:p w14:paraId="7B99C7FB" w14:textId="2BF9D002" w:rsidR="00691CE3" w:rsidRDefault="002C4573" w:rsidP="002C457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C4573">
        <w:rPr>
          <w:rFonts w:ascii="Times New Roman" w:hAnsi="Times New Roman" w:cs="Times New Roman"/>
          <w:b/>
          <w:bCs/>
          <w:sz w:val="24"/>
          <w:szCs w:val="24"/>
          <w:lang w:val="es-ES"/>
        </w:rPr>
        <w:t>il</w:t>
      </w:r>
      <w:proofErr w:type="spellEnd"/>
      <w:r w:rsidRPr="002C4573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2C4573">
        <w:rPr>
          <w:rFonts w:ascii="Times New Roman" w:hAnsi="Times New Roman" w:cs="Times New Roman"/>
          <w:sz w:val="24"/>
          <w:szCs w:val="24"/>
          <w:lang w:val="es-ES"/>
        </w:rPr>
        <w:t>devuelve una alerta informando del fallo en el test</w:t>
      </w:r>
      <w:r w:rsidR="008C619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AB1088B" w14:textId="14A16F4D" w:rsidR="00691CE3" w:rsidRDefault="00691CE3" w:rsidP="002C457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37964C" w14:textId="42337824" w:rsidR="00691CE3" w:rsidRDefault="00691CE3" w:rsidP="00691C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00BF6">
        <w:rPr>
          <w:rFonts w:ascii="Times New Roman" w:hAnsi="Times New Roman" w:cs="Times New Roman"/>
          <w:b/>
          <w:bCs/>
          <w:sz w:val="28"/>
          <w:szCs w:val="28"/>
          <w:lang w:val="es-ES"/>
        </w:rPr>
        <w:t>¿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Qué es una prueba unitaria</w:t>
      </w:r>
      <w:r w:rsidRPr="00700BF6">
        <w:rPr>
          <w:rFonts w:ascii="Times New Roman" w:hAnsi="Times New Roman" w:cs="Times New Roman"/>
          <w:b/>
          <w:bCs/>
          <w:sz w:val="28"/>
          <w:szCs w:val="28"/>
          <w:lang w:val="es-ES"/>
        </w:rPr>
        <w:t>?</w:t>
      </w:r>
    </w:p>
    <w:p w14:paraId="5B7F0899" w14:textId="77777777" w:rsidR="005B3779" w:rsidRDefault="005B3779" w:rsidP="005B377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81B410E" w14:textId="125B4412" w:rsidR="005B3779" w:rsidRDefault="005B3779" w:rsidP="005B377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una forma de comprobar la correcta funcionalidad de un fragmento de código. Consiste en aislar una parte de este, y validar el comportamiento como la lógica. Forman parte de una metodología ágil del trabajo y pueden ser realizadas en pocos segundos, mientras que encontrar este error a prueba y error podría llegar a ser una pérdida de recursos. </w:t>
      </w:r>
    </w:p>
    <w:p w14:paraId="03BFDE1A" w14:textId="2A519DB0" w:rsidR="008C619A" w:rsidRDefault="005B3779" w:rsidP="005B3779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5DD30D7" w14:textId="118DB0AF" w:rsidR="008C619A" w:rsidRDefault="008C619A" w:rsidP="008C61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00BF6">
        <w:rPr>
          <w:rFonts w:ascii="Times New Roman" w:hAnsi="Times New Roman" w:cs="Times New Roman"/>
          <w:b/>
          <w:bCs/>
          <w:sz w:val="28"/>
          <w:szCs w:val="28"/>
          <w:lang w:val="es-ES"/>
        </w:rPr>
        <w:t>¿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Por qué son necesarias / obligatorias</w:t>
      </w:r>
      <w:r w:rsidRPr="00700BF6">
        <w:rPr>
          <w:rFonts w:ascii="Times New Roman" w:hAnsi="Times New Roman" w:cs="Times New Roman"/>
          <w:b/>
          <w:bCs/>
          <w:sz w:val="28"/>
          <w:szCs w:val="28"/>
          <w:lang w:val="es-ES"/>
        </w:rPr>
        <w:t>?</w:t>
      </w:r>
    </w:p>
    <w:p w14:paraId="61A8ACFB" w14:textId="1F011352" w:rsidR="008C619A" w:rsidRDefault="008C619A" w:rsidP="008C61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74EE71E" w14:textId="2D26995E" w:rsidR="008C619A" w:rsidRPr="008C619A" w:rsidRDefault="008C619A" w:rsidP="008C619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619A">
        <w:rPr>
          <w:rFonts w:ascii="Times New Roman" w:hAnsi="Times New Roman" w:cs="Times New Roman"/>
          <w:sz w:val="24"/>
          <w:szCs w:val="24"/>
          <w:lang w:val="es-ES"/>
        </w:rPr>
        <w:t>Nos permiten comprobar que el fragmento de código funciona de forma correcta</w:t>
      </w:r>
      <w:r>
        <w:rPr>
          <w:rFonts w:ascii="Times New Roman" w:hAnsi="Times New Roman" w:cs="Times New Roman"/>
          <w:sz w:val="24"/>
          <w:szCs w:val="24"/>
          <w:lang w:val="es-ES"/>
        </w:rPr>
        <w:t>, mejorar la calidad del proyecto, comprobar la lógica y aumentar la legibilidad del código. Además, nos permiten encontrar errores que al no utilizarlas no podrían ser detectados hasta una fase más avanzada del proyecto, ahorrándonos tiempo y dinero.</w:t>
      </w:r>
    </w:p>
    <w:p w14:paraId="41ABDA98" w14:textId="3CD683B7" w:rsidR="002C4573" w:rsidRDefault="002C4573" w:rsidP="00700B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10DD43" w14:textId="737DF66B" w:rsidR="008C619A" w:rsidRDefault="008C619A" w:rsidP="008C619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C619A">
        <w:rPr>
          <w:rFonts w:ascii="Times New Roman" w:hAnsi="Times New Roman" w:cs="Times New Roman"/>
          <w:b/>
          <w:bCs/>
          <w:sz w:val="28"/>
          <w:szCs w:val="28"/>
          <w:lang w:val="es-ES"/>
        </w:rPr>
        <w:t>¿</w:t>
      </w:r>
      <w:r w:rsidRPr="008C619A">
        <w:rPr>
          <w:rFonts w:ascii="Times New Roman" w:hAnsi="Times New Roman" w:cs="Times New Roman"/>
          <w:b/>
          <w:bCs/>
          <w:sz w:val="28"/>
          <w:szCs w:val="28"/>
          <w:lang w:val="es-ES"/>
        </w:rPr>
        <w:t>Cuál</w:t>
      </w:r>
      <w:r w:rsidRPr="008C619A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es la </w:t>
      </w:r>
      <w:r w:rsidRPr="008C619A">
        <w:rPr>
          <w:rFonts w:ascii="Times New Roman" w:hAnsi="Times New Roman" w:cs="Times New Roman"/>
          <w:b/>
          <w:bCs/>
          <w:sz w:val="28"/>
          <w:szCs w:val="28"/>
          <w:lang w:val="es-ES"/>
        </w:rPr>
        <w:t>librería</w:t>
      </w:r>
      <w:r w:rsidRPr="008C619A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que se usa en Java para pruebas unitarias?</w:t>
      </w:r>
    </w:p>
    <w:p w14:paraId="42636653" w14:textId="524F12F9" w:rsidR="008C619A" w:rsidRDefault="008C619A" w:rsidP="008C6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C619A">
        <w:rPr>
          <w:rFonts w:ascii="Times New Roman" w:hAnsi="Times New Roman" w:cs="Times New Roman"/>
          <w:sz w:val="24"/>
          <w:szCs w:val="24"/>
          <w:lang w:val="es-ES"/>
        </w:rPr>
        <w:t>Junit: Se trata de un conjunto de bibliotecas que sirven para hacer pruebas unitarias de aplicaciones Java.</w:t>
      </w:r>
    </w:p>
    <w:p w14:paraId="3E97A948" w14:textId="5B460C4A" w:rsidR="005B3779" w:rsidRDefault="005B3779" w:rsidP="008C6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526A9F" w14:textId="59D11347" w:rsidR="005B3779" w:rsidRDefault="005B3779" w:rsidP="008C6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DD6981" w14:textId="77777777" w:rsidR="005B3779" w:rsidRPr="008C619A" w:rsidRDefault="005B3779" w:rsidP="008C6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FD7C28" w14:textId="77777777" w:rsidR="008C619A" w:rsidRPr="008C619A" w:rsidRDefault="008C619A" w:rsidP="008C619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C619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Configurar esa librería en el IDE que usted use habitualmente (</w:t>
      </w:r>
      <w:proofErr w:type="spellStart"/>
      <w:r w:rsidRPr="008C619A">
        <w:rPr>
          <w:rFonts w:ascii="Times New Roman" w:hAnsi="Times New Roman" w:cs="Times New Roman"/>
          <w:b/>
          <w:bCs/>
          <w:sz w:val="24"/>
          <w:szCs w:val="24"/>
          <w:lang w:val="es-ES"/>
        </w:rPr>
        <w:t>Netbeans</w:t>
      </w:r>
      <w:proofErr w:type="spellEnd"/>
      <w:r w:rsidRPr="008C619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, eclipse, etc.) Tomar un </w:t>
      </w:r>
      <w:proofErr w:type="spellStart"/>
      <w:r w:rsidRPr="008C619A">
        <w:rPr>
          <w:rFonts w:ascii="Times New Roman" w:hAnsi="Times New Roman" w:cs="Times New Roman"/>
          <w:b/>
          <w:bCs/>
          <w:sz w:val="24"/>
          <w:szCs w:val="24"/>
          <w:lang w:val="es-ES"/>
        </w:rPr>
        <w:t>screeshot</w:t>
      </w:r>
      <w:proofErr w:type="spellEnd"/>
      <w:r w:rsidRPr="008C619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donde se vea que </w:t>
      </w:r>
      <w:proofErr w:type="spellStart"/>
      <w:r w:rsidRPr="008C619A">
        <w:rPr>
          <w:rFonts w:ascii="Times New Roman" w:hAnsi="Times New Roman" w:cs="Times New Roman"/>
          <w:b/>
          <w:bCs/>
          <w:sz w:val="24"/>
          <w:szCs w:val="24"/>
          <w:lang w:val="es-ES"/>
        </w:rPr>
        <w:t>esta</w:t>
      </w:r>
      <w:proofErr w:type="spellEnd"/>
      <w:r w:rsidRPr="008C619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configurado.</w:t>
      </w:r>
    </w:p>
    <w:p w14:paraId="792A766F" w14:textId="668458EA" w:rsidR="008C619A" w:rsidRDefault="00FD34AE" w:rsidP="00700B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D34AE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7E53F906" wp14:editId="293E89CF">
            <wp:extent cx="5612130" cy="3216910"/>
            <wp:effectExtent l="0" t="0" r="7620" b="254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972F" w14:textId="77777777" w:rsidR="0051213C" w:rsidRDefault="0051213C" w:rsidP="0051213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41CC05" w14:textId="2CFE1552" w:rsidR="0051213C" w:rsidRDefault="0051213C" w:rsidP="0051213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1213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Haga un pequeño programa que tenga un método para sumar dos </w:t>
      </w:r>
      <w:proofErr w:type="spellStart"/>
      <w:r w:rsidRPr="0051213C">
        <w:rPr>
          <w:rFonts w:ascii="Times New Roman" w:hAnsi="Times New Roman" w:cs="Times New Roman"/>
          <w:b/>
          <w:bCs/>
          <w:sz w:val="24"/>
          <w:szCs w:val="24"/>
          <w:lang w:val="es-ES"/>
        </w:rPr>
        <w:t>numeros</w:t>
      </w:r>
      <w:proofErr w:type="spellEnd"/>
      <w:r w:rsidRPr="0051213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 Luego haga la prueba unitaria para ese método. Tomar un </w:t>
      </w:r>
      <w:proofErr w:type="spellStart"/>
      <w:r w:rsidRPr="0051213C">
        <w:rPr>
          <w:rFonts w:ascii="Times New Roman" w:hAnsi="Times New Roman" w:cs="Times New Roman"/>
          <w:b/>
          <w:bCs/>
          <w:sz w:val="24"/>
          <w:szCs w:val="24"/>
          <w:lang w:val="es-ES"/>
        </w:rPr>
        <w:t>screenshot</w:t>
      </w:r>
      <w:proofErr w:type="spellEnd"/>
      <w:r w:rsidRPr="0051213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esa prueba unitaria.</w:t>
      </w:r>
    </w:p>
    <w:p w14:paraId="2A84BBB7" w14:textId="6938E511" w:rsidR="00FD34AE" w:rsidRDefault="00FD34AE" w:rsidP="0051213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6B8A70D" wp14:editId="6F7C67E9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6B49" w14:textId="77777777" w:rsidR="00691CE3" w:rsidRPr="00FD34AE" w:rsidRDefault="00691CE3" w:rsidP="00FD34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34AE">
        <w:rPr>
          <w:rFonts w:ascii="Times New Roman" w:hAnsi="Times New Roman" w:cs="Times New Roman"/>
          <w:b/>
          <w:bCs/>
          <w:sz w:val="28"/>
          <w:szCs w:val="28"/>
        </w:rPr>
        <w:lastRenderedPageBreak/>
        <w:t>Bibliografía</w:t>
      </w:r>
    </w:p>
    <w:p w14:paraId="3FE415FD" w14:textId="77777777" w:rsidR="00FD34AE" w:rsidRDefault="00FD34AE" w:rsidP="00691CE3">
      <w:pPr>
        <w:jc w:val="both"/>
      </w:pPr>
    </w:p>
    <w:p w14:paraId="25AFA670" w14:textId="7107A6D2" w:rsidR="00691CE3" w:rsidRDefault="00FD34AE" w:rsidP="00691CE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7" w:history="1">
        <w:r w:rsidRPr="00966773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https://www.juntadeandalucia.es/servicios/madeja/con</w:t>
        </w:r>
        <w:r w:rsidRPr="00966773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t</w:t>
        </w:r>
        <w:r w:rsidRPr="00966773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enido/recurso/248</w:t>
        </w:r>
      </w:hyperlink>
    </w:p>
    <w:p w14:paraId="4D97CCDC" w14:textId="77777777" w:rsidR="00FD34AE" w:rsidRDefault="00FD34AE" w:rsidP="00691CE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6A7E6E" w14:textId="26DB6891" w:rsidR="00FD34AE" w:rsidRDefault="00FD34AE" w:rsidP="00691CE3">
      <w:pPr>
        <w:jc w:val="both"/>
        <w:rPr>
          <w:rStyle w:val="Hipervnculo"/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8" w:history="1">
        <w:r w:rsidRPr="00966773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https://www.discoduroderoer.es/anadir-junit-a-eclipse/</w:t>
        </w:r>
      </w:hyperlink>
    </w:p>
    <w:p w14:paraId="3C1FEF6F" w14:textId="77777777" w:rsidR="00FD34AE" w:rsidRDefault="00FD34AE" w:rsidP="00691CE3">
      <w:pPr>
        <w:jc w:val="both"/>
        <w:rPr>
          <w:rStyle w:val="Hipervnculo"/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BAEFC1" w14:textId="539AF674" w:rsidR="00FD34AE" w:rsidRDefault="00FD34AE" w:rsidP="00691CE3">
      <w:pPr>
        <w:jc w:val="both"/>
      </w:pPr>
      <w:hyperlink r:id="rId9" w:history="1">
        <w:r w:rsidRPr="00966773">
          <w:rPr>
            <w:rStyle w:val="Hipervnculo"/>
          </w:rPr>
          <w:t>https://www.youtube.com/watch?v=XlkMN_i8j5w</w:t>
        </w:r>
      </w:hyperlink>
    </w:p>
    <w:p w14:paraId="7AED9482" w14:textId="07672D4D" w:rsidR="00FD34AE" w:rsidRDefault="00FD34AE" w:rsidP="00691CE3">
      <w:pPr>
        <w:jc w:val="both"/>
      </w:pPr>
    </w:p>
    <w:p w14:paraId="1C419002" w14:textId="33DDBD0B" w:rsidR="00FD34AE" w:rsidRDefault="00FD34AE" w:rsidP="00691CE3">
      <w:pPr>
        <w:jc w:val="both"/>
      </w:pPr>
      <w:hyperlink r:id="rId10" w:history="1">
        <w:r w:rsidRPr="00966773">
          <w:rPr>
            <w:rStyle w:val="Hipervnculo"/>
          </w:rPr>
          <w:t>https://spa.myservername.com/aqui-esta-la-lista-completa-de-juegos-para-sega-genesis-mini-2</w:t>
        </w:r>
      </w:hyperlink>
    </w:p>
    <w:p w14:paraId="53603784" w14:textId="77777777" w:rsidR="00FD34AE" w:rsidRDefault="00FD34AE" w:rsidP="00691CE3">
      <w:pPr>
        <w:jc w:val="both"/>
      </w:pPr>
    </w:p>
    <w:p w14:paraId="495B52E9" w14:textId="77777777" w:rsidR="00FD34AE" w:rsidRDefault="00FD34AE" w:rsidP="00691CE3">
      <w:pPr>
        <w:jc w:val="both"/>
      </w:pPr>
    </w:p>
    <w:p w14:paraId="648F8169" w14:textId="77777777" w:rsidR="00FD34AE" w:rsidRDefault="00FD34AE" w:rsidP="00691CE3">
      <w:pPr>
        <w:jc w:val="both"/>
      </w:pPr>
    </w:p>
    <w:p w14:paraId="0BEA7D73" w14:textId="77777777" w:rsidR="00691CE3" w:rsidRPr="00691CE3" w:rsidRDefault="00691CE3" w:rsidP="00700BF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1CE3" w:rsidRPr="00691CE3" w:rsidSect="00700BF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BCA"/>
    <w:multiLevelType w:val="multilevel"/>
    <w:tmpl w:val="DFC4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B5F41"/>
    <w:multiLevelType w:val="multilevel"/>
    <w:tmpl w:val="3836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A5760"/>
    <w:multiLevelType w:val="multilevel"/>
    <w:tmpl w:val="6A20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00119"/>
    <w:multiLevelType w:val="hybridMultilevel"/>
    <w:tmpl w:val="7E865AE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C5EB0"/>
    <w:multiLevelType w:val="hybridMultilevel"/>
    <w:tmpl w:val="BB22B6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42D39"/>
    <w:multiLevelType w:val="multilevel"/>
    <w:tmpl w:val="37E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622464">
    <w:abstractNumId w:val="5"/>
  </w:num>
  <w:num w:numId="2" w16cid:durableId="1098525987">
    <w:abstractNumId w:val="3"/>
  </w:num>
  <w:num w:numId="3" w16cid:durableId="495848310">
    <w:abstractNumId w:val="4"/>
  </w:num>
  <w:num w:numId="4" w16cid:durableId="1545560996">
    <w:abstractNumId w:val="0"/>
  </w:num>
  <w:num w:numId="5" w16cid:durableId="1963344838">
    <w:abstractNumId w:val="1"/>
  </w:num>
  <w:num w:numId="6" w16cid:durableId="965086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F6"/>
    <w:rsid w:val="000F308F"/>
    <w:rsid w:val="002C4573"/>
    <w:rsid w:val="0051213C"/>
    <w:rsid w:val="005B3779"/>
    <w:rsid w:val="00691CE3"/>
    <w:rsid w:val="00700BF6"/>
    <w:rsid w:val="008C619A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F9E4"/>
  <w15:chartTrackingRefBased/>
  <w15:docId w15:val="{D25C80EC-D6DD-4199-8F06-F31D275C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B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45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5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1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coduroderoer.es/anadir-junit-a-eclip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ntadeandalucia.es/servicios/madeja/contenido/recurso/2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pa.myservername.com/aqui-esta-la-lista-completa-de-juegos-para-sega-genesis-mini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lkMN_i8j5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VILLELA, MICHELLE ANGEL DE MARIA</dc:creator>
  <cp:keywords/>
  <dc:description/>
  <cp:lastModifiedBy>MEJIA VILLELA, MICHELLE ANGEL DE MARIA</cp:lastModifiedBy>
  <cp:revision>3</cp:revision>
  <dcterms:created xsi:type="dcterms:W3CDTF">2023-01-11T22:58:00Z</dcterms:created>
  <dcterms:modified xsi:type="dcterms:W3CDTF">2023-01-17T05:43:00Z</dcterms:modified>
</cp:coreProperties>
</file>