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Could cookbooks be the latest victim of millennials, and increasingly, Gen-Z</w:t>
      </w:r>
      <w:r>
        <w:rPr>
          <w:rtl w:val="0"/>
        </w:rPr>
        <w:t>’</w:t>
      </w:r>
      <w:r>
        <w:rPr>
          <w:rtl w:val="0"/>
        </w:rPr>
        <w:t xml:space="preserve">ers? Publication trends seem to suggest the era of printed recipes is coming to an end.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However, the cookbook has had a surprising run peaking in 2014, well after the emergence of the internet and the rise in popularity of food blogs, particularly over the last decade.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Until this point, the cookbook saw a steady rise over the 20th century, first making an appearance in the late 1800s and seeing a meteoric rise at the onset of post-World War II life.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490896</wp:posOffset>
            </wp:positionH>
            <wp:positionV relativeFrom="line">
              <wp:posOffset>175259</wp:posOffset>
            </wp:positionV>
            <wp:extent cx="4778928" cy="2232524"/>
            <wp:effectExtent l="0" t="0" r="0" b="0"/>
            <wp:wrapThrough wrapText="bothSides" distL="152400" distR="152400">
              <wp:wrapPolygon edited="1">
                <wp:start x="-57" y="-123"/>
                <wp:lineTo x="-57" y="0"/>
                <wp:lineTo x="-57" y="21599"/>
                <wp:lineTo x="-57" y="21722"/>
                <wp:lineTo x="0" y="21722"/>
                <wp:lineTo x="21599" y="21722"/>
                <wp:lineTo x="21657" y="21722"/>
                <wp:lineTo x="21657" y="21599"/>
                <wp:lineTo x="21657" y="0"/>
                <wp:lineTo x="21657" y="-123"/>
                <wp:lineTo x="21599" y="-123"/>
                <wp:lineTo x="0" y="-123"/>
                <wp:lineTo x="-57" y="-123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928" cy="2232524"/>
                    </a:xfrm>
                    <a:prstGeom prst="rect">
                      <a:avLst/>
                    </a:prstGeom>
                    <a:ln w="25400" cap="flat">
                      <a:solidFill>
                        <a:srgbClr val="F3F7F5"/>
                      </a:solidFill>
                      <a:prstDash val="solid"/>
                      <a:miter lim="400000"/>
                    </a:ln>
                    <a:effectLst>
                      <a:outerShdw sx="100000" sy="100000" kx="0" ky="0" algn="b" rotWithShape="0" blurRad="50800" dist="25400" dir="360000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Interestingly, the portmanteau of </w:t>
      </w:r>
      <w:r>
        <w:rPr>
          <w:rtl w:val="0"/>
        </w:rPr>
        <w:t>“</w:t>
      </w:r>
      <w:r>
        <w:rPr>
          <w:rtl w:val="0"/>
        </w:rPr>
        <w:t>cookbook</w:t>
      </w:r>
      <w:r>
        <w:rPr>
          <w:rtl w:val="0"/>
        </w:rPr>
        <w:t xml:space="preserve">” </w:t>
      </w:r>
      <w:r>
        <w:rPr>
          <w:rtl w:val="0"/>
        </w:rPr>
        <w:t>appears to be the invention of the 1920s, muddying the ability to track the ebbs and flow of the genre</w:t>
      </w:r>
      <w:r>
        <w:rPr>
          <w:rtl w:val="0"/>
        </w:rPr>
        <w:t>’</w:t>
      </w:r>
      <w:r>
        <w:rPr>
          <w:rtl w:val="0"/>
        </w:rPr>
        <w:t xml:space="preserve">s popularity. Prior to this time, these books were almost exclusively referred to in two words, as </w:t>
      </w:r>
      <w:r>
        <w:rPr>
          <w:rtl w:val="0"/>
        </w:rPr>
        <w:t>“</w:t>
      </w:r>
      <w:r>
        <w:rPr>
          <w:rtl w:val="0"/>
        </w:rPr>
        <w:t>cook books</w:t>
      </w:r>
      <w:r>
        <w:rPr>
          <w:rtl w:val="0"/>
        </w:rPr>
        <w:t>”</w:t>
      </w:r>
      <w:r>
        <w:rPr>
          <w:rtl w:val="0"/>
        </w:rPr>
        <w:t xml:space="preserve">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The lifeline of the </w:t>
      </w:r>
      <w:r>
        <w:rPr>
          <w:rtl w:val="0"/>
        </w:rPr>
        <w:t>“</w:t>
      </w:r>
      <w:r>
        <w:rPr>
          <w:rtl w:val="0"/>
        </w:rPr>
        <w:t>cook book</w:t>
      </w:r>
      <w:r>
        <w:rPr>
          <w:rtl w:val="0"/>
        </w:rPr>
        <w:t>”</w:t>
      </w:r>
      <w:r>
        <w:rPr>
          <w:rtl w:val="0"/>
        </w:rPr>
        <w:t xml:space="preserve">, despite the predecessor of the term </w:t>
      </w:r>
      <w:r>
        <w:rPr>
          <w:rtl w:val="0"/>
        </w:rPr>
        <w:t>“</w:t>
      </w:r>
      <w:r>
        <w:rPr>
          <w:rtl w:val="0"/>
        </w:rPr>
        <w:t xml:space="preserve">cookbook", shows a much bleaker spark and fade. Its peak occurrence at just under 0.0000200% was reached in the 1940s. By comparison, </w:t>
      </w:r>
      <w:r>
        <w:rPr>
          <w:rtl w:val="0"/>
        </w:rPr>
        <w:t>“</w:t>
      </w:r>
      <w:r>
        <w:rPr>
          <w:rtl w:val="0"/>
        </w:rPr>
        <w:t>cookbook</w:t>
      </w:r>
      <w:r>
        <w:rPr>
          <w:rtl w:val="0"/>
        </w:rPr>
        <w:t xml:space="preserve">” </w:t>
      </w:r>
      <w:r>
        <w:rPr>
          <w:rtl w:val="0"/>
        </w:rPr>
        <w:t xml:space="preserve">reached this point as well in the 1940s, but continued to rise up to 0.0000955% to 2014. 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348656</wp:posOffset>
            </wp:positionH>
            <wp:positionV relativeFrom="line">
              <wp:posOffset>287019</wp:posOffset>
            </wp:positionV>
            <wp:extent cx="4778928" cy="1737398"/>
            <wp:effectExtent l="0" t="0" r="0" b="0"/>
            <wp:wrapThrough wrapText="bothSides" distL="152400" distR="152400">
              <wp:wrapPolygon edited="1">
                <wp:start x="-57" y="-158"/>
                <wp:lineTo x="-57" y="0"/>
                <wp:lineTo x="-57" y="21602"/>
                <wp:lineTo x="-57" y="21759"/>
                <wp:lineTo x="0" y="21759"/>
                <wp:lineTo x="21599" y="21759"/>
                <wp:lineTo x="21657" y="21759"/>
                <wp:lineTo x="21657" y="21602"/>
                <wp:lineTo x="21657" y="0"/>
                <wp:lineTo x="21657" y="-158"/>
                <wp:lineTo x="21599" y="-158"/>
                <wp:lineTo x="0" y="-158"/>
                <wp:lineTo x="-57" y="-158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928" cy="1737398"/>
                    </a:xfrm>
                    <a:prstGeom prst="rect">
                      <a:avLst/>
                    </a:prstGeom>
                    <a:ln w="25400" cap="flat">
                      <a:solidFill>
                        <a:srgbClr val="F3F7F5"/>
                      </a:solidFill>
                      <a:prstDash val="solid"/>
                      <a:miter lim="400000"/>
                    </a:ln>
                    <a:effectLst>
                      <a:outerShdw sx="100000" sy="100000" kx="0" ky="0" algn="b" rotWithShape="0" blurRad="50800" dist="25400" dir="360000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Regardless of terminology, it seems that the publication of cookbooks (and cook books) has passed its prime. With recipes so readily available online and a dire housing market limiting the amount of shelf space one can devote to cookbooks, it seems that the cookbook may soon be a relic of the past. </w: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