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91EB2" w14:textId="2B109C78" w:rsidR="00A877FC" w:rsidRPr="00A877FC" w:rsidRDefault="00A877FC">
      <w:pPr>
        <w:rPr>
          <w:b/>
          <w:bCs/>
        </w:rPr>
      </w:pPr>
      <w:r w:rsidRPr="00A877FC">
        <w:rPr>
          <w:b/>
          <w:bCs/>
        </w:rPr>
        <w:t>0</w:t>
      </w:r>
      <w:r w:rsidRPr="00A877FC">
        <w:rPr>
          <w:b/>
          <w:bCs/>
        </w:rPr>
        <w:tab/>
        <w:t>Data Importation, Merging, and Collating</w:t>
      </w:r>
    </w:p>
    <w:p w14:paraId="004F7C68" w14:textId="77777777" w:rsidR="00A877FC" w:rsidRDefault="00A877FC"/>
    <w:p w14:paraId="586D5A48" w14:textId="624B5D84" w:rsidR="00FA770D" w:rsidRDefault="00A877FC">
      <w:r>
        <w:t>Text in the published paper:</w:t>
      </w:r>
      <w:r>
        <w:br/>
      </w:r>
    </w:p>
    <w:tbl>
      <w:tblPr>
        <w:tblStyle w:val="TableGrid"/>
        <w:tblW w:w="0" w:type="auto"/>
        <w:tblLook w:val="04A0" w:firstRow="1" w:lastRow="0" w:firstColumn="1" w:lastColumn="0" w:noHBand="0" w:noVBand="1"/>
      </w:tblPr>
      <w:tblGrid>
        <w:gridCol w:w="9350"/>
      </w:tblGrid>
      <w:tr w:rsidR="00A877FC" w14:paraId="18A300D5" w14:textId="77777777" w:rsidTr="00A877FC">
        <w:tc>
          <w:tcPr>
            <w:tcW w:w="9350" w:type="dxa"/>
          </w:tcPr>
          <w:p w14:paraId="1C9EF17D" w14:textId="7EF25B19" w:rsidR="00A877FC" w:rsidRPr="00A877FC" w:rsidRDefault="00A877FC" w:rsidP="00A877FC">
            <w:pPr>
              <w:pStyle w:val="NormalWeb"/>
              <w:spacing w:before="0" w:beforeAutospacing="0" w:after="160" w:afterAutospacing="0"/>
              <w:jc w:val="both"/>
              <w:rPr>
                <w:rFonts w:ascii="Arial" w:hAnsi="Arial" w:cs="Arial"/>
                <w:sz w:val="22"/>
                <w:szCs w:val="22"/>
              </w:rPr>
            </w:pPr>
            <w:r>
              <w:rPr>
                <w:rFonts w:ascii="Arial" w:hAnsi="Arial" w:cs="Arial"/>
                <w:color w:val="000000"/>
                <w:sz w:val="22"/>
                <w:szCs w:val="22"/>
              </w:rPr>
              <w:t>The first approach involves simple linear regression of levels on levels, relating FDI to air passenger numbers, using quantile regression to focus on the magnitude of effects, followed by first differences (percentage changes) regressions. We obtain monthly flight data from the United States to all international destin</w:t>
            </w:r>
            <w:r w:rsidRPr="006A4C58">
              <w:rPr>
                <w:rFonts w:ascii="Arial" w:hAnsi="Arial" w:cs="Arial"/>
                <w:color w:val="000000"/>
                <w:sz w:val="22"/>
                <w:szCs w:val="22"/>
              </w:rPr>
              <w:t>ations by US carriers for roughly the past three decades, from the</w:t>
            </w:r>
            <w:hyperlink r:id="rId4" w:history="1">
              <w:r w:rsidRPr="006A4C58">
                <w:rPr>
                  <w:rStyle w:val="Hyperlink"/>
                  <w:rFonts w:ascii="Arial" w:eastAsia="Arial" w:hAnsi="Arial" w:cs="Arial"/>
                  <w:color w:val="000000"/>
                  <w:sz w:val="22"/>
                  <w:szCs w:val="22"/>
                </w:rPr>
                <w:t xml:space="preserve"> </w:t>
              </w:r>
              <w:r w:rsidRPr="006A4C58">
                <w:rPr>
                  <w:rStyle w:val="Hyperlink"/>
                  <w:rFonts w:ascii="Arial" w:eastAsia="Arial" w:hAnsi="Arial" w:cs="Arial"/>
                  <w:color w:val="0563C1"/>
                  <w:sz w:val="22"/>
                  <w:szCs w:val="22"/>
                </w:rPr>
                <w:t>Bureau of Transportation Statistics</w:t>
              </w:r>
            </w:hyperlink>
            <w:r w:rsidRPr="006A4C58">
              <w:rPr>
                <w:rFonts w:ascii="Arial" w:hAnsi="Arial" w:cs="Arial"/>
                <w:color w:val="000000"/>
                <w:sz w:val="22"/>
                <w:szCs w:val="22"/>
              </w:rPr>
              <w:t>. We also obtain annual macroeconomic data, including foreign direct investment estimates, for the same time period, from</w:t>
            </w:r>
            <w:hyperlink r:id="rId5" w:history="1">
              <w:r w:rsidRPr="006A4C58">
                <w:rPr>
                  <w:rStyle w:val="Hyperlink"/>
                  <w:rFonts w:ascii="Arial" w:eastAsia="Arial" w:hAnsi="Arial" w:cs="Arial"/>
                  <w:color w:val="000000"/>
                  <w:sz w:val="22"/>
                  <w:szCs w:val="22"/>
                </w:rPr>
                <w:t xml:space="preserve"> </w:t>
              </w:r>
              <w:r w:rsidRPr="006A4C58">
                <w:rPr>
                  <w:rStyle w:val="Hyperlink"/>
                  <w:rFonts w:ascii="Arial" w:eastAsia="Arial" w:hAnsi="Arial" w:cs="Arial"/>
                  <w:color w:val="0563C1"/>
                  <w:sz w:val="22"/>
                  <w:szCs w:val="22"/>
                </w:rPr>
                <w:t>World Bank Development Indicators</w:t>
              </w:r>
            </w:hyperlink>
            <w:r w:rsidRPr="006A4C58">
              <w:rPr>
                <w:rFonts w:ascii="Arial" w:hAnsi="Arial" w:cs="Arial"/>
                <w:color w:val="000000"/>
                <w:sz w:val="22"/>
                <w:szCs w:val="22"/>
              </w:rPr>
              <w:t xml:space="preserve">. We fill in some data from Ukraine in 2023 from International Monetary Fund estimates (IMF Country Report No. 23/399). Finally, to </w:t>
            </w:r>
            <w:r>
              <w:rPr>
                <w:rFonts w:ascii="Arial" w:hAnsi="Arial" w:cs="Arial"/>
                <w:color w:val="000000"/>
                <w:sz w:val="22"/>
                <w:szCs w:val="22"/>
              </w:rPr>
              <w:t>focus</w:t>
            </w:r>
            <w:r w:rsidRPr="006A4C58">
              <w:rPr>
                <w:rFonts w:ascii="Arial" w:hAnsi="Arial" w:cs="Arial"/>
                <w:color w:val="000000"/>
                <w:sz w:val="22"/>
                <w:szCs w:val="22"/>
              </w:rPr>
              <w:t xml:space="preserve"> on the impact of flight resumptions on FDI in conflict areas, we obtain daily</w:t>
            </w:r>
            <w:hyperlink r:id="rId6" w:history="1">
              <w:r w:rsidRPr="006A4C58">
                <w:rPr>
                  <w:rStyle w:val="Hyperlink"/>
                  <w:rFonts w:ascii="Arial" w:eastAsia="Arial" w:hAnsi="Arial" w:cs="Arial"/>
                  <w:color w:val="000000"/>
                  <w:sz w:val="22"/>
                  <w:szCs w:val="22"/>
                </w:rPr>
                <w:t xml:space="preserve"> </w:t>
              </w:r>
              <w:r w:rsidRPr="006A4C58">
                <w:rPr>
                  <w:rStyle w:val="Hyperlink"/>
                  <w:rFonts w:ascii="Arial" w:eastAsia="Arial" w:hAnsi="Arial" w:cs="Arial"/>
                  <w:color w:val="0563C1"/>
                  <w:sz w:val="22"/>
                  <w:szCs w:val="22"/>
                </w:rPr>
                <w:t>ACLED conflict data</w:t>
              </w:r>
            </w:hyperlink>
            <w:r w:rsidRPr="006A4C58">
              <w:rPr>
                <w:rFonts w:ascii="Arial" w:hAnsi="Arial" w:cs="Arial"/>
                <w:color w:val="000000"/>
                <w:sz w:val="22"/>
                <w:szCs w:val="22"/>
              </w:rPr>
              <w:t xml:space="preserve"> and aggregate to the annual level for each country.</w:t>
            </w:r>
          </w:p>
        </w:tc>
      </w:tr>
    </w:tbl>
    <w:p w14:paraId="14ECA396" w14:textId="29A5794F" w:rsidR="00A877FC" w:rsidRDefault="00A877FC"/>
    <w:p w14:paraId="40C27915" w14:textId="65CE9791" w:rsidR="00A877FC" w:rsidRPr="00097C9A" w:rsidRDefault="00A877FC">
      <w:pPr>
        <w:rPr>
          <w:u w:val="single"/>
        </w:rPr>
      </w:pPr>
      <w:r w:rsidRPr="00097C9A">
        <w:rPr>
          <w:u w:val="single"/>
        </w:rPr>
        <w:t xml:space="preserve">Replication notes: </w:t>
      </w:r>
    </w:p>
    <w:sectPr w:rsidR="00A877FC" w:rsidRPr="00097C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FD9"/>
    <w:rsid w:val="00097C9A"/>
    <w:rsid w:val="00964FD9"/>
    <w:rsid w:val="00A877FC"/>
    <w:rsid w:val="00C21936"/>
    <w:rsid w:val="00CC0FDA"/>
    <w:rsid w:val="00CD3176"/>
    <w:rsid w:val="00FA7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97490"/>
  <w15:chartTrackingRefBased/>
  <w15:docId w15:val="{7B45619B-9BB9-9342-8924-62761CCB4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4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4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4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4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4F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F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4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4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4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4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4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FD9"/>
    <w:rPr>
      <w:rFonts w:eastAsiaTheme="majorEastAsia" w:cstheme="majorBidi"/>
      <w:color w:val="272727" w:themeColor="text1" w:themeTint="D8"/>
    </w:rPr>
  </w:style>
  <w:style w:type="paragraph" w:styleId="Title">
    <w:name w:val="Title"/>
    <w:basedOn w:val="Normal"/>
    <w:next w:val="Normal"/>
    <w:link w:val="TitleChar"/>
    <w:uiPriority w:val="10"/>
    <w:qFormat/>
    <w:rsid w:val="00964F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F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F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F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F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64FD9"/>
    <w:rPr>
      <w:i/>
      <w:iCs/>
      <w:color w:val="404040" w:themeColor="text1" w:themeTint="BF"/>
    </w:rPr>
  </w:style>
  <w:style w:type="paragraph" w:styleId="ListParagraph">
    <w:name w:val="List Paragraph"/>
    <w:basedOn w:val="Normal"/>
    <w:uiPriority w:val="34"/>
    <w:qFormat/>
    <w:rsid w:val="00964FD9"/>
    <w:pPr>
      <w:ind w:left="720"/>
      <w:contextualSpacing/>
    </w:pPr>
  </w:style>
  <w:style w:type="character" w:styleId="IntenseEmphasis">
    <w:name w:val="Intense Emphasis"/>
    <w:basedOn w:val="DefaultParagraphFont"/>
    <w:uiPriority w:val="21"/>
    <w:qFormat/>
    <w:rsid w:val="00964FD9"/>
    <w:rPr>
      <w:i/>
      <w:iCs/>
      <w:color w:val="0F4761" w:themeColor="accent1" w:themeShade="BF"/>
    </w:rPr>
  </w:style>
  <w:style w:type="paragraph" w:styleId="IntenseQuote">
    <w:name w:val="Intense Quote"/>
    <w:basedOn w:val="Normal"/>
    <w:next w:val="Normal"/>
    <w:link w:val="IntenseQuoteChar"/>
    <w:uiPriority w:val="30"/>
    <w:qFormat/>
    <w:rsid w:val="00964F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4FD9"/>
    <w:rPr>
      <w:i/>
      <w:iCs/>
      <w:color w:val="0F4761" w:themeColor="accent1" w:themeShade="BF"/>
    </w:rPr>
  </w:style>
  <w:style w:type="character" w:styleId="IntenseReference">
    <w:name w:val="Intense Reference"/>
    <w:basedOn w:val="DefaultParagraphFont"/>
    <w:uiPriority w:val="32"/>
    <w:qFormat/>
    <w:rsid w:val="00964FD9"/>
    <w:rPr>
      <w:b/>
      <w:bCs/>
      <w:smallCaps/>
      <w:color w:val="0F4761" w:themeColor="accent1" w:themeShade="BF"/>
      <w:spacing w:val="5"/>
    </w:rPr>
  </w:style>
  <w:style w:type="table" w:styleId="TableGrid">
    <w:name w:val="Table Grid"/>
    <w:basedOn w:val="TableNormal"/>
    <w:uiPriority w:val="39"/>
    <w:rsid w:val="00A877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77FC"/>
    <w:rPr>
      <w:color w:val="467886" w:themeColor="hyperlink"/>
      <w:u w:val="single"/>
    </w:rPr>
  </w:style>
  <w:style w:type="paragraph" w:styleId="NormalWeb">
    <w:name w:val="Normal (Web)"/>
    <w:basedOn w:val="Normal"/>
    <w:uiPriority w:val="99"/>
    <w:unhideWhenUsed/>
    <w:rsid w:val="00A877FC"/>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leddata.com/data-export-tool/" TargetMode="External"/><Relationship Id="rId5" Type="http://schemas.openxmlformats.org/officeDocument/2006/relationships/hyperlink" Target="https://databank.worldbank.org/source/world-development-indicators" TargetMode="External"/><Relationship Id="rId4" Type="http://schemas.openxmlformats.org/officeDocument/2006/relationships/hyperlink" Target="https://www.bts.gov/browse-statistical-products-and-data/bts-publications/data-bank-28im-t-100-and-t-100f-internation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184</Words>
  <Characters>1051</Characters>
  <Application>Microsoft Office Word</Application>
  <DocSecurity>0</DocSecurity>
  <Lines>8</Lines>
  <Paragraphs>2</Paragraphs>
  <ScaleCrop>false</ScaleCrop>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Schultze</dc:creator>
  <cp:keywords/>
  <dc:description/>
  <cp:lastModifiedBy>Michelle Schultze</cp:lastModifiedBy>
  <cp:revision>3</cp:revision>
  <dcterms:created xsi:type="dcterms:W3CDTF">2024-09-21T16:28:00Z</dcterms:created>
  <dcterms:modified xsi:type="dcterms:W3CDTF">2024-09-21T16:36:00Z</dcterms:modified>
</cp:coreProperties>
</file>