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obtain battle fatalities numbers from the ACLED dataset and yearly air traffic, FDI, and GDP data from the World Bank, regressing on a subset of countries for which we had full data (N=846).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ran a d</w:t>
      </w:r>
      <w:commentRangeStart w:id="0"/>
      <w:r w:rsidDel="00000000" w:rsidR="00000000" w:rsidRPr="00000000">
        <w:rPr>
          <w:rtl w:val="0"/>
        </w:rPr>
        <w:t xml:space="preserve">ifference-in-difference model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with the following specification:</w:t>
        <w:br w:type="textWrapping"/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lm(ln_FDI ~ ln_battle_fatalities +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  <w:tab/>
        <w:t xml:space="preserve">ln_GDP + ln_battle_fatalities * treatment + </w:t>
      </w:r>
      <w:r w:rsidDel="00000000" w:rsidR="00000000" w:rsidRPr="00000000">
        <w:rPr>
          <w:sz w:val="24"/>
          <w:szCs w:val="24"/>
          <w:rtl w:val="0"/>
        </w:rPr>
        <w:t xml:space="preserve">post_treatment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Regressing the log+1 of total FDI on the log+1 of battle fatalities, log+1 of GDP, the interaction between log+1 of battle fatalities and the treatment variable (coded as “1” for any year after the largest percentage increase in a country's air traffic, given it at least doubles), and the post-treatment variable (the number of years after the first treatment year).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yielded significant results for the interaction term at the 1% level, showing that while controlling for battle fatalities and GDP, a country’s FDI is positively associated with a spike of air traffic when interacting with battle fatalities. This interaction term has a positive beta while battle fatalities has a negative beta on its own, showing </w:t>
      </w:r>
      <w:r w:rsidDel="00000000" w:rsidR="00000000" w:rsidRPr="00000000">
        <w:rPr>
          <w:highlight w:val="yellow"/>
          <w:rtl w:val="0"/>
        </w:rPr>
        <w:t xml:space="preserve">______</w:t>
      </w:r>
      <w:r w:rsidDel="00000000" w:rsidR="00000000" w:rsidRPr="00000000">
        <w:rPr>
          <w:rtl w:val="0"/>
        </w:rPr>
        <w:t xml:space="preserve">. A spike of air traffic does not have a significant relationship with FDI on its own in this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401612" cy="42243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1612" cy="4224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However, if one removes the post-treatment variable, there is a positive relationship between just the treatment (coded as “1” for any year after the largest percentage increase in a country's air traffic, given it at least doubles) and log+1 of total FDI, significant at the 5% level.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1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chelle Schultze" w:id="0" w:date="2024-03-22T06:06:46Z"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it actually end up as difference in difference? Check my model, please!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