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60DD6" w14:textId="59CC7127" w:rsidR="00326771" w:rsidRPr="00015075" w:rsidRDefault="00326771" w:rsidP="009F67CC"/>
    <w:p w14:paraId="55BD8928" w14:textId="124C3028" w:rsidR="00326771" w:rsidRPr="00015075" w:rsidRDefault="00132F4D" w:rsidP="00CA5FF1">
      <w:pPr>
        <w:pStyle w:val="Title"/>
        <w:jc w:val="center"/>
      </w:pPr>
      <w:r w:rsidRPr="00132F4D">
        <w:rPr>
          <w:b/>
          <w:bCs/>
        </w:rPr>
        <w:t>Update of the Japanese longline abundance index for Pacific blue marlin (</w:t>
      </w:r>
      <w:r w:rsidRPr="00132F4D">
        <w:rPr>
          <w:b/>
          <w:bCs/>
          <w:i/>
          <w:iCs/>
        </w:rPr>
        <w:t>Makaira nigricans</w:t>
      </w:r>
      <w:r w:rsidRPr="00132F4D">
        <w:rPr>
          <w:b/>
          <w:bCs/>
        </w:rPr>
        <w:t>) using the habitat model (1994-2024)</w:t>
      </w:r>
    </w:p>
    <w:p w14:paraId="6343A922" w14:textId="77777777" w:rsidR="00326771" w:rsidRPr="00015075" w:rsidRDefault="00326771" w:rsidP="00CA5FF1">
      <w:pPr>
        <w:jc w:val="center"/>
      </w:pPr>
    </w:p>
    <w:p w14:paraId="35BC62E1" w14:textId="77777777" w:rsidR="00326771" w:rsidRPr="00015075" w:rsidRDefault="00326771" w:rsidP="00CA5FF1">
      <w:pPr>
        <w:jc w:val="center"/>
      </w:pPr>
    </w:p>
    <w:p w14:paraId="172A304D" w14:textId="55530CBA" w:rsidR="00326771" w:rsidRPr="00015075" w:rsidRDefault="00CA5FF1" w:rsidP="00CA5FF1">
      <w:pPr>
        <w:jc w:val="center"/>
        <w:rPr>
          <w:szCs w:val="21"/>
        </w:rPr>
      </w:pPr>
      <w:r>
        <w:rPr>
          <w:szCs w:val="21"/>
        </w:rPr>
        <w:t>Marko Jusup, Mikihiko Kai</w:t>
      </w:r>
    </w:p>
    <w:p w14:paraId="488BB64A" w14:textId="77777777" w:rsidR="00326771" w:rsidRPr="00015075" w:rsidRDefault="00326771" w:rsidP="00CA5FF1">
      <w:pPr>
        <w:jc w:val="center"/>
        <w:rPr>
          <w:sz w:val="24"/>
        </w:rPr>
      </w:pPr>
    </w:p>
    <w:p w14:paraId="47171BE3" w14:textId="77777777" w:rsidR="00805DAA" w:rsidRDefault="00D22C3C" w:rsidP="00D22C3C">
      <w:pPr>
        <w:jc w:val="center"/>
        <w:rPr>
          <w:szCs w:val="21"/>
        </w:rPr>
      </w:pPr>
      <w:r w:rsidRPr="00D22C3C">
        <w:rPr>
          <w:szCs w:val="21"/>
        </w:rPr>
        <w:t>Highly Migratory Resources Division, Fisheries Stock Assessment Center</w:t>
      </w:r>
    </w:p>
    <w:p w14:paraId="1CE522E4" w14:textId="4A39EBC4" w:rsidR="00D22C3C" w:rsidRPr="00D22C3C" w:rsidRDefault="00D22C3C" w:rsidP="00805DAA">
      <w:pPr>
        <w:jc w:val="center"/>
        <w:rPr>
          <w:szCs w:val="21"/>
        </w:rPr>
      </w:pPr>
      <w:r w:rsidRPr="00D22C3C">
        <w:rPr>
          <w:szCs w:val="21"/>
        </w:rPr>
        <w:t>Fisheries Resources</w:t>
      </w:r>
      <w:r w:rsidR="00805DAA">
        <w:rPr>
          <w:rFonts w:hint="eastAsia"/>
          <w:szCs w:val="21"/>
        </w:rPr>
        <w:t xml:space="preserve"> Institute, </w:t>
      </w:r>
      <w:r w:rsidRPr="00D22C3C">
        <w:rPr>
          <w:szCs w:val="21"/>
        </w:rPr>
        <w:t>Japan Fisheries Research and Education Agency</w:t>
      </w:r>
    </w:p>
    <w:p w14:paraId="1D78590D" w14:textId="77777777" w:rsidR="00D22C3C" w:rsidRPr="00D22C3C" w:rsidRDefault="00D22C3C" w:rsidP="00D22C3C">
      <w:pPr>
        <w:jc w:val="center"/>
        <w:rPr>
          <w:szCs w:val="21"/>
        </w:rPr>
      </w:pPr>
    </w:p>
    <w:p w14:paraId="66CF7243" w14:textId="1828B529" w:rsidR="00015075" w:rsidRPr="00015075" w:rsidRDefault="00D22C3C" w:rsidP="00D22C3C">
      <w:pPr>
        <w:jc w:val="center"/>
        <w:rPr>
          <w:szCs w:val="21"/>
        </w:rPr>
      </w:pPr>
      <w:r w:rsidRPr="00D22C3C">
        <w:rPr>
          <w:szCs w:val="21"/>
        </w:rPr>
        <w:t xml:space="preserve">2-12-4 </w:t>
      </w:r>
      <w:proofErr w:type="spellStart"/>
      <w:r w:rsidRPr="00D22C3C">
        <w:rPr>
          <w:szCs w:val="21"/>
        </w:rPr>
        <w:t>Fukuura</w:t>
      </w:r>
      <w:proofErr w:type="spellEnd"/>
      <w:r w:rsidRPr="00D22C3C">
        <w:rPr>
          <w:szCs w:val="21"/>
        </w:rPr>
        <w:t>, Kanazawa-</w:t>
      </w:r>
      <w:proofErr w:type="spellStart"/>
      <w:r w:rsidRPr="00D22C3C">
        <w:rPr>
          <w:szCs w:val="21"/>
        </w:rPr>
        <w:t>ku</w:t>
      </w:r>
      <w:proofErr w:type="spellEnd"/>
      <w:r w:rsidRPr="00D22C3C">
        <w:rPr>
          <w:szCs w:val="21"/>
        </w:rPr>
        <w:t>, Yokohama</w:t>
      </w:r>
      <w:r>
        <w:rPr>
          <w:szCs w:val="21"/>
        </w:rPr>
        <w:t xml:space="preserve"> </w:t>
      </w:r>
      <w:r w:rsidRPr="00D22C3C">
        <w:rPr>
          <w:szCs w:val="21"/>
        </w:rPr>
        <w:t>236-8648, JAPAN</w:t>
      </w:r>
    </w:p>
    <w:p w14:paraId="3F5F6EC6" w14:textId="77777777" w:rsidR="00326771" w:rsidRPr="00015075" w:rsidRDefault="00326771" w:rsidP="00CA5FF1">
      <w:pPr>
        <w:jc w:val="center"/>
        <w:rPr>
          <w:sz w:val="24"/>
        </w:rPr>
      </w:pPr>
    </w:p>
    <w:p w14:paraId="4B297420" w14:textId="19980213" w:rsidR="00326771" w:rsidRPr="00015075" w:rsidRDefault="00326771" w:rsidP="00CA5FF1">
      <w:pPr>
        <w:jc w:val="center"/>
        <w:rPr>
          <w:szCs w:val="21"/>
        </w:rPr>
      </w:pPr>
      <w:r w:rsidRPr="00015075">
        <w:rPr>
          <w:szCs w:val="21"/>
        </w:rPr>
        <w:t xml:space="preserve">Email: </w:t>
      </w:r>
      <w:r w:rsidR="00BC5318" w:rsidRPr="00BC5318">
        <w:rPr>
          <w:szCs w:val="21"/>
        </w:rPr>
        <w:t>jusup_marko00@fra.go.jp</w:t>
      </w:r>
    </w:p>
    <w:p w14:paraId="1058D36F" w14:textId="77777777" w:rsidR="00AE75FA" w:rsidRPr="00015075" w:rsidRDefault="00AE75FA" w:rsidP="00EB6480">
      <w:pPr>
        <w:rPr>
          <w:rFonts w:ascii="Arial" w:hAnsi="Arial" w:cs="Arial"/>
          <w:sz w:val="24"/>
        </w:rPr>
      </w:pPr>
    </w:p>
    <w:p w14:paraId="3AB3FAB4" w14:textId="77777777" w:rsidR="000A5335" w:rsidRPr="00015075" w:rsidRDefault="000A5335" w:rsidP="00EB6480">
      <w:pPr>
        <w:rPr>
          <w:rFonts w:ascii="Arial" w:hAnsi="Arial" w:cs="Arial"/>
          <w:sz w:val="24"/>
        </w:rPr>
      </w:pPr>
    </w:p>
    <w:p w14:paraId="25A599C4" w14:textId="77777777" w:rsidR="000A5335" w:rsidRPr="00015075" w:rsidRDefault="000A5335" w:rsidP="00EB6480">
      <w:pPr>
        <w:rPr>
          <w:rFonts w:ascii="Arial" w:hAnsi="Arial" w:cs="Arial"/>
          <w:sz w:val="24"/>
        </w:rPr>
      </w:pPr>
    </w:p>
    <w:p w14:paraId="35CF8DED" w14:textId="1E71EB30" w:rsidR="00EB6480" w:rsidRPr="00015075" w:rsidRDefault="002817E1" w:rsidP="00D0276F">
      <w:pPr>
        <w:jc w:val="center"/>
        <w:rPr>
          <w:rFonts w:ascii="Arial" w:hAnsi="Arial" w:cs="Arial"/>
          <w:sz w:val="24"/>
        </w:rPr>
      </w:pPr>
      <w:r w:rsidRPr="00015075">
        <w:rPr>
          <w:rFonts w:ascii="Arial" w:hAnsi="Arial" w:cs="Arial"/>
          <w:noProof/>
          <w:sz w:val="24"/>
          <w:lang w:eastAsia="en-US"/>
        </w:rPr>
        <w:drawing>
          <wp:inline distT="0" distB="0" distL="0" distR="0" wp14:anchorId="642B0D1B" wp14:editId="62A2A04B">
            <wp:extent cx="2540000" cy="1054100"/>
            <wp:effectExtent l="0" t="0" r="0" b="0"/>
            <wp:docPr id="3" name="図 3" descr="Photo of a striped marl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動物, 魚 が含まれている画像&#10;&#10;自動的に生成された説明"/>
                    <pic:cNvPicPr/>
                  </pic:nvPicPr>
                  <pic:blipFill>
                    <a:blip r:embed="rId8">
                      <a:extLst>
                        <a:ext uri="{28A0092B-C50C-407E-A947-70E740481C1C}">
                          <a14:useLocalDpi xmlns:a14="http://schemas.microsoft.com/office/drawing/2010/main" val="0"/>
                        </a:ext>
                      </a:extLst>
                    </a:blip>
                    <a:stretch>
                      <a:fillRect/>
                    </a:stretch>
                  </pic:blipFill>
                  <pic:spPr>
                    <a:xfrm>
                      <a:off x="0" y="0"/>
                      <a:ext cx="2540000" cy="1054100"/>
                    </a:xfrm>
                    <a:prstGeom prst="rect">
                      <a:avLst/>
                    </a:prstGeom>
                  </pic:spPr>
                </pic:pic>
              </a:graphicData>
            </a:graphic>
          </wp:inline>
        </w:drawing>
      </w:r>
    </w:p>
    <w:p w14:paraId="76849EBA" w14:textId="77777777" w:rsidR="00EB6480" w:rsidRPr="00015075" w:rsidRDefault="00EB6480" w:rsidP="00EB6480">
      <w:pPr>
        <w:rPr>
          <w:rFonts w:ascii="Arial" w:hAnsi="Arial" w:cs="Arial"/>
          <w:sz w:val="24"/>
        </w:rPr>
      </w:pPr>
    </w:p>
    <w:p w14:paraId="58CA3969" w14:textId="77777777" w:rsidR="00EB6480" w:rsidRPr="00015075" w:rsidRDefault="00EB6480" w:rsidP="00EB6480">
      <w:pPr>
        <w:rPr>
          <w:rFonts w:ascii="Arial" w:hAnsi="Arial" w:cs="Arial"/>
          <w:sz w:val="24"/>
        </w:rPr>
        <w:sectPr w:rsidR="00EB6480" w:rsidRPr="00015075" w:rsidSect="00B81E71">
          <w:headerReference w:type="default" r:id="rId9"/>
          <w:footerReference w:type="even" r:id="rId10"/>
          <w:headerReference w:type="first" r:id="rId11"/>
          <w:footerReference w:type="first" r:id="rId12"/>
          <w:pgSz w:w="11906" w:h="16838"/>
          <w:pgMar w:top="1985" w:right="1701" w:bottom="1701" w:left="1701" w:header="851" w:footer="992" w:gutter="0"/>
          <w:pgNumType w:start="1"/>
          <w:cols w:space="425"/>
          <w:docGrid w:type="lines" w:linePitch="360"/>
        </w:sectPr>
      </w:pPr>
    </w:p>
    <w:p w14:paraId="61094417" w14:textId="77777777" w:rsidR="00326771" w:rsidRDefault="00AE75FA" w:rsidP="00AF0DB5">
      <w:pPr>
        <w:pStyle w:val="Heading1"/>
      </w:pPr>
      <w:r w:rsidRPr="00015075">
        <w:lastRenderedPageBreak/>
        <w:t>Abstract</w:t>
      </w:r>
    </w:p>
    <w:p w14:paraId="2F8EF2FF" w14:textId="49D0AAC8" w:rsidR="00132F4D" w:rsidRPr="00132F4D" w:rsidRDefault="00812EA6" w:rsidP="00132F4D">
      <w:r w:rsidRPr="00812EA6">
        <w:t>An updated standardized catch-per-unit-effort (CPUE) index for Pacific blue marlin (</w:t>
      </w:r>
      <w:r w:rsidRPr="00812EA6">
        <w:rPr>
          <w:i/>
          <w:iCs/>
        </w:rPr>
        <w:t>Makaira nigricans</w:t>
      </w:r>
      <w:r w:rsidRPr="00812EA6">
        <w:t xml:space="preserve">) was developed for the period 1994-2024 to inform the upcoming stock assessment. The analysis was based on the established habitat model methodology, applied to Japanese longline fishery logbook data. The model incorporated monthly environmental data, including Mixed Layer Depth and subsurface Potential Temperature, from the Copernicus Marine Service. The resulting standardized index shows </w:t>
      </w:r>
      <w:r w:rsidR="00FC40AE">
        <w:t>a degree of</w:t>
      </w:r>
      <w:r w:rsidRPr="00812EA6">
        <w:t xml:space="preserve"> divergence from the nominal CPUE trend, underscoring the importance of accounting for temporal shifts in fishing strategy and environmental conditions. The time series is characterized by a decline from high levels in the mid-1990s, followed by a multi-decade period of fluctuation without a strong directional trend, and culminates in a sharp increase in the terminal year. The index, with uncertainty estimated via a non-parametric bootstrap procedure, is presented for consideration as a primary input for the upcoming ISC stock assessment for Pacific blue marlin.</w:t>
      </w:r>
    </w:p>
    <w:p w14:paraId="7C7B5D30" w14:textId="3ADDDCAA" w:rsidR="00015075" w:rsidRDefault="00CD5C6E" w:rsidP="00AF0DB5">
      <w:pPr>
        <w:pStyle w:val="Heading1"/>
      </w:pPr>
      <w:r>
        <w:t>Introduction</w:t>
      </w:r>
    </w:p>
    <w:p w14:paraId="2F1ADCE7" w14:textId="34996867" w:rsidR="007A0438" w:rsidRDefault="007A0438" w:rsidP="00A86551">
      <w:r w:rsidRPr="007A0438">
        <w:t>Pacific blue marlin (</w:t>
      </w:r>
      <w:r w:rsidRPr="007A0438">
        <w:rPr>
          <w:i/>
          <w:iCs/>
        </w:rPr>
        <w:t>Makaira nigricans</w:t>
      </w:r>
      <w:r w:rsidRPr="007A0438">
        <w:t xml:space="preserve">) is an apex predator distributed throughout the tropical and temperate waters of the Pacific Ocean. </w:t>
      </w:r>
      <w:r>
        <w:t>It is</w:t>
      </w:r>
      <w:r w:rsidRPr="007A0438">
        <w:t xml:space="preserve"> a highly migratory species</w:t>
      </w:r>
      <w:r>
        <w:t xml:space="preserve"> that</w:t>
      </w:r>
      <w:r w:rsidRPr="007A0438">
        <w:t xml:space="preserve"> plays a key role in the pelagic ecosystem. </w:t>
      </w:r>
      <w:r>
        <w:t>Although</w:t>
      </w:r>
      <w:r w:rsidRPr="007A0438">
        <w:t xml:space="preserve"> primarily caught as a bycatch in tuna-directed longline fisheries, its </w:t>
      </w:r>
      <w:r>
        <w:t>economic</w:t>
      </w:r>
      <w:r w:rsidRPr="007A0438">
        <w:t xml:space="preserve"> value makes it an important component of the catch, and it is also a prized target in recreational fisheries. The sustainable management of this trans-boundary stock requires robust scientific advice, a responsibility principally undertaken by the International Scientific Committee for Tuna and Tuna-Like Species in the North Pacific Ocean (ISC). The ISC conducts periodic stock assessments that rely on the best available scientific information, including fishery-dependent indices of abundance, to evaluate stock status and provide management recommendations.</w:t>
      </w:r>
    </w:p>
    <w:p w14:paraId="361847CC" w14:textId="3124A0AA" w:rsidR="007A0438" w:rsidRDefault="007A0438" w:rsidP="007A0438">
      <w:r w:rsidRPr="007A0438">
        <w:t xml:space="preserve">Periodic stock assessments are the cornerstone of </w:t>
      </w:r>
      <w:r>
        <w:t>the</w:t>
      </w:r>
      <w:r w:rsidRPr="007A0438">
        <w:t xml:space="preserve"> scientific management process. The standardized catch-per-unit-effort (CPUE) index, derived from the Japanese longline fishery, has historically been a</w:t>
      </w:r>
      <w:r>
        <w:t>n important</w:t>
      </w:r>
      <w:r w:rsidRPr="007A0438">
        <w:t xml:space="preserve"> input for </w:t>
      </w:r>
      <w:r>
        <w:t>such</w:t>
      </w:r>
      <w:r w:rsidRPr="007A0438">
        <w:t xml:space="preserve"> assessments. The habitat model</w:t>
      </w:r>
      <w:r w:rsidR="00481001">
        <w:rPr>
          <w:rFonts w:hint="eastAsia"/>
        </w:rPr>
        <w:t xml:space="preserve"> (Hinton and Nakano, 1996)</w:t>
      </w:r>
      <w:r w:rsidRPr="007A0438">
        <w:t xml:space="preserve">, which explicitly accounts for the influence of oceanographic conditions on catch rates, has become the standard methodology for developing </w:t>
      </w:r>
      <w:r>
        <w:t>the CPUE</w:t>
      </w:r>
      <w:r w:rsidRPr="007A0438">
        <w:t xml:space="preserve"> index</w:t>
      </w:r>
      <w:r>
        <w:t xml:space="preserve"> in the case of Pacific blue marlin</w:t>
      </w:r>
      <w:r w:rsidRPr="007A0438">
        <w:t xml:space="preserve"> (Ijima, 2020</w:t>
      </w:r>
      <w:r>
        <w:t xml:space="preserve">; </w:t>
      </w:r>
      <w:r w:rsidRPr="007A0438">
        <w:t xml:space="preserve">Kai et al., 2016). The most recent stock assessment </w:t>
      </w:r>
      <w:r>
        <w:t xml:space="preserve">thus also </w:t>
      </w:r>
      <w:r w:rsidRPr="007A0438">
        <w:t>utilized a CPUE time series that was an update based on this same</w:t>
      </w:r>
      <w:r>
        <w:t xml:space="preserve"> methodology (ISC, 2021)</w:t>
      </w:r>
      <w:r w:rsidRPr="007A0438">
        <w:t>. With several additional years of fishery and environmental data now available, a timely update to this index is required to provide the most current scientific advice for the upcoming assessment cycle.</w:t>
      </w:r>
    </w:p>
    <w:p w14:paraId="6A9DFDAF" w14:textId="3CFAE86B" w:rsidR="001C550F" w:rsidRPr="007A0438" w:rsidRDefault="001C550F" w:rsidP="007A0438">
      <w:r w:rsidRPr="001C550F">
        <w:lastRenderedPageBreak/>
        <w:t>The objective of this working paper is to update and extend the standardized abundance index for Pacific blue marlin. Following the established habitat model methodology (Ijima, 2020</w:t>
      </w:r>
      <w:r>
        <w:t xml:space="preserve">; </w:t>
      </w:r>
      <w:r w:rsidRPr="001C550F">
        <w:t>Kai et al., 2016), this study analyzes Japanese longline fishery data for the period 1994-2024. The analysis incorporates state-of-the-art environmental data from the Copernicus Marine Service</w:t>
      </w:r>
      <w:r>
        <w:t xml:space="preserve">. </w:t>
      </w:r>
      <w:r w:rsidRPr="001C550F">
        <w:t>The resulting time series is intended to serve as a primary input for the upcoming ISC stock assessment.</w:t>
      </w:r>
    </w:p>
    <w:p w14:paraId="4C03E3B3" w14:textId="1A4D3A85" w:rsidR="00CD5C6E" w:rsidRDefault="00CD5C6E" w:rsidP="00AF0DB5">
      <w:pPr>
        <w:pStyle w:val="Heading1"/>
      </w:pPr>
      <w:r>
        <w:t>Methods</w:t>
      </w:r>
    </w:p>
    <w:p w14:paraId="0F3EC0C1" w14:textId="2A6FF9F4" w:rsidR="00A86551" w:rsidRDefault="00A86551" w:rsidP="00A86551">
      <w:pPr>
        <w:pStyle w:val="Heading2"/>
      </w:pPr>
      <w:r w:rsidRPr="00A86551">
        <w:t>Fishery Data Source and Processing</w:t>
      </w:r>
    </w:p>
    <w:p w14:paraId="70FCAEC6" w14:textId="5F8B69D7" w:rsidR="00A86551" w:rsidRDefault="00A86551" w:rsidP="00805DAA">
      <w:r w:rsidRPr="00A86551">
        <w:t xml:space="preserve">The fishery data used in this analysis were sourced from the logbooks of the Japanese distant-water and offshore longline fleets operating in the Pacific Ocean from 1994 to 2024. The raw set-level data were </w:t>
      </w:r>
      <w:r w:rsidR="00481001">
        <w:rPr>
          <w:rFonts w:hint="eastAsia"/>
        </w:rPr>
        <w:t xml:space="preserve">processed using </w:t>
      </w:r>
      <w:r w:rsidRPr="00A86551">
        <w:t>a series of filtering criteria to ensure the quality and consistency of the dataset for CPUE standardization. Only data from tuna-directed operations were included, explicitly excluding sets recorded as targeting swordfish or sharks</w:t>
      </w:r>
      <w:r w:rsidR="00805DAA">
        <w:rPr>
          <w:rFonts w:hint="eastAsia"/>
        </w:rPr>
        <w:t xml:space="preserve">; the reason for this is that </w:t>
      </w:r>
      <w:r w:rsidR="00805DAA">
        <w:t xml:space="preserve">blue marlin </w:t>
      </w:r>
      <w:r w:rsidR="00805DAA">
        <w:rPr>
          <w:rFonts w:hint="eastAsia"/>
        </w:rPr>
        <w:t>are</w:t>
      </w:r>
      <w:r w:rsidR="00805DAA">
        <w:t xml:space="preserve"> </w:t>
      </w:r>
      <w:r w:rsidR="00805DAA">
        <w:rPr>
          <w:rFonts w:hint="eastAsia"/>
        </w:rPr>
        <w:t>predominantly</w:t>
      </w:r>
      <w:r w:rsidR="00805DAA">
        <w:t xml:space="preserve"> caught bycatch </w:t>
      </w:r>
      <w:r w:rsidR="00805DAA">
        <w:rPr>
          <w:rFonts w:hint="eastAsia"/>
        </w:rPr>
        <w:t>of</w:t>
      </w:r>
      <w:r w:rsidR="00805DAA">
        <w:t xml:space="preserve"> the tuna longline fishery.</w:t>
      </w:r>
      <w:r w:rsidRPr="00A86551">
        <w:t xml:space="preserve"> The dataset was further refined to include only fishing activity within the Pacific Ocean between 40°N and 40°S, on sets where the sea surface temperature was greater than 20°C. To remove non-standard or erroneous gear configurations, only sets with 3 to 36 hooks between floats (HBF) and a total of more than 200 hooks were retained for the analysis.</w:t>
      </w:r>
    </w:p>
    <w:p w14:paraId="4C46B1F2" w14:textId="5FD9829E" w:rsidR="00A86551" w:rsidRDefault="00A12B2A" w:rsidP="00A86551">
      <w:r w:rsidRPr="00A12B2A">
        <w:t>Following the filtering process, the clean</w:t>
      </w:r>
      <w:r w:rsidR="00027732">
        <w:rPr>
          <w:rFonts w:hint="eastAsia"/>
        </w:rPr>
        <w:t>ed</w:t>
      </w:r>
      <w:r w:rsidRPr="00A12B2A">
        <w:t xml:space="preserve"> set-level data w</w:t>
      </w:r>
      <w:r w:rsidR="00027732">
        <w:rPr>
          <w:rFonts w:hint="eastAsia"/>
        </w:rPr>
        <w:t>ere</w:t>
      </w:r>
      <w:r w:rsidRPr="00A12B2A">
        <w:t xml:space="preserve"> aggregated into operational strata to </w:t>
      </w:r>
      <w:r w:rsidR="00027732">
        <w:rPr>
          <w:rFonts w:hint="eastAsia"/>
        </w:rPr>
        <w:t>create</w:t>
      </w:r>
      <w:r w:rsidRPr="00A12B2A">
        <w:t xml:space="preserve"> the final analytical dataset. Each stratum represents a unique combination of year, quarter, spatial location (on a 1x1 degree grid), and key gear configuration parameters. These gear parameters included mainline material, hooks between floats (HBF), branch line length, float line length, and the interval between branch lines. For each of these strata, the total number of hooks deployed and the total number of blue </w:t>
      </w:r>
      <w:proofErr w:type="gramStart"/>
      <w:r w:rsidRPr="00A12B2A">
        <w:t>marlin</w:t>
      </w:r>
      <w:proofErr w:type="gramEnd"/>
      <w:r w:rsidRPr="00A12B2A">
        <w:t xml:space="preserve"> caught were summed. This aggregation process reduces the dataset to a computationally manageable size while preserving the essential </w:t>
      </w:r>
      <w:proofErr w:type="spellStart"/>
      <w:r w:rsidRPr="00A12B2A">
        <w:t>spatio</w:t>
      </w:r>
      <w:proofErr w:type="spellEnd"/>
      <w:r w:rsidRPr="00A12B2A">
        <w:t>-temporal and operational resolution required by the habitat model.</w:t>
      </w:r>
    </w:p>
    <w:p w14:paraId="429E2518" w14:textId="3E3E9A72" w:rsidR="00A12B2A" w:rsidRDefault="00A12B2A" w:rsidP="00A86551">
      <w:r w:rsidRPr="00A12B2A">
        <w:t>A portion of the raw logbook records</w:t>
      </w:r>
      <w:r w:rsidR="00FE1766">
        <w:t xml:space="preserve"> (≈36%)</w:t>
      </w:r>
      <w:r>
        <w:t xml:space="preserve"> </w:t>
      </w:r>
      <w:r w:rsidRPr="00A12B2A">
        <w:t>were missing essential gear configuration parameters (i.e., branch line length, float line length,</w:t>
      </w:r>
      <w:r>
        <w:t xml:space="preserve"> </w:t>
      </w:r>
      <w:r w:rsidR="00FE1766">
        <w:t>or</w:t>
      </w:r>
      <w:r w:rsidRPr="00A12B2A">
        <w:t xml:space="preserve"> branch line interval) necessary for the gear model. To avoid discarding these otherwise valid records, a hierarchical imputation method was employed, consistent with the approach of previous analyses. The dataset was first separated into "complete" records (with gear data) and "incomplete" records (without</w:t>
      </w:r>
      <w:r w:rsidR="00027732">
        <w:rPr>
          <w:rFonts w:hint="eastAsia"/>
        </w:rPr>
        <w:t xml:space="preserve"> </w:t>
      </w:r>
      <w:r w:rsidR="00027732" w:rsidRPr="00A12B2A">
        <w:t>gear data</w:t>
      </w:r>
      <w:r w:rsidRPr="00A12B2A">
        <w:t xml:space="preserve">). A series of lookup tables were then constructed from the "complete" </w:t>
      </w:r>
      <w:r w:rsidR="003E1FF1">
        <w:rPr>
          <w:rFonts w:hint="eastAsia"/>
        </w:rPr>
        <w:t>records</w:t>
      </w:r>
      <w:r w:rsidRPr="00A12B2A">
        <w:t xml:space="preserve">, containing the average gear parameters for strata defined at progressively broader levels of temporal, spatial, and operational resolution. Each "incomplete" record was then matched against this hierarchy, from most specific to most general, </w:t>
      </w:r>
      <w:r w:rsidRPr="00A12B2A">
        <w:lastRenderedPageBreak/>
        <w:t xml:space="preserve">and assigned the corresponding average gear parameters from the first matching stratum. This process allowed for the robust retention of </w:t>
      </w:r>
      <w:r w:rsidR="00FE1766">
        <w:t>≈65%</w:t>
      </w:r>
      <w:r w:rsidRPr="00A12B2A">
        <w:t xml:space="preserve"> </w:t>
      </w:r>
      <w:r w:rsidR="00FE1766">
        <w:t xml:space="preserve">of </w:t>
      </w:r>
      <w:r w:rsidRPr="00A12B2A">
        <w:t>fishing sets that would have otherwise been excluded from the analysis</w:t>
      </w:r>
      <w:r w:rsidR="00FE1766">
        <w:t xml:space="preserve"> due to missing gear data</w:t>
      </w:r>
      <w:r w:rsidRPr="00A12B2A">
        <w:t>.</w:t>
      </w:r>
    </w:p>
    <w:p w14:paraId="075D87D1" w14:textId="16FDF570" w:rsidR="00701242" w:rsidRDefault="00701242" w:rsidP="00701242">
      <w:pPr>
        <w:pStyle w:val="Heading2"/>
      </w:pPr>
      <w:r w:rsidRPr="00701242">
        <w:t>Environmental Data</w:t>
      </w:r>
    </w:p>
    <w:p w14:paraId="6B645254" w14:textId="75FDC183" w:rsidR="00701242" w:rsidRDefault="007C47C0" w:rsidP="00701242">
      <w:r w:rsidRPr="007C47C0">
        <w:t>The environmental data required by the habitat model were sourced from the Copernicus Marine Service global ocean physics reanalysis product (</w:t>
      </w:r>
      <w:r w:rsidRPr="007C47C0">
        <w:rPr>
          <w:rFonts w:ascii="Courier New" w:hAnsi="Courier New" w:cs="Courier New"/>
        </w:rPr>
        <w:t>GLOBAL_MULTIYEAR_PHY_001_030</w:t>
      </w:r>
      <w:r w:rsidRPr="007C47C0">
        <w:t>). Two variables were extracted for the Pacific Ocean (40°N-40°S, 105°E-70°W) for the period from January 1994 to December 2024: monthly mean Mixed Layer Depth (</w:t>
      </w:r>
      <w:proofErr w:type="spellStart"/>
      <w:r w:rsidRPr="007C47C0">
        <w:rPr>
          <w:rFonts w:ascii="Courier New" w:hAnsi="Courier New" w:cs="Courier New"/>
        </w:rPr>
        <w:t>mlotst</w:t>
      </w:r>
      <w:proofErr w:type="spellEnd"/>
      <w:r w:rsidRPr="007C47C0">
        <w:t>), defined by the density criterion, and monthly mean Potential Temperature (</w:t>
      </w:r>
      <w:proofErr w:type="spellStart"/>
      <w:r w:rsidRPr="007C47C0">
        <w:rPr>
          <w:rFonts w:ascii="Courier New" w:hAnsi="Courier New" w:cs="Courier New"/>
        </w:rPr>
        <w:t>thetao</w:t>
      </w:r>
      <w:proofErr w:type="spellEnd"/>
      <w:r w:rsidRPr="007C47C0">
        <w:t>) for all available depth layers down to 500 meters. The native high-resolution data (≈0.083°) were spatially aggregated by averaging to a 1x1 degree grid to match the resolution of the processed fishery data. This resulted in two final environmental datasets: a 3D data array for MLD (time, latitude, longitude) and a 4D data array for potential temperature (time, depth, latitude, longitude).</w:t>
      </w:r>
    </w:p>
    <w:p w14:paraId="4295D624" w14:textId="2FED5868" w:rsidR="007C47C0" w:rsidRDefault="007C47C0" w:rsidP="007C47C0">
      <w:pPr>
        <w:pStyle w:val="Heading2"/>
      </w:pPr>
      <w:r w:rsidRPr="007C47C0">
        <w:t>Habitat-Based Standardization Model</w:t>
      </w:r>
    </w:p>
    <w:p w14:paraId="282DCCAC" w14:textId="344D0778" w:rsidR="007C47C0" w:rsidRDefault="007C47C0" w:rsidP="007C47C0">
      <w:r w:rsidRPr="007C47C0">
        <w:t>The CPUE was standardized using a three-step habitat model. This approach standardizes fishing effort by explicitly calculating the overlap between the vertical distribution of the fishing gear and the preferred vertical habitat of Pacific blue marlin.</w:t>
      </w:r>
    </w:p>
    <w:p w14:paraId="300A5A34" w14:textId="7A3F19F5" w:rsidR="007C47C0" w:rsidRDefault="000F347C" w:rsidP="007C47C0">
      <w:r w:rsidRPr="000F347C">
        <w:t>First, the vertical distribution of hooks in the water column for each operational stratum was estimated using a catenary curve model (Suzuki et al., 1977</w:t>
      </w:r>
      <w:r>
        <w:t xml:space="preserve">; </w:t>
      </w:r>
      <w:r w:rsidRPr="000F347C">
        <w:t xml:space="preserve">Yoshihara, 1951). The depth of each individual hook within a basket of gear was calculated based on the recorded gear parameters: float line length, branch line length, branch line interval, and the </w:t>
      </w:r>
      <w:r w:rsidR="0096470E">
        <w:rPr>
          <w:rFonts w:hint="eastAsia"/>
        </w:rPr>
        <w:t xml:space="preserve">HBF </w:t>
      </w:r>
      <w:r w:rsidRPr="000F347C">
        <w:t xml:space="preserve">number. These individual hook depths were then binned into a standardized vertical grid (5-meter intervals from 0 to </w:t>
      </w:r>
      <w:r>
        <w:t>500</w:t>
      </w:r>
      <w:r w:rsidRPr="000F347C">
        <w:t xml:space="preserve"> meters) to produce a final gear profile representing the proportion of a stratum's fishing effort at each depth.</w:t>
      </w:r>
    </w:p>
    <w:p w14:paraId="59482834" w14:textId="3D16AA69" w:rsidR="00113831" w:rsidRDefault="00113831" w:rsidP="007C47C0">
      <w:r w:rsidRPr="00113831">
        <w:t>Second, the vertical habitat suitability for blue marlin was calculated for each stratum. This was based on the species' known preference for specific temperatures relative to the ambient mixed layer temperature, as determined by acoustic telemetry studies (Hinton and Nakano, 1996). For each stratum, the temperature at the mixed layer depth (MLD) was first identified. Using the corresponding subsurface potential temperature profile, the depths of the isotherms representing temperatures from 1°C to 8°C cooler than the MLD temperature were then calculated via linear interpolation. The proportion of the blue marlin population expected to be at each of these temperature-defined depths was then mapped onto the same standardized vertical grid used for the gear model, resulting in a habitat suitability profile for each stratum.</w:t>
      </w:r>
    </w:p>
    <w:p w14:paraId="10ECEAE5" w14:textId="0C51A3B7" w:rsidR="00113831" w:rsidRDefault="00E96329" w:rsidP="007C47C0">
      <w:r w:rsidRPr="00E96329">
        <w:t xml:space="preserve">Finally, the standardized CPUE for each stratum was calculated by quantifying the overlap between the gear and habitat profiles. For each stratum, a dimensionless Habitat Overlap Index was computed </w:t>
      </w:r>
      <w:r w:rsidRPr="00E96329">
        <w:lastRenderedPageBreak/>
        <w:t>as the dot product of the gear profile vector (the proportion of hooks at each depth) and the habitat suitability profile vector (the proportion of fish at each depth). This index, ranging from 0 to 1, represents the fraction of total fishing effort that was deployed in suitable habitat. The nominal fishing effort (total hooks) for the stratum was then multiplied by this index to calculate the "effective effort." The final standardized CPUE for the stratum was then computed as the total catch of blue marlin divided by this effective effort.</w:t>
      </w:r>
    </w:p>
    <w:p w14:paraId="2767ACA5" w14:textId="43F2C90C" w:rsidR="00E96329" w:rsidRDefault="00E96329" w:rsidP="00E96329">
      <w:pPr>
        <w:pStyle w:val="Heading2"/>
      </w:pPr>
      <w:r w:rsidRPr="00E96329">
        <w:t>Annual Index Calculation and Uncertainty</w:t>
      </w:r>
    </w:p>
    <w:p w14:paraId="42793EFF" w14:textId="6496F3A6" w:rsidR="00E96329" w:rsidRDefault="00E96329" w:rsidP="00E96329">
      <w:r w:rsidRPr="00E96329">
        <w:t>The final annual relative abundance index was derived from the full set of stratum-specific standardized CPUE values. For each year, a single index value was calculated as the area-weighted mean of the standardized CPUEs from all strata within that year. The weight applied to each stratum was the physical surface area (in km²) of its 1x1 degree latitude band. This weighting procedure is essential to account for the geometric convergence of meridians at higher latitudes, ensuring that strata in larger equatorial grid cells have a proportionally greater influence on the final index than those in smaller, higher-latitude cells.</w:t>
      </w:r>
    </w:p>
    <w:p w14:paraId="6CA50763" w14:textId="5BAE3F5D" w:rsidR="00E96329" w:rsidRPr="00E96329" w:rsidRDefault="00E96329" w:rsidP="00E96329">
      <w:r w:rsidRPr="00E96329">
        <w:t>Uncertainty for the annual index was quantified using a non-parametric bootstrap procedure. A total of 1,000 bootstrap datasets were generated by resampling the complete set of strata with replacement. For each of these datasets, the full area-weighted annual index time series was re-calculated. The final 95% confidence intervals for each year were then derived from the resulting distribution of 1,000 annual index estimates by taking the 2.5th and 97.5th percentiles. The coefficient of variation (CV) for each year was also calculated from this distribution.</w:t>
      </w:r>
    </w:p>
    <w:p w14:paraId="1FCAAD6D" w14:textId="70EAE1AF" w:rsidR="00CD5C6E" w:rsidRDefault="00CD5C6E" w:rsidP="00AF0DB5">
      <w:pPr>
        <w:pStyle w:val="Heading1"/>
      </w:pPr>
      <w:r>
        <w:t>Results</w:t>
      </w:r>
    </w:p>
    <w:p w14:paraId="579520C3" w14:textId="5C9A4711" w:rsidR="006D4C43" w:rsidRDefault="006D4C43" w:rsidP="00D0276F">
      <w:pPr>
        <w:rPr>
          <w:rFonts w:cs="Calibri"/>
        </w:rPr>
      </w:pPr>
      <w:r w:rsidRPr="006D4C43">
        <w:rPr>
          <w:rFonts w:cs="Calibri"/>
        </w:rPr>
        <w:t>The final processed dataset used for the analysis consisted of 1</w:t>
      </w:r>
      <w:r>
        <w:rPr>
          <w:rFonts w:cs="Calibri"/>
        </w:rPr>
        <w:t>,</w:t>
      </w:r>
      <w:r w:rsidRPr="006D4C43">
        <w:rPr>
          <w:rFonts w:cs="Calibri"/>
        </w:rPr>
        <w:t>721</w:t>
      </w:r>
      <w:r>
        <w:rPr>
          <w:rFonts w:cs="Calibri"/>
        </w:rPr>
        <w:t>,</w:t>
      </w:r>
      <w:r w:rsidRPr="006D4C43">
        <w:rPr>
          <w:rFonts w:cs="Calibri"/>
        </w:rPr>
        <w:t>727</w:t>
      </w:r>
      <w:r>
        <w:rPr>
          <w:rFonts w:cs="Calibri"/>
        </w:rPr>
        <w:t xml:space="preserve"> </w:t>
      </w:r>
      <w:r w:rsidRPr="006D4C43">
        <w:rPr>
          <w:rFonts w:cs="Calibri"/>
        </w:rPr>
        <w:t>individual longline sets from the period 1994-2024, after applying all filtering and imputation procedures</w:t>
      </w:r>
      <w:r w:rsidR="00EF440E">
        <w:rPr>
          <w:rFonts w:cs="Calibri" w:hint="eastAsia"/>
        </w:rPr>
        <w:t xml:space="preserve"> (</w:t>
      </w:r>
      <w:r w:rsidR="00EF440E">
        <w:rPr>
          <w:rFonts w:cs="Calibri" w:hint="eastAsia"/>
        </w:rPr>
        <w:t>≈</w:t>
      </w:r>
      <w:r w:rsidR="00EF440E">
        <w:rPr>
          <w:rFonts w:cs="Calibri" w:hint="eastAsia"/>
        </w:rPr>
        <w:t>92% of filtered but unimputed sets)</w:t>
      </w:r>
      <w:r w:rsidRPr="006D4C43">
        <w:rPr>
          <w:rFonts w:cs="Calibri"/>
        </w:rPr>
        <w:t>. The overall spatial distribution of fishing effort is presented in </w:t>
      </w:r>
      <w:r w:rsidRPr="006D4C43">
        <w:rPr>
          <w:rFonts w:cs="Calibri"/>
          <w:b/>
          <w:bCs/>
        </w:rPr>
        <w:t>Figure 1</w:t>
      </w:r>
      <w:r w:rsidRPr="006D4C43">
        <w:rPr>
          <w:rFonts w:cs="Calibri"/>
        </w:rPr>
        <w:t>. Effort was concentrated across the tropical and subtropical latitudes of the Western and Central Pacific Ocean, with significant activity extending eastward along the equator and into the South Pacific. Temporal trends in total annual fishing effort and the corresponding catch of blue marlin are shown in </w:t>
      </w:r>
      <w:r w:rsidRPr="006D4C43">
        <w:rPr>
          <w:rFonts w:cs="Calibri"/>
          <w:b/>
          <w:bCs/>
        </w:rPr>
        <w:t>Figure 2</w:t>
      </w:r>
      <w:r w:rsidRPr="006D4C43">
        <w:rPr>
          <w:rFonts w:cs="Calibri"/>
        </w:rPr>
        <w:t xml:space="preserve">. Nominal fishing effort, measured in total hooks, was highest in the mid-1990s and exhibited a consistent declining trend throughout the time series. Total catch of blue marlin also showed a general decline over the period, albeit with </w:t>
      </w:r>
      <w:r w:rsidR="00BA52C7">
        <w:rPr>
          <w:rFonts w:cs="Calibri" w:hint="eastAsia"/>
        </w:rPr>
        <w:t>some</w:t>
      </w:r>
      <w:r w:rsidRPr="006D4C43">
        <w:rPr>
          <w:rFonts w:cs="Calibri"/>
        </w:rPr>
        <w:t xml:space="preserve"> inter-annual variability.</w:t>
      </w:r>
    </w:p>
    <w:p w14:paraId="6AC73054" w14:textId="3479B42C" w:rsidR="006D4C43" w:rsidRDefault="00BC1288" w:rsidP="00D0276F">
      <w:pPr>
        <w:rPr>
          <w:rFonts w:cs="Calibri"/>
        </w:rPr>
      </w:pPr>
      <w:r w:rsidRPr="00BC1288">
        <w:rPr>
          <w:rFonts w:cs="Calibri"/>
        </w:rPr>
        <w:t>The standardized</w:t>
      </w:r>
      <w:r w:rsidR="00EF440E">
        <w:rPr>
          <w:rFonts w:cs="Calibri" w:hint="eastAsia"/>
        </w:rPr>
        <w:t xml:space="preserve"> and normalized </w:t>
      </w:r>
      <w:r w:rsidR="00EF440E">
        <w:rPr>
          <w:rFonts w:cs="Calibri"/>
        </w:rPr>
        <w:t>(mean=1.0)</w:t>
      </w:r>
      <w:r>
        <w:rPr>
          <w:rFonts w:cs="Calibri"/>
        </w:rPr>
        <w:t xml:space="preserve"> </w:t>
      </w:r>
      <w:r w:rsidRPr="00BC1288">
        <w:rPr>
          <w:rFonts w:cs="Calibri"/>
        </w:rPr>
        <w:t>annual abundance index for Pacific blue marlin, derived from the habitat model, is presented in </w:t>
      </w:r>
      <w:r w:rsidRPr="00BC1288">
        <w:rPr>
          <w:rFonts w:cs="Calibri"/>
          <w:b/>
          <w:bCs/>
        </w:rPr>
        <w:t>Figure 3</w:t>
      </w:r>
      <w:r w:rsidRPr="00BC1288">
        <w:rPr>
          <w:rFonts w:cs="Calibri"/>
        </w:rPr>
        <w:t> (solid blue line</w:t>
      </w:r>
      <w:r w:rsidR="00491456">
        <w:rPr>
          <w:rFonts w:cs="Calibri" w:hint="eastAsia"/>
        </w:rPr>
        <w:t xml:space="preserve">; also see </w:t>
      </w:r>
      <w:r w:rsidR="00491456" w:rsidRPr="00491456">
        <w:rPr>
          <w:rFonts w:cs="Calibri" w:hint="eastAsia"/>
          <w:b/>
          <w:bCs/>
        </w:rPr>
        <w:t>Table 1</w:t>
      </w:r>
      <w:r w:rsidRPr="00BC1288">
        <w:rPr>
          <w:rFonts w:cs="Calibri"/>
        </w:rPr>
        <w:t xml:space="preserve">). The index begins at a high point in the mid-1990s (e.g., 1.55 in 1995) before declining sharply to a low of 0.75 in 1997. </w:t>
      </w:r>
      <w:r w:rsidRPr="00BC1288">
        <w:rPr>
          <w:rFonts w:cs="Calibri"/>
        </w:rPr>
        <w:lastRenderedPageBreak/>
        <w:t>It then fluctuates without a strong trend for over a decade, with notable peaks in 1998 (1.</w:t>
      </w:r>
      <w:r w:rsidR="00766474" w:rsidRPr="00BC1288">
        <w:rPr>
          <w:rFonts w:cs="Calibri" w:hint="eastAsia"/>
        </w:rPr>
        <w:t>09</w:t>
      </w:r>
      <w:r w:rsidRPr="00BC1288">
        <w:rPr>
          <w:rFonts w:cs="Calibri"/>
        </w:rPr>
        <w:t>)</w:t>
      </w:r>
      <w:r w:rsidR="00263097">
        <w:rPr>
          <w:rFonts w:cs="Calibri" w:hint="eastAsia"/>
        </w:rPr>
        <w:t xml:space="preserve"> and</w:t>
      </w:r>
      <w:r w:rsidR="004D15C7">
        <w:rPr>
          <w:rFonts w:cs="Calibri" w:hint="eastAsia"/>
        </w:rPr>
        <w:t xml:space="preserve"> </w:t>
      </w:r>
      <w:r w:rsidRPr="00BC1288">
        <w:rPr>
          <w:rFonts w:cs="Calibri"/>
        </w:rPr>
        <w:t>2010 (1.2</w:t>
      </w:r>
      <w:r w:rsidR="00766474" w:rsidRPr="00BC1288">
        <w:rPr>
          <w:rFonts w:cs="Calibri" w:hint="eastAsia"/>
        </w:rPr>
        <w:t>7</w:t>
      </w:r>
      <w:r w:rsidRPr="00BC1288">
        <w:rPr>
          <w:rFonts w:cs="Calibri"/>
        </w:rPr>
        <w:t>)</w:t>
      </w:r>
      <w:r w:rsidR="004D15C7">
        <w:rPr>
          <w:rFonts w:cs="Calibri" w:hint="eastAsia"/>
        </w:rPr>
        <w:t>,</w:t>
      </w:r>
      <w:r w:rsidRPr="00BC1288">
        <w:rPr>
          <w:rFonts w:cs="Calibri"/>
        </w:rPr>
        <w:t xml:space="preserve"> and </w:t>
      </w:r>
      <w:r w:rsidR="00263097">
        <w:rPr>
          <w:rFonts w:cs="Calibri" w:hint="eastAsia"/>
        </w:rPr>
        <w:t xml:space="preserve">a </w:t>
      </w:r>
      <w:r w:rsidRPr="00BC1288">
        <w:rPr>
          <w:rFonts w:cs="Calibri"/>
        </w:rPr>
        <w:t>trough in 2002 (0.74</w:t>
      </w:r>
      <w:proofErr w:type="gramStart"/>
      <w:r w:rsidRPr="00BC1288">
        <w:rPr>
          <w:rFonts w:cs="Calibri"/>
        </w:rPr>
        <w:t>)</w:t>
      </w:r>
      <w:r w:rsidR="00263097">
        <w:rPr>
          <w:rStyle w:val="CommentReference"/>
        </w:rPr>
        <w:t xml:space="preserve"> </w:t>
      </w:r>
      <w:r w:rsidRPr="00BC1288">
        <w:rPr>
          <w:rFonts w:cs="Calibri"/>
        </w:rPr>
        <w:t>.</w:t>
      </w:r>
      <w:proofErr w:type="gramEnd"/>
      <w:r w:rsidRPr="00BC1288">
        <w:rPr>
          <w:rFonts w:cs="Calibri"/>
        </w:rPr>
        <w:t xml:space="preserve"> The last decade of the time series is characterized by high variability, with a low point in 202</w:t>
      </w:r>
      <w:r w:rsidR="00263097">
        <w:rPr>
          <w:rFonts w:cs="Calibri" w:hint="eastAsia"/>
        </w:rPr>
        <w:t>1</w:t>
      </w:r>
      <w:r w:rsidRPr="00BC1288">
        <w:rPr>
          <w:rFonts w:cs="Calibri"/>
        </w:rPr>
        <w:t xml:space="preserve"> (0.</w:t>
      </w:r>
      <w:r w:rsidR="00263097">
        <w:rPr>
          <w:rFonts w:cs="Calibri" w:hint="eastAsia"/>
        </w:rPr>
        <w:t>79</w:t>
      </w:r>
      <w:r w:rsidRPr="00BC1288">
        <w:rPr>
          <w:rFonts w:cs="Calibri"/>
        </w:rPr>
        <w:t>) followed by a sharp increase to 1.5</w:t>
      </w:r>
      <w:r w:rsidR="00766474" w:rsidRPr="00BC1288">
        <w:rPr>
          <w:rFonts w:cs="Calibri" w:hint="eastAsia"/>
        </w:rPr>
        <w:t>2</w:t>
      </w:r>
      <w:r w:rsidRPr="00BC1288">
        <w:rPr>
          <w:rFonts w:cs="Calibri"/>
        </w:rPr>
        <w:t xml:space="preserve"> in 2024, </w:t>
      </w:r>
      <w:r w:rsidR="00627391">
        <w:rPr>
          <w:rFonts w:cs="Calibri" w:hint="eastAsia"/>
        </w:rPr>
        <w:t>the second</w:t>
      </w:r>
      <w:r>
        <w:rPr>
          <w:rFonts w:cs="Calibri"/>
        </w:rPr>
        <w:t xml:space="preserve"> </w:t>
      </w:r>
      <w:r w:rsidRPr="00BC1288">
        <w:rPr>
          <w:rFonts w:cs="Calibri"/>
        </w:rPr>
        <w:t xml:space="preserve">highest value in the entire series. The uncertainty, as indicated by the 95% confidence intervals (shaded ribbon), is relatively consistent. The mean annual coefficient of variation (CV) </w:t>
      </w:r>
      <w:r w:rsidR="00D9478A">
        <w:rPr>
          <w:rFonts w:cs="Calibri" w:hint="eastAsia"/>
        </w:rPr>
        <w:t xml:space="preserve">from 1992-2024 </w:t>
      </w:r>
      <w:r w:rsidRPr="00BC1288">
        <w:rPr>
          <w:rFonts w:cs="Calibri"/>
        </w:rPr>
        <w:t xml:space="preserve">is approximately 0.06 </w:t>
      </w:r>
      <w:r w:rsidR="00D9478A">
        <w:rPr>
          <w:rFonts w:cs="Calibri" w:hint="eastAsia"/>
        </w:rPr>
        <w:t>with</w:t>
      </w:r>
      <w:r w:rsidRPr="00BC1288">
        <w:rPr>
          <w:rFonts w:cs="Calibri"/>
        </w:rPr>
        <w:t xml:space="preserve"> </w:t>
      </w:r>
      <w:r w:rsidR="00D9478A">
        <w:rPr>
          <w:rFonts w:cs="Calibri" w:hint="eastAsia"/>
        </w:rPr>
        <w:t xml:space="preserve">a </w:t>
      </w:r>
      <w:r w:rsidRPr="00BC1288">
        <w:rPr>
          <w:rFonts w:cs="Calibri"/>
        </w:rPr>
        <w:t xml:space="preserve">slight </w:t>
      </w:r>
      <w:r w:rsidR="00D9478A">
        <w:rPr>
          <w:rFonts w:cs="Calibri" w:hint="eastAsia"/>
        </w:rPr>
        <w:t>increase</w:t>
      </w:r>
      <w:r w:rsidRPr="00BC1288">
        <w:rPr>
          <w:rFonts w:cs="Calibri"/>
        </w:rPr>
        <w:t xml:space="preserve"> in recent years.</w:t>
      </w:r>
    </w:p>
    <w:p w14:paraId="4516852A" w14:textId="677B75CB" w:rsidR="00BC1288" w:rsidRDefault="00BC1288" w:rsidP="00BC1288">
      <w:pPr>
        <w:pStyle w:val="Heading1"/>
      </w:pPr>
      <w:r>
        <w:t>Discussion &amp; Conclusions</w:t>
      </w:r>
    </w:p>
    <w:p w14:paraId="130261B5" w14:textId="20E7B855" w:rsidR="00BC1288" w:rsidRDefault="00876B8A" w:rsidP="00D0276F">
      <w:pPr>
        <w:rPr>
          <w:rFonts w:cs="Calibri"/>
        </w:rPr>
      </w:pPr>
      <w:r w:rsidRPr="00876B8A">
        <w:rPr>
          <w:rFonts w:cs="Calibri"/>
        </w:rPr>
        <w:t>In this study, an updated standardized abundance index for Pacific blue marlin was successfully developed for the period 1994-2024 using a habitat model applied to Japanese longline fishery data.</w:t>
      </w:r>
      <w:r>
        <w:rPr>
          <w:rFonts w:cs="Calibri"/>
        </w:rPr>
        <w:t xml:space="preserve"> </w:t>
      </w:r>
      <w:r w:rsidRPr="00876B8A">
        <w:rPr>
          <w:rFonts w:cs="Calibri"/>
        </w:rPr>
        <w:t xml:space="preserve">The analysis produced a robust time series of relative abundance, complete with uncertainty estimates derived from a comprehensive bootstrap analysis. </w:t>
      </w:r>
      <w:r>
        <w:rPr>
          <w:rFonts w:cs="Calibri"/>
        </w:rPr>
        <w:t>T</w:t>
      </w:r>
      <w:r w:rsidRPr="00876B8A">
        <w:rPr>
          <w:rFonts w:cs="Calibri"/>
        </w:rPr>
        <w:t xml:space="preserve">he updated index </w:t>
      </w:r>
      <w:r>
        <w:rPr>
          <w:rFonts w:cs="Calibri"/>
        </w:rPr>
        <w:t>is</w:t>
      </w:r>
      <w:r w:rsidRPr="00876B8A">
        <w:rPr>
          <w:rFonts w:cs="Calibri"/>
        </w:rPr>
        <w:t xml:space="preserve"> broadly consistent with the historical index used in the 2016 stock assessment</w:t>
      </w:r>
      <w:r w:rsidR="00D9478A">
        <w:rPr>
          <w:rFonts w:cs="Calibri" w:hint="eastAsia"/>
        </w:rPr>
        <w:t xml:space="preserve"> (Kai et al., 2016)</w:t>
      </w:r>
      <w:r w:rsidRPr="00876B8A">
        <w:rPr>
          <w:rFonts w:cs="Calibri"/>
        </w:rPr>
        <w:t xml:space="preserve">, </w:t>
      </w:r>
      <w:r>
        <w:rPr>
          <w:rFonts w:cs="Calibri"/>
        </w:rPr>
        <w:t>strengthening the confidence in</w:t>
      </w:r>
      <w:r w:rsidRPr="00876B8A">
        <w:rPr>
          <w:rFonts w:cs="Calibri"/>
        </w:rPr>
        <w:t xml:space="preserve"> the methodological approach. </w:t>
      </w:r>
      <w:r>
        <w:rPr>
          <w:rFonts w:cs="Calibri"/>
        </w:rPr>
        <w:t>There</w:t>
      </w:r>
      <w:r w:rsidRPr="00876B8A">
        <w:rPr>
          <w:rFonts w:cs="Calibri"/>
        </w:rPr>
        <w:t xml:space="preserve"> is the notable divergence between the standardized index and the nominal CPUE trend, particularly in recent years. This divergence underscores the importance of the standardization process, which accounts for temporal changes in fishing practices and environmental conditions that can otherwise mask the true population signal.</w:t>
      </w:r>
    </w:p>
    <w:p w14:paraId="6888E096" w14:textId="756C2B79" w:rsidR="00013F7C" w:rsidRDefault="00013F7C" w:rsidP="00D0276F">
      <w:pPr>
        <w:rPr>
          <w:rFonts w:cs="Calibri"/>
        </w:rPr>
      </w:pPr>
      <w:r w:rsidRPr="00013F7C">
        <w:rPr>
          <w:rFonts w:cs="Calibri"/>
        </w:rPr>
        <w:t xml:space="preserve">The final standardized index presents a dynamic history of the stock's relative abundance. A key feature is the initial decline from the high levels observed in the mid-1990s to a lower, more stable state by the early 2000s. For the subsequent two decades, the index appears relatively stable, fluctuating without a strong directional trend. This period of relative stability culminates in a sharp increase in the terminal year of the analysis (2024), which represents </w:t>
      </w:r>
      <w:r>
        <w:rPr>
          <w:rFonts w:cs="Calibri"/>
        </w:rPr>
        <w:t xml:space="preserve">one of </w:t>
      </w:r>
      <w:r w:rsidRPr="00013F7C">
        <w:rPr>
          <w:rFonts w:cs="Calibri"/>
        </w:rPr>
        <w:t>the highest point</w:t>
      </w:r>
      <w:r>
        <w:rPr>
          <w:rFonts w:cs="Calibri"/>
        </w:rPr>
        <w:t>s</w:t>
      </w:r>
      <w:r w:rsidRPr="00013F7C">
        <w:rPr>
          <w:rFonts w:cs="Calibri"/>
        </w:rPr>
        <w:t xml:space="preserve"> in the</w:t>
      </w:r>
      <w:r>
        <w:rPr>
          <w:rFonts w:cs="Calibri"/>
        </w:rPr>
        <w:t xml:space="preserve"> </w:t>
      </w:r>
      <w:r w:rsidRPr="00013F7C">
        <w:rPr>
          <w:rFonts w:cs="Calibri"/>
        </w:rPr>
        <w:t xml:space="preserve">time series. </w:t>
      </w:r>
      <w:r>
        <w:rPr>
          <w:rFonts w:cs="Calibri"/>
        </w:rPr>
        <w:t>T</w:t>
      </w:r>
      <w:r w:rsidRPr="00013F7C">
        <w:rPr>
          <w:rFonts w:cs="Calibri"/>
        </w:rPr>
        <w:t>his recent data point should be interpreted with caution</w:t>
      </w:r>
      <w:r>
        <w:rPr>
          <w:rFonts w:cs="Calibri"/>
        </w:rPr>
        <w:t>, however</w:t>
      </w:r>
      <w:r w:rsidR="00EF7694">
        <w:rPr>
          <w:rFonts w:cs="Calibri"/>
        </w:rPr>
        <w:t>;</w:t>
      </w:r>
      <w:r>
        <w:rPr>
          <w:rFonts w:cs="Calibri"/>
        </w:rPr>
        <w:t xml:space="preserve"> </w:t>
      </w:r>
      <w:r w:rsidR="00EF7694">
        <w:rPr>
          <w:rFonts w:cs="Calibri"/>
        </w:rPr>
        <w:t>t</w:t>
      </w:r>
      <w:r w:rsidRPr="00013F7C">
        <w:rPr>
          <w:rFonts w:cs="Calibri"/>
        </w:rPr>
        <w:t>he uncertainty is slightly higher in the most recent years, and data for the terminal year are often subject to minor revisions as logbooks are finalized.</w:t>
      </w:r>
    </w:p>
    <w:p w14:paraId="2453452D" w14:textId="6F20D0B4" w:rsidR="003E7E50" w:rsidRDefault="003E7E50" w:rsidP="00D0276F">
      <w:pPr>
        <w:rPr>
          <w:rFonts w:cs="Calibri"/>
        </w:rPr>
      </w:pPr>
      <w:r w:rsidRPr="003E7E50">
        <w:rPr>
          <w:rFonts w:cs="Calibri"/>
        </w:rPr>
        <w:t xml:space="preserve">A </w:t>
      </w:r>
      <w:r>
        <w:rPr>
          <w:rFonts w:cs="Calibri"/>
        </w:rPr>
        <w:t>distinct</w:t>
      </w:r>
      <w:r w:rsidRPr="003E7E50">
        <w:rPr>
          <w:rFonts w:cs="Calibri"/>
        </w:rPr>
        <w:t xml:space="preserve"> methodological component of this analysis was the robust handling of missing operational data. A significant portion of the raw logbook records (≈36%) were missing one or more essential gear parameters required by the habitat model. Rather than excluding this substantial fraction of the available data, a hierarchical imputation model was employed. This approach allowed for the successful retention of approximately 65% of these otherwise incomplete records by inferring their gear characteristics from similar, complete fishing sets. The inclusion of these data </w:t>
      </w:r>
      <w:r>
        <w:rPr>
          <w:rFonts w:cs="Calibri"/>
        </w:rPr>
        <w:t>maximized</w:t>
      </w:r>
      <w:r w:rsidRPr="003E7E50">
        <w:rPr>
          <w:rFonts w:cs="Calibri"/>
        </w:rPr>
        <w:t xml:space="preserve"> the spatial and temporal coverage of the analysis, leading to a final index that is more representative of the full scope of the fishery's operations.</w:t>
      </w:r>
    </w:p>
    <w:p w14:paraId="345DB333" w14:textId="2F2917D4" w:rsidR="00EF7694" w:rsidRDefault="00FA66F3" w:rsidP="00D0276F">
      <w:pPr>
        <w:rPr>
          <w:rFonts w:cs="Calibri"/>
        </w:rPr>
      </w:pPr>
      <w:r w:rsidRPr="00FA66F3">
        <w:rPr>
          <w:rFonts w:cs="Calibri"/>
        </w:rPr>
        <w:t xml:space="preserve">The standardized abundance index presented in this paper is </w:t>
      </w:r>
      <w:r>
        <w:rPr>
          <w:rFonts w:cs="Calibri"/>
        </w:rPr>
        <w:t>designed to be</w:t>
      </w:r>
      <w:r w:rsidRPr="00FA66F3">
        <w:rPr>
          <w:rFonts w:cs="Calibri"/>
        </w:rPr>
        <w:t xml:space="preserve"> a </w:t>
      </w:r>
      <w:r>
        <w:rPr>
          <w:rFonts w:cs="Calibri"/>
        </w:rPr>
        <w:t xml:space="preserve">scientifically </w:t>
      </w:r>
      <w:r w:rsidRPr="00FA66F3">
        <w:rPr>
          <w:rFonts w:cs="Calibri"/>
        </w:rPr>
        <w:t>robust</w:t>
      </w:r>
      <w:r>
        <w:rPr>
          <w:rFonts w:cs="Calibri"/>
        </w:rPr>
        <w:t xml:space="preserve"> </w:t>
      </w:r>
      <w:r w:rsidRPr="00FA66F3">
        <w:rPr>
          <w:rFonts w:cs="Calibri"/>
        </w:rPr>
        <w:lastRenderedPageBreak/>
        <w:t xml:space="preserve">measure of relative abundance for Pacific blue marlin. The index incorporates the most recent fishery and environmental data through 2024, accounts for temporal shifts in fishing strategy through the habitat model, and has been </w:t>
      </w:r>
      <w:r>
        <w:rPr>
          <w:rFonts w:cs="Calibri"/>
        </w:rPr>
        <w:t>evaluated</w:t>
      </w:r>
      <w:r w:rsidRPr="00FA66F3">
        <w:rPr>
          <w:rFonts w:cs="Calibri"/>
        </w:rPr>
        <w:t xml:space="preserve"> against the historical index used in previous assessments. </w:t>
      </w:r>
      <w:r>
        <w:rPr>
          <w:rFonts w:cs="Calibri"/>
        </w:rPr>
        <w:t xml:space="preserve">These features should make the index suitable </w:t>
      </w:r>
      <w:r w:rsidR="00BC5318">
        <w:rPr>
          <w:rFonts w:cs="Calibri"/>
        </w:rPr>
        <w:t xml:space="preserve">to serve </w:t>
      </w:r>
      <w:r>
        <w:rPr>
          <w:rFonts w:cs="Calibri"/>
        </w:rPr>
        <w:t>as one of</w:t>
      </w:r>
      <w:r w:rsidRPr="00FA66F3">
        <w:rPr>
          <w:rFonts w:cs="Calibri"/>
        </w:rPr>
        <w:t xml:space="preserve"> primary input</w:t>
      </w:r>
      <w:r>
        <w:rPr>
          <w:rFonts w:cs="Calibri"/>
        </w:rPr>
        <w:t>s</w:t>
      </w:r>
      <w:r w:rsidRPr="00FA66F3">
        <w:rPr>
          <w:rFonts w:cs="Calibri"/>
        </w:rPr>
        <w:t xml:space="preserve"> for the upcoming ISC stock assessment for Pacific blue marlin.</w:t>
      </w:r>
    </w:p>
    <w:p w14:paraId="23B30774" w14:textId="77777777" w:rsidR="00015075" w:rsidRDefault="00015075" w:rsidP="00AF0DB5">
      <w:pPr>
        <w:pStyle w:val="Heading1"/>
      </w:pPr>
      <w:r>
        <w:t>References</w:t>
      </w:r>
    </w:p>
    <w:p w14:paraId="3FBAF2BB" w14:textId="3B44007C" w:rsidR="00113831" w:rsidRDefault="00113831" w:rsidP="00DE4169">
      <w:pPr>
        <w:rPr>
          <w:b/>
          <w:bCs/>
        </w:rPr>
      </w:pPr>
      <w:r w:rsidRPr="00113831">
        <w:rPr>
          <w:b/>
          <w:bCs/>
        </w:rPr>
        <w:t>Hinton, M. G., and Nakano, H. 1996.</w:t>
      </w:r>
      <w:r w:rsidRPr="00113831">
        <w:t xml:space="preserve"> Standardizing catch and effort statistics using physiological, ecological, or behavioral constraints and environmental data, with an application to blue marlin (</w:t>
      </w:r>
      <w:r w:rsidRPr="00113831">
        <w:rPr>
          <w:i/>
          <w:iCs/>
        </w:rPr>
        <w:t>Makaira nigricans</w:t>
      </w:r>
      <w:r w:rsidRPr="00113831">
        <w:t>) catch and effort data from Japanese longline fisheries in the Pacific. </w:t>
      </w:r>
      <w:r w:rsidRPr="00113831">
        <w:rPr>
          <w:i/>
          <w:iCs/>
        </w:rPr>
        <w:t>Inter-American Tropical Tuna Commission Bulletin</w:t>
      </w:r>
      <w:r w:rsidRPr="00113831">
        <w:t>, 21(4): 171-200.</w:t>
      </w:r>
    </w:p>
    <w:p w14:paraId="7B78D23A" w14:textId="6BFC0E3C" w:rsidR="007A0438" w:rsidRDefault="007A0438" w:rsidP="00DE4169">
      <w:r w:rsidRPr="007A0438">
        <w:rPr>
          <w:b/>
          <w:bCs/>
        </w:rPr>
        <w:t>Ijima, H. 2020.</w:t>
      </w:r>
      <w:r w:rsidRPr="007A0438">
        <w:t> Update Japanese longline abundance index of Pacific blue marlin (</w:t>
      </w:r>
      <w:r w:rsidRPr="007A0438">
        <w:rPr>
          <w:i/>
          <w:iCs/>
        </w:rPr>
        <w:t>Makaira nigricans</w:t>
      </w:r>
      <w:r w:rsidRPr="007A0438">
        <w:t>) estimated by the habitat model. ISC Working Paper ISC/20/BILLWG-03/01 rev1.</w:t>
      </w:r>
    </w:p>
    <w:p w14:paraId="3902A3E4" w14:textId="6CF2BB46" w:rsidR="00DE4169" w:rsidRDefault="00DE4169" w:rsidP="00DE4169">
      <w:r w:rsidRPr="00DE4169">
        <w:rPr>
          <w:b/>
          <w:bCs/>
        </w:rPr>
        <w:t>ISC 2021.</w:t>
      </w:r>
      <w:r>
        <w:t xml:space="preserve"> S</w:t>
      </w:r>
      <w:r w:rsidRPr="00DE4169">
        <w:t xml:space="preserve">tock assessment </w:t>
      </w:r>
      <w:r>
        <w:t xml:space="preserve">report </w:t>
      </w:r>
      <w:r w:rsidRPr="00DE4169">
        <w:t>for the Pacific blue marlin (</w:t>
      </w:r>
      <w:r w:rsidRPr="00DE4169">
        <w:rPr>
          <w:i/>
          <w:iCs/>
        </w:rPr>
        <w:t>Makaira nigricans</w:t>
      </w:r>
      <w:r w:rsidRPr="00DE4169">
        <w:t xml:space="preserve">) </w:t>
      </w:r>
      <w:r>
        <w:t>through 2019. ISC/21/ANNEX/10.</w:t>
      </w:r>
    </w:p>
    <w:p w14:paraId="0E49CBC7" w14:textId="5F1219E0" w:rsidR="00DE4169" w:rsidRDefault="00DE4169" w:rsidP="00DE4169">
      <w:r w:rsidRPr="00DE4169">
        <w:rPr>
          <w:b/>
          <w:bCs/>
        </w:rPr>
        <w:t>Kai, M., Okamoto, H., Shiozaki, K., and Hinton, M. 2016.</w:t>
      </w:r>
      <w:r w:rsidRPr="00DE4169">
        <w:t> Update of Japanese longline CPUE for Blue Marlin </w:t>
      </w:r>
      <w:r w:rsidRPr="00DE4169">
        <w:rPr>
          <w:i/>
          <w:iCs/>
        </w:rPr>
        <w:t>Makaira nigricans</w:t>
      </w:r>
      <w:r w:rsidRPr="00DE4169">
        <w:t> in the Pacific Ocean standardized applying habitat model. ISC Working Paper ISC/16/BILLFISHWG-1/06.</w:t>
      </w:r>
    </w:p>
    <w:p w14:paraId="4AC2A23C" w14:textId="6C11810B" w:rsidR="000F347C" w:rsidRDefault="000F347C" w:rsidP="00DE4169">
      <w:r w:rsidRPr="000F347C">
        <w:rPr>
          <w:b/>
          <w:bCs/>
        </w:rPr>
        <w:t xml:space="preserve">Suzuki, Z., </w:t>
      </w:r>
      <w:proofErr w:type="spellStart"/>
      <w:r w:rsidRPr="000F347C">
        <w:rPr>
          <w:b/>
          <w:bCs/>
        </w:rPr>
        <w:t>Warashina</w:t>
      </w:r>
      <w:proofErr w:type="spellEnd"/>
      <w:r w:rsidRPr="000F347C">
        <w:rPr>
          <w:b/>
          <w:bCs/>
        </w:rPr>
        <w:t>, Y., and Kishida, M. 1977.</w:t>
      </w:r>
      <w:r w:rsidRPr="000F347C">
        <w:t> The comparison of catches by regular and deep tuna longline gears in the western and central equatorial Pacific. </w:t>
      </w:r>
      <w:r w:rsidRPr="000F347C">
        <w:rPr>
          <w:i/>
          <w:iCs/>
        </w:rPr>
        <w:t>Bulletin of the Far Seas Fisheries Research Laboratory</w:t>
      </w:r>
      <w:r w:rsidRPr="000F347C">
        <w:t>, 15: 51-89.</w:t>
      </w:r>
    </w:p>
    <w:p w14:paraId="2C3851E0" w14:textId="2C8A41F6" w:rsidR="000F347C" w:rsidRDefault="000F347C" w:rsidP="00DE4169">
      <w:r w:rsidRPr="000F347C">
        <w:rPr>
          <w:b/>
          <w:bCs/>
        </w:rPr>
        <w:t>Yoshihara, T. 1951.</w:t>
      </w:r>
      <w:r w:rsidRPr="000F347C">
        <w:t> Distribution of fishes caught by the long line. II. Vertical distribution. </w:t>
      </w:r>
      <w:r w:rsidRPr="000F347C">
        <w:rPr>
          <w:i/>
          <w:iCs/>
        </w:rPr>
        <w:t>Bulletin of the Japanese Society of Scientific Fisheries</w:t>
      </w:r>
      <w:r w:rsidRPr="000F347C">
        <w:t>, 16(8): 370-374.</w:t>
      </w:r>
    </w:p>
    <w:p w14:paraId="3325C165" w14:textId="77777777" w:rsidR="000F347C" w:rsidRDefault="000F347C" w:rsidP="00DE4169"/>
    <w:p w14:paraId="2B4F2B49" w14:textId="58A0A8AB" w:rsidR="00DE4169" w:rsidRPr="00DE4169" w:rsidRDefault="00DE4169" w:rsidP="00DE4169"/>
    <w:p w14:paraId="42CFA27D" w14:textId="77777777" w:rsidR="00015075" w:rsidRDefault="00015075">
      <w:pPr>
        <w:widowControl/>
        <w:jc w:val="left"/>
        <w:rPr>
          <w:rFonts w:ascii="Arial" w:hAnsi="Arial" w:cs="Arial"/>
        </w:rPr>
      </w:pPr>
      <w:r>
        <w:rPr>
          <w:rFonts w:ascii="Arial" w:hAnsi="Arial" w:cs="Arial"/>
        </w:rPr>
        <w:br w:type="page"/>
      </w:r>
    </w:p>
    <w:p w14:paraId="63B34AB1" w14:textId="77777777" w:rsidR="00277888" w:rsidRDefault="00015075" w:rsidP="00AF0DB5">
      <w:pPr>
        <w:pStyle w:val="Heading1"/>
      </w:pPr>
      <w:r w:rsidRPr="00AF0DB5">
        <w:lastRenderedPageBreak/>
        <w:t>Tables</w:t>
      </w:r>
    </w:p>
    <w:p w14:paraId="03A1DD31" w14:textId="14F6D612" w:rsidR="00277888" w:rsidRPr="00277888" w:rsidRDefault="00277888" w:rsidP="00277888">
      <w:r w:rsidRPr="00277888">
        <w:rPr>
          <w:b/>
          <w:bCs/>
        </w:rPr>
        <w:t>Table 1.</w:t>
      </w:r>
      <w:r>
        <w:t xml:space="preserve"> </w:t>
      </w:r>
      <w:r w:rsidR="00C818B4">
        <w:t>Time series of n</w:t>
      </w:r>
      <w:r>
        <w:t xml:space="preserve">ominal and standardized CPUEs, </w:t>
      </w:r>
      <w:r w:rsidR="00C818B4">
        <w:t xml:space="preserve">the </w:t>
      </w:r>
      <w:r>
        <w:t>95% confidence interval</w:t>
      </w:r>
      <w:r w:rsidR="00C818B4">
        <w:t xml:space="preserve"> (CI)</w:t>
      </w:r>
      <w:r>
        <w:t>, the coefficient of variation</w:t>
      </w:r>
      <w:r w:rsidR="00C818B4">
        <w:t xml:space="preserve"> (CV)</w:t>
      </w:r>
      <w:r w:rsidR="00217A9A">
        <w:rPr>
          <w:rFonts w:hint="eastAsia"/>
        </w:rPr>
        <w:t>, and the standardized &amp; normalized (mean=1.0) CPUE.</w:t>
      </w:r>
    </w:p>
    <w:tbl>
      <w:tblPr>
        <w:tblStyle w:val="PlainTable5"/>
        <w:tblW w:w="8647" w:type="dxa"/>
        <w:tblLayout w:type="fixed"/>
        <w:tblLook w:val="04A0" w:firstRow="1" w:lastRow="0" w:firstColumn="1" w:lastColumn="0" w:noHBand="0" w:noVBand="1"/>
      </w:tblPr>
      <w:tblGrid>
        <w:gridCol w:w="765"/>
        <w:gridCol w:w="1203"/>
        <w:gridCol w:w="1540"/>
        <w:gridCol w:w="1200"/>
        <w:gridCol w:w="1200"/>
        <w:gridCol w:w="1200"/>
        <w:gridCol w:w="1539"/>
      </w:tblGrid>
      <w:tr w:rsidR="0068168F" w:rsidRPr="00277888" w14:paraId="6242A5D9" w14:textId="1A8196A6" w:rsidTr="00217A9A">
        <w:trPr>
          <w:cnfStyle w:val="100000000000" w:firstRow="1" w:lastRow="0" w:firstColumn="0" w:lastColumn="0" w:oddVBand="0" w:evenVBand="0" w:oddHBand="0" w:evenHBand="0" w:firstRowFirstColumn="0" w:firstRowLastColumn="0" w:lastRowFirstColumn="0" w:lastRowLastColumn="0"/>
          <w:trHeight w:hRule="exact" w:val="719"/>
        </w:trPr>
        <w:tc>
          <w:tcPr>
            <w:cnfStyle w:val="001000000100" w:firstRow="0" w:lastRow="0" w:firstColumn="1" w:lastColumn="0" w:oddVBand="0" w:evenVBand="0" w:oddHBand="0" w:evenHBand="0" w:firstRowFirstColumn="1" w:firstRowLastColumn="0" w:lastRowFirstColumn="0" w:lastRowLastColumn="0"/>
            <w:tcW w:w="765" w:type="dxa"/>
            <w:hideMark/>
          </w:tcPr>
          <w:p w14:paraId="13911144" w14:textId="76F3F371" w:rsidR="0068168F" w:rsidRPr="00277888" w:rsidRDefault="0068168F" w:rsidP="00277888">
            <w:pPr>
              <w:widowControl/>
              <w:spacing w:after="0"/>
              <w:jc w:val="center"/>
              <w:rPr>
                <w:rFonts w:ascii="Arial" w:eastAsia="Times New Roman" w:hAnsi="Arial" w:cs="Arial"/>
                <w:kern w:val="0"/>
                <w:sz w:val="20"/>
                <w:szCs w:val="20"/>
              </w:rPr>
            </w:pPr>
            <w:r>
              <w:rPr>
                <w:rFonts w:ascii="Arial" w:eastAsia="Times New Roman" w:hAnsi="Arial" w:cs="Arial"/>
                <w:kern w:val="0"/>
                <w:sz w:val="20"/>
                <w:szCs w:val="20"/>
              </w:rPr>
              <w:br/>
            </w:r>
            <w:r w:rsidRPr="00277888">
              <w:rPr>
                <w:rFonts w:ascii="Arial" w:eastAsia="Times New Roman" w:hAnsi="Arial" w:cs="Arial"/>
                <w:kern w:val="0"/>
                <w:sz w:val="20"/>
                <w:szCs w:val="20"/>
              </w:rPr>
              <w:t>Year</w:t>
            </w:r>
          </w:p>
        </w:tc>
        <w:tc>
          <w:tcPr>
            <w:tcW w:w="1203" w:type="dxa"/>
            <w:hideMark/>
          </w:tcPr>
          <w:p w14:paraId="3F500E7B" w14:textId="61B14BD1" w:rsidR="0068168F" w:rsidRPr="00277888" w:rsidRDefault="0068168F" w:rsidP="002778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Nominal</w:t>
            </w:r>
            <w:r>
              <w:rPr>
                <w:rFonts w:ascii="Arial" w:eastAsia="Times New Roman" w:hAnsi="Arial" w:cs="Arial"/>
                <w:kern w:val="0"/>
                <w:sz w:val="20"/>
                <w:szCs w:val="20"/>
              </w:rPr>
              <w:br/>
            </w:r>
            <w:r w:rsidRPr="00277888">
              <w:rPr>
                <w:rFonts w:ascii="Arial" w:eastAsia="Times New Roman" w:hAnsi="Arial" w:cs="Arial"/>
                <w:kern w:val="0"/>
                <w:sz w:val="20"/>
                <w:szCs w:val="20"/>
              </w:rPr>
              <w:t>CPUE</w:t>
            </w:r>
          </w:p>
        </w:tc>
        <w:tc>
          <w:tcPr>
            <w:tcW w:w="1540" w:type="dxa"/>
            <w:hideMark/>
          </w:tcPr>
          <w:p w14:paraId="7D486809" w14:textId="7AA927A9" w:rsidR="0068168F" w:rsidRPr="00277888" w:rsidRDefault="0068168F" w:rsidP="002778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Standardized</w:t>
            </w:r>
            <w:r>
              <w:rPr>
                <w:rFonts w:ascii="Arial" w:eastAsia="Times New Roman" w:hAnsi="Arial" w:cs="Arial"/>
                <w:kern w:val="0"/>
                <w:sz w:val="20"/>
                <w:szCs w:val="20"/>
              </w:rPr>
              <w:br/>
            </w:r>
            <w:r w:rsidRPr="00277888">
              <w:rPr>
                <w:rFonts w:ascii="Arial" w:eastAsia="Times New Roman" w:hAnsi="Arial" w:cs="Arial"/>
                <w:kern w:val="0"/>
                <w:sz w:val="20"/>
                <w:szCs w:val="20"/>
              </w:rPr>
              <w:t>CPUE</w:t>
            </w:r>
          </w:p>
        </w:tc>
        <w:tc>
          <w:tcPr>
            <w:tcW w:w="1200" w:type="dxa"/>
            <w:hideMark/>
          </w:tcPr>
          <w:p w14:paraId="5DCC1BED" w14:textId="71E5865C" w:rsidR="0068168F" w:rsidRPr="00277888" w:rsidRDefault="0068168F" w:rsidP="002778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Lower CI</w:t>
            </w:r>
            <w:r>
              <w:rPr>
                <w:rFonts w:ascii="Arial" w:eastAsia="Times New Roman" w:hAnsi="Arial" w:cs="Arial"/>
                <w:kern w:val="0"/>
                <w:sz w:val="20"/>
                <w:szCs w:val="20"/>
              </w:rPr>
              <w:br/>
            </w:r>
            <w:r w:rsidRPr="00277888">
              <w:rPr>
                <w:rFonts w:ascii="Arial" w:eastAsia="Times New Roman" w:hAnsi="Arial" w:cs="Arial"/>
                <w:kern w:val="0"/>
                <w:sz w:val="20"/>
                <w:szCs w:val="20"/>
              </w:rPr>
              <w:t>Bound</w:t>
            </w:r>
          </w:p>
        </w:tc>
        <w:tc>
          <w:tcPr>
            <w:tcW w:w="1200" w:type="dxa"/>
            <w:hideMark/>
          </w:tcPr>
          <w:p w14:paraId="7A583A45" w14:textId="49052502" w:rsidR="0068168F" w:rsidRPr="00277888" w:rsidRDefault="0068168F" w:rsidP="002778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Upper CI</w:t>
            </w:r>
            <w:r>
              <w:rPr>
                <w:rFonts w:ascii="Arial" w:eastAsia="Times New Roman" w:hAnsi="Arial" w:cs="Arial"/>
                <w:kern w:val="0"/>
                <w:sz w:val="20"/>
                <w:szCs w:val="20"/>
              </w:rPr>
              <w:br/>
            </w:r>
            <w:r w:rsidRPr="00277888">
              <w:rPr>
                <w:rFonts w:ascii="Arial" w:eastAsia="Times New Roman" w:hAnsi="Arial" w:cs="Arial"/>
                <w:kern w:val="0"/>
                <w:sz w:val="20"/>
                <w:szCs w:val="20"/>
              </w:rPr>
              <w:t>Bound</w:t>
            </w:r>
          </w:p>
        </w:tc>
        <w:tc>
          <w:tcPr>
            <w:tcW w:w="1200" w:type="dxa"/>
            <w:hideMark/>
          </w:tcPr>
          <w:p w14:paraId="25C06DD7" w14:textId="07CF22DA" w:rsidR="0068168F" w:rsidRPr="00277888" w:rsidRDefault="0068168F" w:rsidP="002778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eastAsia="Times New Roman" w:hAnsi="Arial" w:cs="Arial"/>
                <w:kern w:val="0"/>
                <w:sz w:val="20"/>
                <w:szCs w:val="20"/>
              </w:rPr>
              <w:br/>
            </w:r>
            <w:r w:rsidRPr="00277888">
              <w:rPr>
                <w:rFonts w:ascii="Arial" w:eastAsia="Times New Roman" w:hAnsi="Arial" w:cs="Arial"/>
                <w:kern w:val="0"/>
                <w:sz w:val="20"/>
                <w:szCs w:val="20"/>
              </w:rPr>
              <w:t>CV</w:t>
            </w:r>
          </w:p>
        </w:tc>
        <w:tc>
          <w:tcPr>
            <w:tcW w:w="1539" w:type="dxa"/>
          </w:tcPr>
          <w:p w14:paraId="787D20EA" w14:textId="1996ABB4" w:rsidR="0068168F" w:rsidRPr="00277888" w:rsidRDefault="0068168F" w:rsidP="00277888">
            <w:pPr>
              <w:widowControl/>
              <w:spacing w:after="0"/>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rial" w:eastAsia="Times New Roman" w:hAnsi="Arial" w:cs="Arial" w:hint="eastAsia"/>
                <w:kern w:val="0"/>
                <w:sz w:val="20"/>
                <w:szCs w:val="20"/>
              </w:rPr>
              <w:t xml:space="preserve">Standardized &amp; </w:t>
            </w:r>
            <w:proofErr w:type="gramStart"/>
            <w:r>
              <w:rPr>
                <w:rFonts w:ascii="Arial" w:eastAsia="Times New Roman" w:hAnsi="Arial" w:cs="Arial" w:hint="eastAsia"/>
                <w:kern w:val="0"/>
                <w:sz w:val="20"/>
                <w:szCs w:val="20"/>
              </w:rPr>
              <w:t>Normalized</w:t>
            </w:r>
            <w:proofErr w:type="gramEnd"/>
          </w:p>
        </w:tc>
      </w:tr>
      <w:tr w:rsidR="00217A9A" w:rsidRPr="00277888" w14:paraId="4704B23A" w14:textId="73649D34"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31E16062"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1994</w:t>
            </w:r>
          </w:p>
        </w:tc>
        <w:tc>
          <w:tcPr>
            <w:tcW w:w="1203" w:type="dxa"/>
            <w:hideMark/>
          </w:tcPr>
          <w:p w14:paraId="2E3B4E51"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0.4450</w:t>
            </w:r>
          </w:p>
        </w:tc>
        <w:tc>
          <w:tcPr>
            <w:tcW w:w="1540" w:type="dxa"/>
            <w:hideMark/>
          </w:tcPr>
          <w:p w14:paraId="3438548A"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1.2776</w:t>
            </w:r>
          </w:p>
        </w:tc>
        <w:tc>
          <w:tcPr>
            <w:tcW w:w="1200" w:type="dxa"/>
            <w:hideMark/>
          </w:tcPr>
          <w:p w14:paraId="7010072C"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1.1546</w:t>
            </w:r>
          </w:p>
        </w:tc>
        <w:tc>
          <w:tcPr>
            <w:tcW w:w="1200" w:type="dxa"/>
            <w:hideMark/>
          </w:tcPr>
          <w:p w14:paraId="31F02968"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1.4042</w:t>
            </w:r>
          </w:p>
        </w:tc>
        <w:tc>
          <w:tcPr>
            <w:tcW w:w="1200" w:type="dxa"/>
            <w:hideMark/>
          </w:tcPr>
          <w:p w14:paraId="65714F86"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0.0500</w:t>
            </w:r>
          </w:p>
        </w:tc>
        <w:tc>
          <w:tcPr>
            <w:tcW w:w="1539" w:type="dxa"/>
            <w:tcBorders>
              <w:top w:val="nil"/>
              <w:left w:val="nil"/>
              <w:bottom w:val="nil"/>
              <w:right w:val="nil"/>
            </w:tcBorders>
            <w:vAlign w:val="bottom"/>
          </w:tcPr>
          <w:p w14:paraId="75EFB8D1" w14:textId="32B488A6"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1.4121</w:t>
            </w:r>
          </w:p>
        </w:tc>
      </w:tr>
      <w:tr w:rsidR="00217A9A" w:rsidRPr="00277888" w14:paraId="0D511A2C" w14:textId="08921D8B"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1A364027"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1995</w:t>
            </w:r>
          </w:p>
        </w:tc>
        <w:tc>
          <w:tcPr>
            <w:tcW w:w="1203" w:type="dxa"/>
            <w:hideMark/>
          </w:tcPr>
          <w:p w14:paraId="2E47CCEB"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0.4629</w:t>
            </w:r>
          </w:p>
        </w:tc>
        <w:tc>
          <w:tcPr>
            <w:tcW w:w="1540" w:type="dxa"/>
            <w:hideMark/>
          </w:tcPr>
          <w:p w14:paraId="138D286B"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1.4016</w:t>
            </w:r>
          </w:p>
        </w:tc>
        <w:tc>
          <w:tcPr>
            <w:tcW w:w="1200" w:type="dxa"/>
            <w:hideMark/>
          </w:tcPr>
          <w:p w14:paraId="29544A91"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1.2964</w:t>
            </w:r>
          </w:p>
        </w:tc>
        <w:tc>
          <w:tcPr>
            <w:tcW w:w="1200" w:type="dxa"/>
            <w:hideMark/>
          </w:tcPr>
          <w:p w14:paraId="21BD7146"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1.5174</w:t>
            </w:r>
          </w:p>
        </w:tc>
        <w:tc>
          <w:tcPr>
            <w:tcW w:w="1200" w:type="dxa"/>
            <w:hideMark/>
          </w:tcPr>
          <w:p w14:paraId="7BAF40AD"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0.0387</w:t>
            </w:r>
          </w:p>
        </w:tc>
        <w:tc>
          <w:tcPr>
            <w:tcW w:w="1539" w:type="dxa"/>
            <w:tcBorders>
              <w:top w:val="nil"/>
              <w:left w:val="nil"/>
              <w:bottom w:val="nil"/>
              <w:right w:val="nil"/>
            </w:tcBorders>
            <w:vAlign w:val="bottom"/>
          </w:tcPr>
          <w:p w14:paraId="68841B76" w14:textId="52EB1B66"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1.5491</w:t>
            </w:r>
          </w:p>
        </w:tc>
      </w:tr>
      <w:tr w:rsidR="00217A9A" w:rsidRPr="00277888" w14:paraId="1B74EC87" w14:textId="2F1E6006"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7B65BE0E"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1996</w:t>
            </w:r>
          </w:p>
        </w:tc>
        <w:tc>
          <w:tcPr>
            <w:tcW w:w="1203" w:type="dxa"/>
            <w:hideMark/>
          </w:tcPr>
          <w:p w14:paraId="09392882"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0.2863</w:t>
            </w:r>
          </w:p>
        </w:tc>
        <w:tc>
          <w:tcPr>
            <w:tcW w:w="1540" w:type="dxa"/>
            <w:hideMark/>
          </w:tcPr>
          <w:p w14:paraId="70D3BBCB"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1.0269</w:t>
            </w:r>
          </w:p>
        </w:tc>
        <w:tc>
          <w:tcPr>
            <w:tcW w:w="1200" w:type="dxa"/>
            <w:hideMark/>
          </w:tcPr>
          <w:p w14:paraId="05D86046"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0.9349</w:t>
            </w:r>
          </w:p>
        </w:tc>
        <w:tc>
          <w:tcPr>
            <w:tcW w:w="1200" w:type="dxa"/>
            <w:hideMark/>
          </w:tcPr>
          <w:p w14:paraId="58F204EA"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1.1278</w:t>
            </w:r>
          </w:p>
        </w:tc>
        <w:tc>
          <w:tcPr>
            <w:tcW w:w="1200" w:type="dxa"/>
            <w:hideMark/>
          </w:tcPr>
          <w:p w14:paraId="57B37AA5"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0.0484</w:t>
            </w:r>
          </w:p>
        </w:tc>
        <w:tc>
          <w:tcPr>
            <w:tcW w:w="1539" w:type="dxa"/>
            <w:tcBorders>
              <w:top w:val="nil"/>
              <w:left w:val="nil"/>
              <w:bottom w:val="nil"/>
              <w:right w:val="nil"/>
            </w:tcBorders>
            <w:vAlign w:val="bottom"/>
          </w:tcPr>
          <w:p w14:paraId="3B569E12" w14:textId="208702C1"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1.1350</w:t>
            </w:r>
          </w:p>
        </w:tc>
      </w:tr>
      <w:tr w:rsidR="00217A9A" w:rsidRPr="00277888" w14:paraId="03936144" w14:textId="04FAF4DB"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6FA2AFB0"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1997</w:t>
            </w:r>
          </w:p>
        </w:tc>
        <w:tc>
          <w:tcPr>
            <w:tcW w:w="1203" w:type="dxa"/>
            <w:hideMark/>
          </w:tcPr>
          <w:p w14:paraId="4F3AD910"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0.3815</w:t>
            </w:r>
          </w:p>
        </w:tc>
        <w:tc>
          <w:tcPr>
            <w:tcW w:w="1540" w:type="dxa"/>
            <w:hideMark/>
          </w:tcPr>
          <w:p w14:paraId="1FA62AD5"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0.6808</w:t>
            </w:r>
          </w:p>
        </w:tc>
        <w:tc>
          <w:tcPr>
            <w:tcW w:w="1200" w:type="dxa"/>
            <w:hideMark/>
          </w:tcPr>
          <w:p w14:paraId="44C5F60F"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0.6024</w:t>
            </w:r>
          </w:p>
        </w:tc>
        <w:tc>
          <w:tcPr>
            <w:tcW w:w="1200" w:type="dxa"/>
            <w:hideMark/>
          </w:tcPr>
          <w:p w14:paraId="797D7EA1"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0.7693</w:t>
            </w:r>
          </w:p>
        </w:tc>
        <w:tc>
          <w:tcPr>
            <w:tcW w:w="1200" w:type="dxa"/>
            <w:hideMark/>
          </w:tcPr>
          <w:p w14:paraId="5E6FD6E1"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0.0627</w:t>
            </w:r>
          </w:p>
        </w:tc>
        <w:tc>
          <w:tcPr>
            <w:tcW w:w="1539" w:type="dxa"/>
            <w:tcBorders>
              <w:top w:val="nil"/>
              <w:left w:val="nil"/>
              <w:bottom w:val="nil"/>
              <w:right w:val="nil"/>
            </w:tcBorders>
            <w:vAlign w:val="bottom"/>
          </w:tcPr>
          <w:p w14:paraId="2A9020A5" w14:textId="768172C3"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0.7525</w:t>
            </w:r>
          </w:p>
        </w:tc>
      </w:tr>
      <w:tr w:rsidR="00217A9A" w:rsidRPr="00277888" w14:paraId="4B07CA66" w14:textId="76411E6C"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480713EB"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1998</w:t>
            </w:r>
          </w:p>
        </w:tc>
        <w:tc>
          <w:tcPr>
            <w:tcW w:w="1203" w:type="dxa"/>
            <w:hideMark/>
          </w:tcPr>
          <w:p w14:paraId="5293EA46"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0.3638</w:t>
            </w:r>
          </w:p>
        </w:tc>
        <w:tc>
          <w:tcPr>
            <w:tcW w:w="1540" w:type="dxa"/>
            <w:hideMark/>
          </w:tcPr>
          <w:p w14:paraId="0F8F5959"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0.9887</w:t>
            </w:r>
          </w:p>
        </w:tc>
        <w:tc>
          <w:tcPr>
            <w:tcW w:w="1200" w:type="dxa"/>
            <w:hideMark/>
          </w:tcPr>
          <w:p w14:paraId="09635D9D"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0.9160</w:t>
            </w:r>
          </w:p>
        </w:tc>
        <w:tc>
          <w:tcPr>
            <w:tcW w:w="1200" w:type="dxa"/>
            <w:hideMark/>
          </w:tcPr>
          <w:p w14:paraId="440AFEF1"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1.0647</w:t>
            </w:r>
          </w:p>
        </w:tc>
        <w:tc>
          <w:tcPr>
            <w:tcW w:w="1200" w:type="dxa"/>
            <w:hideMark/>
          </w:tcPr>
          <w:p w14:paraId="74E33226"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0.0391</w:t>
            </w:r>
          </w:p>
        </w:tc>
        <w:tc>
          <w:tcPr>
            <w:tcW w:w="1539" w:type="dxa"/>
            <w:tcBorders>
              <w:top w:val="nil"/>
              <w:left w:val="nil"/>
              <w:bottom w:val="nil"/>
              <w:right w:val="nil"/>
            </w:tcBorders>
            <w:vAlign w:val="bottom"/>
          </w:tcPr>
          <w:p w14:paraId="3B391630" w14:textId="5F1C9C12"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1.0928</w:t>
            </w:r>
          </w:p>
        </w:tc>
      </w:tr>
      <w:tr w:rsidR="00217A9A" w:rsidRPr="00277888" w14:paraId="422B63EA" w14:textId="1814FA25"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04EC88CB"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1999</w:t>
            </w:r>
          </w:p>
        </w:tc>
        <w:tc>
          <w:tcPr>
            <w:tcW w:w="1203" w:type="dxa"/>
            <w:hideMark/>
          </w:tcPr>
          <w:p w14:paraId="01489024"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0.3347</w:t>
            </w:r>
          </w:p>
        </w:tc>
        <w:tc>
          <w:tcPr>
            <w:tcW w:w="1540" w:type="dxa"/>
            <w:hideMark/>
          </w:tcPr>
          <w:p w14:paraId="57CE77FD"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0.8815</w:t>
            </w:r>
          </w:p>
        </w:tc>
        <w:tc>
          <w:tcPr>
            <w:tcW w:w="1200" w:type="dxa"/>
            <w:hideMark/>
          </w:tcPr>
          <w:p w14:paraId="26DE069F"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0.8131</w:t>
            </w:r>
          </w:p>
        </w:tc>
        <w:tc>
          <w:tcPr>
            <w:tcW w:w="1200" w:type="dxa"/>
            <w:hideMark/>
          </w:tcPr>
          <w:p w14:paraId="2EB0BB4F"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0.9597</w:t>
            </w:r>
          </w:p>
        </w:tc>
        <w:tc>
          <w:tcPr>
            <w:tcW w:w="1200" w:type="dxa"/>
            <w:hideMark/>
          </w:tcPr>
          <w:p w14:paraId="4D0E8C5B"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0.0422</w:t>
            </w:r>
          </w:p>
        </w:tc>
        <w:tc>
          <w:tcPr>
            <w:tcW w:w="1539" w:type="dxa"/>
            <w:tcBorders>
              <w:top w:val="nil"/>
              <w:left w:val="nil"/>
              <w:bottom w:val="nil"/>
              <w:right w:val="nil"/>
            </w:tcBorders>
            <w:vAlign w:val="bottom"/>
          </w:tcPr>
          <w:p w14:paraId="77CD1496" w14:textId="679C5AD8"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0.9743</w:t>
            </w:r>
          </w:p>
        </w:tc>
      </w:tr>
      <w:tr w:rsidR="00217A9A" w:rsidRPr="00277888" w14:paraId="7C80780F" w14:textId="119BB2B6"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15A4CE38"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2000</w:t>
            </w:r>
          </w:p>
        </w:tc>
        <w:tc>
          <w:tcPr>
            <w:tcW w:w="1203" w:type="dxa"/>
            <w:hideMark/>
          </w:tcPr>
          <w:p w14:paraId="6E87F562"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0.3437</w:t>
            </w:r>
          </w:p>
        </w:tc>
        <w:tc>
          <w:tcPr>
            <w:tcW w:w="1540" w:type="dxa"/>
            <w:hideMark/>
          </w:tcPr>
          <w:p w14:paraId="70DDB5E5"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0.8262</w:t>
            </w:r>
          </w:p>
        </w:tc>
        <w:tc>
          <w:tcPr>
            <w:tcW w:w="1200" w:type="dxa"/>
            <w:hideMark/>
          </w:tcPr>
          <w:p w14:paraId="049817CB"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0.7563</w:t>
            </w:r>
          </w:p>
        </w:tc>
        <w:tc>
          <w:tcPr>
            <w:tcW w:w="1200" w:type="dxa"/>
            <w:hideMark/>
          </w:tcPr>
          <w:p w14:paraId="59D57520"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0.8930</w:t>
            </w:r>
          </w:p>
        </w:tc>
        <w:tc>
          <w:tcPr>
            <w:tcW w:w="1200" w:type="dxa"/>
            <w:hideMark/>
          </w:tcPr>
          <w:p w14:paraId="6CFB372C"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0.0434</w:t>
            </w:r>
          </w:p>
        </w:tc>
        <w:tc>
          <w:tcPr>
            <w:tcW w:w="1539" w:type="dxa"/>
            <w:tcBorders>
              <w:top w:val="nil"/>
              <w:left w:val="nil"/>
              <w:bottom w:val="nil"/>
              <w:right w:val="nil"/>
            </w:tcBorders>
            <w:vAlign w:val="bottom"/>
          </w:tcPr>
          <w:p w14:paraId="1D23991B" w14:textId="7455F76B"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0.9132</w:t>
            </w:r>
          </w:p>
        </w:tc>
      </w:tr>
      <w:tr w:rsidR="00217A9A" w:rsidRPr="00277888" w14:paraId="25388D51" w14:textId="79B561FE"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678AD900"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2001</w:t>
            </w:r>
          </w:p>
        </w:tc>
        <w:tc>
          <w:tcPr>
            <w:tcW w:w="1203" w:type="dxa"/>
            <w:hideMark/>
          </w:tcPr>
          <w:p w14:paraId="54B3B116"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0.3085</w:t>
            </w:r>
          </w:p>
        </w:tc>
        <w:tc>
          <w:tcPr>
            <w:tcW w:w="1540" w:type="dxa"/>
            <w:hideMark/>
          </w:tcPr>
          <w:p w14:paraId="0C9D7BE7"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0.7610</w:t>
            </w:r>
          </w:p>
        </w:tc>
        <w:tc>
          <w:tcPr>
            <w:tcW w:w="1200" w:type="dxa"/>
            <w:hideMark/>
          </w:tcPr>
          <w:p w14:paraId="10A6F768"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0.7006</w:t>
            </w:r>
          </w:p>
        </w:tc>
        <w:tc>
          <w:tcPr>
            <w:tcW w:w="1200" w:type="dxa"/>
            <w:hideMark/>
          </w:tcPr>
          <w:p w14:paraId="706E03E1"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0.8347</w:t>
            </w:r>
          </w:p>
        </w:tc>
        <w:tc>
          <w:tcPr>
            <w:tcW w:w="1200" w:type="dxa"/>
            <w:hideMark/>
          </w:tcPr>
          <w:p w14:paraId="4797CA4B"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0.0455</w:t>
            </w:r>
          </w:p>
        </w:tc>
        <w:tc>
          <w:tcPr>
            <w:tcW w:w="1539" w:type="dxa"/>
            <w:tcBorders>
              <w:top w:val="nil"/>
              <w:left w:val="nil"/>
              <w:bottom w:val="nil"/>
              <w:right w:val="nil"/>
            </w:tcBorders>
            <w:vAlign w:val="bottom"/>
          </w:tcPr>
          <w:p w14:paraId="3E7D4E86" w14:textId="2101B3BE"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0.8411</w:t>
            </w:r>
          </w:p>
        </w:tc>
      </w:tr>
      <w:tr w:rsidR="00217A9A" w:rsidRPr="00277888" w14:paraId="7EC19135" w14:textId="683A5141"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05922FC0"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2002</w:t>
            </w:r>
          </w:p>
        </w:tc>
        <w:tc>
          <w:tcPr>
            <w:tcW w:w="1203" w:type="dxa"/>
            <w:hideMark/>
          </w:tcPr>
          <w:p w14:paraId="543E8BA0"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0.2803</w:t>
            </w:r>
          </w:p>
        </w:tc>
        <w:tc>
          <w:tcPr>
            <w:tcW w:w="1540" w:type="dxa"/>
            <w:hideMark/>
          </w:tcPr>
          <w:p w14:paraId="7E7F5FC6"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0.6718</w:t>
            </w:r>
          </w:p>
        </w:tc>
        <w:tc>
          <w:tcPr>
            <w:tcW w:w="1200" w:type="dxa"/>
            <w:hideMark/>
          </w:tcPr>
          <w:p w14:paraId="778A2949"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0.5910</w:t>
            </w:r>
          </w:p>
        </w:tc>
        <w:tc>
          <w:tcPr>
            <w:tcW w:w="1200" w:type="dxa"/>
            <w:hideMark/>
          </w:tcPr>
          <w:p w14:paraId="0A5EC730"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0.7565</w:t>
            </w:r>
          </w:p>
        </w:tc>
        <w:tc>
          <w:tcPr>
            <w:tcW w:w="1200" w:type="dxa"/>
            <w:hideMark/>
          </w:tcPr>
          <w:p w14:paraId="710C450A"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0.0635</w:t>
            </w:r>
          </w:p>
        </w:tc>
        <w:tc>
          <w:tcPr>
            <w:tcW w:w="1539" w:type="dxa"/>
            <w:tcBorders>
              <w:top w:val="nil"/>
              <w:left w:val="nil"/>
              <w:bottom w:val="nil"/>
              <w:right w:val="nil"/>
            </w:tcBorders>
            <w:vAlign w:val="bottom"/>
          </w:tcPr>
          <w:p w14:paraId="204C1E01" w14:textId="59593AD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0.7425</w:t>
            </w:r>
          </w:p>
        </w:tc>
      </w:tr>
      <w:tr w:rsidR="00217A9A" w:rsidRPr="00277888" w14:paraId="6FAA34C7" w14:textId="2327DBB7"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62EC92C4"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2003</w:t>
            </w:r>
          </w:p>
        </w:tc>
        <w:tc>
          <w:tcPr>
            <w:tcW w:w="1203" w:type="dxa"/>
            <w:hideMark/>
          </w:tcPr>
          <w:p w14:paraId="28C7546D"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0.3119</w:t>
            </w:r>
          </w:p>
        </w:tc>
        <w:tc>
          <w:tcPr>
            <w:tcW w:w="1540" w:type="dxa"/>
            <w:hideMark/>
          </w:tcPr>
          <w:p w14:paraId="01FEB0AB"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0.6935</w:t>
            </w:r>
          </w:p>
        </w:tc>
        <w:tc>
          <w:tcPr>
            <w:tcW w:w="1200" w:type="dxa"/>
            <w:hideMark/>
          </w:tcPr>
          <w:p w14:paraId="22CC4626"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0.6266</w:t>
            </w:r>
          </w:p>
        </w:tc>
        <w:tc>
          <w:tcPr>
            <w:tcW w:w="1200" w:type="dxa"/>
            <w:hideMark/>
          </w:tcPr>
          <w:p w14:paraId="11ABD1DD"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0.7679</w:t>
            </w:r>
          </w:p>
        </w:tc>
        <w:tc>
          <w:tcPr>
            <w:tcW w:w="1200" w:type="dxa"/>
            <w:hideMark/>
          </w:tcPr>
          <w:p w14:paraId="079EBC4B"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0.0515</w:t>
            </w:r>
          </w:p>
        </w:tc>
        <w:tc>
          <w:tcPr>
            <w:tcW w:w="1539" w:type="dxa"/>
            <w:tcBorders>
              <w:top w:val="nil"/>
              <w:left w:val="nil"/>
              <w:bottom w:val="nil"/>
              <w:right w:val="nil"/>
            </w:tcBorders>
            <w:vAlign w:val="bottom"/>
          </w:tcPr>
          <w:p w14:paraId="4B24BCAB" w14:textId="4F333A7F"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0.7665</w:t>
            </w:r>
          </w:p>
        </w:tc>
      </w:tr>
      <w:tr w:rsidR="00217A9A" w:rsidRPr="00277888" w14:paraId="7E93CD60" w14:textId="5B66C702"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6FB7A496"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2004</w:t>
            </w:r>
          </w:p>
        </w:tc>
        <w:tc>
          <w:tcPr>
            <w:tcW w:w="1203" w:type="dxa"/>
            <w:hideMark/>
          </w:tcPr>
          <w:p w14:paraId="7331F6B7"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0.3371</w:t>
            </w:r>
          </w:p>
        </w:tc>
        <w:tc>
          <w:tcPr>
            <w:tcW w:w="1540" w:type="dxa"/>
            <w:hideMark/>
          </w:tcPr>
          <w:p w14:paraId="5ED2BDCB"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0.7143</w:t>
            </w:r>
          </w:p>
        </w:tc>
        <w:tc>
          <w:tcPr>
            <w:tcW w:w="1200" w:type="dxa"/>
            <w:hideMark/>
          </w:tcPr>
          <w:p w14:paraId="55C80390"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0.6282</w:t>
            </w:r>
          </w:p>
        </w:tc>
        <w:tc>
          <w:tcPr>
            <w:tcW w:w="1200" w:type="dxa"/>
            <w:hideMark/>
          </w:tcPr>
          <w:p w14:paraId="753D9DF3"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0.8007</w:t>
            </w:r>
          </w:p>
        </w:tc>
        <w:tc>
          <w:tcPr>
            <w:tcW w:w="1200" w:type="dxa"/>
            <w:hideMark/>
          </w:tcPr>
          <w:p w14:paraId="57E17008"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0.0618</w:t>
            </w:r>
          </w:p>
        </w:tc>
        <w:tc>
          <w:tcPr>
            <w:tcW w:w="1539" w:type="dxa"/>
            <w:tcBorders>
              <w:top w:val="nil"/>
              <w:left w:val="nil"/>
              <w:bottom w:val="nil"/>
              <w:right w:val="nil"/>
            </w:tcBorders>
            <w:vAlign w:val="bottom"/>
          </w:tcPr>
          <w:p w14:paraId="10ED7E3B" w14:textId="7B5805A8"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0.7895</w:t>
            </w:r>
          </w:p>
        </w:tc>
      </w:tr>
      <w:tr w:rsidR="00217A9A" w:rsidRPr="00277888" w14:paraId="67FE2F68" w14:textId="0210637F"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073AE05A"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2005</w:t>
            </w:r>
          </w:p>
        </w:tc>
        <w:tc>
          <w:tcPr>
            <w:tcW w:w="1203" w:type="dxa"/>
            <w:hideMark/>
          </w:tcPr>
          <w:p w14:paraId="78BD9590"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0.3396</w:t>
            </w:r>
          </w:p>
        </w:tc>
        <w:tc>
          <w:tcPr>
            <w:tcW w:w="1540" w:type="dxa"/>
            <w:hideMark/>
          </w:tcPr>
          <w:p w14:paraId="1C1FB059"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0.8837</w:t>
            </w:r>
          </w:p>
        </w:tc>
        <w:tc>
          <w:tcPr>
            <w:tcW w:w="1200" w:type="dxa"/>
            <w:hideMark/>
          </w:tcPr>
          <w:p w14:paraId="06BD03B4"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0.7814</w:t>
            </w:r>
          </w:p>
        </w:tc>
        <w:tc>
          <w:tcPr>
            <w:tcW w:w="1200" w:type="dxa"/>
            <w:hideMark/>
          </w:tcPr>
          <w:p w14:paraId="1C43BACD"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0.9865</w:t>
            </w:r>
          </w:p>
        </w:tc>
        <w:tc>
          <w:tcPr>
            <w:tcW w:w="1200" w:type="dxa"/>
            <w:hideMark/>
          </w:tcPr>
          <w:p w14:paraId="6D621CF7"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0.0604</w:t>
            </w:r>
          </w:p>
        </w:tc>
        <w:tc>
          <w:tcPr>
            <w:tcW w:w="1539" w:type="dxa"/>
            <w:tcBorders>
              <w:top w:val="nil"/>
              <w:left w:val="nil"/>
              <w:bottom w:val="nil"/>
              <w:right w:val="nil"/>
            </w:tcBorders>
            <w:vAlign w:val="bottom"/>
          </w:tcPr>
          <w:p w14:paraId="49C5AC3E" w14:textId="7ADDF0F8"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0.9767</w:t>
            </w:r>
          </w:p>
        </w:tc>
      </w:tr>
      <w:tr w:rsidR="00217A9A" w:rsidRPr="00277888" w14:paraId="03AA026D" w14:textId="3F6DADB4"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1D6D9667"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2006</w:t>
            </w:r>
          </w:p>
        </w:tc>
        <w:tc>
          <w:tcPr>
            <w:tcW w:w="1203" w:type="dxa"/>
            <w:hideMark/>
          </w:tcPr>
          <w:p w14:paraId="102FBD4B"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0.3007</w:t>
            </w:r>
          </w:p>
        </w:tc>
        <w:tc>
          <w:tcPr>
            <w:tcW w:w="1540" w:type="dxa"/>
            <w:hideMark/>
          </w:tcPr>
          <w:p w14:paraId="127DB1DA"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0.7210</w:t>
            </w:r>
          </w:p>
        </w:tc>
        <w:tc>
          <w:tcPr>
            <w:tcW w:w="1200" w:type="dxa"/>
            <w:hideMark/>
          </w:tcPr>
          <w:p w14:paraId="7B1CB63C"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0.6118</w:t>
            </w:r>
          </w:p>
        </w:tc>
        <w:tc>
          <w:tcPr>
            <w:tcW w:w="1200" w:type="dxa"/>
            <w:hideMark/>
          </w:tcPr>
          <w:p w14:paraId="178804ED"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0.8490</w:t>
            </w:r>
          </w:p>
        </w:tc>
        <w:tc>
          <w:tcPr>
            <w:tcW w:w="1200" w:type="dxa"/>
            <w:hideMark/>
          </w:tcPr>
          <w:p w14:paraId="5831A594"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0.0831</w:t>
            </w:r>
          </w:p>
        </w:tc>
        <w:tc>
          <w:tcPr>
            <w:tcW w:w="1539" w:type="dxa"/>
            <w:tcBorders>
              <w:top w:val="nil"/>
              <w:left w:val="nil"/>
              <w:bottom w:val="nil"/>
              <w:right w:val="nil"/>
            </w:tcBorders>
            <w:vAlign w:val="bottom"/>
          </w:tcPr>
          <w:p w14:paraId="6DADA170" w14:textId="2F724C83"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0.7969</w:t>
            </w:r>
          </w:p>
        </w:tc>
      </w:tr>
      <w:tr w:rsidR="00217A9A" w:rsidRPr="00277888" w14:paraId="241EE40D" w14:textId="391737BB"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2C2BB30A"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2007</w:t>
            </w:r>
          </w:p>
        </w:tc>
        <w:tc>
          <w:tcPr>
            <w:tcW w:w="1203" w:type="dxa"/>
            <w:hideMark/>
          </w:tcPr>
          <w:p w14:paraId="23805D41"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0.2812</w:t>
            </w:r>
          </w:p>
        </w:tc>
        <w:tc>
          <w:tcPr>
            <w:tcW w:w="1540" w:type="dxa"/>
            <w:hideMark/>
          </w:tcPr>
          <w:p w14:paraId="0E863931"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0.7596</w:t>
            </w:r>
          </w:p>
        </w:tc>
        <w:tc>
          <w:tcPr>
            <w:tcW w:w="1200" w:type="dxa"/>
            <w:hideMark/>
          </w:tcPr>
          <w:p w14:paraId="4E4CD794"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0.6653</w:t>
            </w:r>
          </w:p>
        </w:tc>
        <w:tc>
          <w:tcPr>
            <w:tcW w:w="1200" w:type="dxa"/>
            <w:hideMark/>
          </w:tcPr>
          <w:p w14:paraId="74F72D3E"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0.8646</w:t>
            </w:r>
          </w:p>
        </w:tc>
        <w:tc>
          <w:tcPr>
            <w:tcW w:w="1200" w:type="dxa"/>
            <w:hideMark/>
          </w:tcPr>
          <w:p w14:paraId="498F939E"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0.0678</w:t>
            </w:r>
          </w:p>
        </w:tc>
        <w:tc>
          <w:tcPr>
            <w:tcW w:w="1539" w:type="dxa"/>
            <w:tcBorders>
              <w:top w:val="nil"/>
              <w:left w:val="nil"/>
              <w:bottom w:val="nil"/>
              <w:right w:val="nil"/>
            </w:tcBorders>
            <w:vAlign w:val="bottom"/>
          </w:tcPr>
          <w:p w14:paraId="4AC1C618" w14:textId="4EEDFF2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0.8396</w:t>
            </w:r>
          </w:p>
        </w:tc>
      </w:tr>
      <w:tr w:rsidR="00217A9A" w:rsidRPr="00277888" w14:paraId="5F2AADF1" w14:textId="06D9534D"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501F7D6B"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2008</w:t>
            </w:r>
          </w:p>
        </w:tc>
        <w:tc>
          <w:tcPr>
            <w:tcW w:w="1203" w:type="dxa"/>
            <w:hideMark/>
          </w:tcPr>
          <w:p w14:paraId="631B62A3"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0.2833</w:t>
            </w:r>
          </w:p>
        </w:tc>
        <w:tc>
          <w:tcPr>
            <w:tcW w:w="1540" w:type="dxa"/>
            <w:hideMark/>
          </w:tcPr>
          <w:p w14:paraId="2CA3EF38"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0.8439</w:t>
            </w:r>
          </w:p>
        </w:tc>
        <w:tc>
          <w:tcPr>
            <w:tcW w:w="1200" w:type="dxa"/>
            <w:hideMark/>
          </w:tcPr>
          <w:p w14:paraId="281CEF51"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0.7480</w:t>
            </w:r>
          </w:p>
        </w:tc>
        <w:tc>
          <w:tcPr>
            <w:tcW w:w="1200" w:type="dxa"/>
            <w:hideMark/>
          </w:tcPr>
          <w:p w14:paraId="7915C433"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0.9555</w:t>
            </w:r>
          </w:p>
        </w:tc>
        <w:tc>
          <w:tcPr>
            <w:tcW w:w="1200" w:type="dxa"/>
            <w:hideMark/>
          </w:tcPr>
          <w:p w14:paraId="5314C732"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0.0617</w:t>
            </w:r>
          </w:p>
        </w:tc>
        <w:tc>
          <w:tcPr>
            <w:tcW w:w="1539" w:type="dxa"/>
            <w:tcBorders>
              <w:top w:val="nil"/>
              <w:left w:val="nil"/>
              <w:bottom w:val="nil"/>
              <w:right w:val="nil"/>
            </w:tcBorders>
            <w:vAlign w:val="bottom"/>
          </w:tcPr>
          <w:p w14:paraId="5A5D5683" w14:textId="1B625289"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0.9327</w:t>
            </w:r>
          </w:p>
        </w:tc>
      </w:tr>
      <w:tr w:rsidR="00217A9A" w:rsidRPr="00277888" w14:paraId="492D7A43" w14:textId="49CCB981"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035FDC28"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2009</w:t>
            </w:r>
          </w:p>
        </w:tc>
        <w:tc>
          <w:tcPr>
            <w:tcW w:w="1203" w:type="dxa"/>
            <w:hideMark/>
          </w:tcPr>
          <w:p w14:paraId="0F8DA9B3"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0.3017</w:t>
            </w:r>
          </w:p>
        </w:tc>
        <w:tc>
          <w:tcPr>
            <w:tcW w:w="1540" w:type="dxa"/>
            <w:hideMark/>
          </w:tcPr>
          <w:p w14:paraId="48B3F039"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0.7974</w:t>
            </w:r>
          </w:p>
        </w:tc>
        <w:tc>
          <w:tcPr>
            <w:tcW w:w="1200" w:type="dxa"/>
            <w:hideMark/>
          </w:tcPr>
          <w:p w14:paraId="3A139D63"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0.6925</w:t>
            </w:r>
          </w:p>
        </w:tc>
        <w:tc>
          <w:tcPr>
            <w:tcW w:w="1200" w:type="dxa"/>
            <w:hideMark/>
          </w:tcPr>
          <w:p w14:paraId="1D89C146"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0.9007</w:t>
            </w:r>
          </w:p>
        </w:tc>
        <w:tc>
          <w:tcPr>
            <w:tcW w:w="1200" w:type="dxa"/>
            <w:hideMark/>
          </w:tcPr>
          <w:p w14:paraId="48C859E5"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0.0660</w:t>
            </w:r>
          </w:p>
        </w:tc>
        <w:tc>
          <w:tcPr>
            <w:tcW w:w="1539" w:type="dxa"/>
            <w:tcBorders>
              <w:top w:val="nil"/>
              <w:left w:val="nil"/>
              <w:bottom w:val="nil"/>
              <w:right w:val="nil"/>
            </w:tcBorders>
            <w:vAlign w:val="bottom"/>
          </w:tcPr>
          <w:p w14:paraId="4DF56281" w14:textId="260523AB"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0.8813</w:t>
            </w:r>
          </w:p>
        </w:tc>
      </w:tr>
      <w:tr w:rsidR="00217A9A" w:rsidRPr="00277888" w14:paraId="1D7A02DB" w14:textId="59D0C421"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70B82E89"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2010</w:t>
            </w:r>
          </w:p>
        </w:tc>
        <w:tc>
          <w:tcPr>
            <w:tcW w:w="1203" w:type="dxa"/>
            <w:hideMark/>
          </w:tcPr>
          <w:p w14:paraId="64DE2192"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0.3319</w:t>
            </w:r>
          </w:p>
        </w:tc>
        <w:tc>
          <w:tcPr>
            <w:tcW w:w="1540" w:type="dxa"/>
            <w:hideMark/>
          </w:tcPr>
          <w:p w14:paraId="38BADC25"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1.1480</w:t>
            </w:r>
          </w:p>
        </w:tc>
        <w:tc>
          <w:tcPr>
            <w:tcW w:w="1200" w:type="dxa"/>
            <w:hideMark/>
          </w:tcPr>
          <w:p w14:paraId="739C45D0"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1.0447</w:t>
            </w:r>
          </w:p>
        </w:tc>
        <w:tc>
          <w:tcPr>
            <w:tcW w:w="1200" w:type="dxa"/>
            <w:hideMark/>
          </w:tcPr>
          <w:p w14:paraId="4D2F3C9D"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1.2532</w:t>
            </w:r>
          </w:p>
        </w:tc>
        <w:tc>
          <w:tcPr>
            <w:tcW w:w="1200" w:type="dxa"/>
            <w:hideMark/>
          </w:tcPr>
          <w:p w14:paraId="28353D36"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0.0468</w:t>
            </w:r>
          </w:p>
        </w:tc>
        <w:tc>
          <w:tcPr>
            <w:tcW w:w="1539" w:type="dxa"/>
            <w:tcBorders>
              <w:top w:val="nil"/>
              <w:left w:val="nil"/>
              <w:bottom w:val="nil"/>
              <w:right w:val="nil"/>
            </w:tcBorders>
            <w:vAlign w:val="bottom"/>
          </w:tcPr>
          <w:p w14:paraId="39011AF4" w14:textId="2E361F0E"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1.2688</w:t>
            </w:r>
          </w:p>
        </w:tc>
      </w:tr>
      <w:tr w:rsidR="00217A9A" w:rsidRPr="00277888" w14:paraId="1EE2AC2B" w14:textId="7A73CADE"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6CCC54E9"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2011</w:t>
            </w:r>
          </w:p>
        </w:tc>
        <w:tc>
          <w:tcPr>
            <w:tcW w:w="1203" w:type="dxa"/>
            <w:hideMark/>
          </w:tcPr>
          <w:p w14:paraId="75E2682D"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0.3029</w:t>
            </w:r>
          </w:p>
        </w:tc>
        <w:tc>
          <w:tcPr>
            <w:tcW w:w="1540" w:type="dxa"/>
            <w:hideMark/>
          </w:tcPr>
          <w:p w14:paraId="09C3782B"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0.9586</w:t>
            </w:r>
          </w:p>
        </w:tc>
        <w:tc>
          <w:tcPr>
            <w:tcW w:w="1200" w:type="dxa"/>
            <w:hideMark/>
          </w:tcPr>
          <w:p w14:paraId="2AE5B9CD"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0.8636</w:t>
            </w:r>
          </w:p>
        </w:tc>
        <w:tc>
          <w:tcPr>
            <w:tcW w:w="1200" w:type="dxa"/>
            <w:hideMark/>
          </w:tcPr>
          <w:p w14:paraId="4A15BF72"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1.0674</w:t>
            </w:r>
          </w:p>
        </w:tc>
        <w:tc>
          <w:tcPr>
            <w:tcW w:w="1200" w:type="dxa"/>
            <w:hideMark/>
          </w:tcPr>
          <w:p w14:paraId="3F5E4750"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0.0535</w:t>
            </w:r>
          </w:p>
        </w:tc>
        <w:tc>
          <w:tcPr>
            <w:tcW w:w="1539" w:type="dxa"/>
            <w:tcBorders>
              <w:top w:val="nil"/>
              <w:left w:val="nil"/>
              <w:bottom w:val="nil"/>
              <w:right w:val="nil"/>
            </w:tcBorders>
            <w:vAlign w:val="bottom"/>
          </w:tcPr>
          <w:p w14:paraId="473AAABF" w14:textId="6D521DF2"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1.0595</w:t>
            </w:r>
          </w:p>
        </w:tc>
      </w:tr>
      <w:tr w:rsidR="00217A9A" w:rsidRPr="00277888" w14:paraId="7DA5D76D" w14:textId="30B54438"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78F3BADE"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2012</w:t>
            </w:r>
          </w:p>
        </w:tc>
        <w:tc>
          <w:tcPr>
            <w:tcW w:w="1203" w:type="dxa"/>
            <w:hideMark/>
          </w:tcPr>
          <w:p w14:paraId="3954E144"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0.2519</w:t>
            </w:r>
          </w:p>
        </w:tc>
        <w:tc>
          <w:tcPr>
            <w:tcW w:w="1540" w:type="dxa"/>
            <w:hideMark/>
          </w:tcPr>
          <w:p w14:paraId="0852C90B"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0.7794</w:t>
            </w:r>
          </w:p>
        </w:tc>
        <w:tc>
          <w:tcPr>
            <w:tcW w:w="1200" w:type="dxa"/>
            <w:hideMark/>
          </w:tcPr>
          <w:p w14:paraId="6AF76E94"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0.6992</w:t>
            </w:r>
          </w:p>
        </w:tc>
        <w:tc>
          <w:tcPr>
            <w:tcW w:w="1200" w:type="dxa"/>
            <w:hideMark/>
          </w:tcPr>
          <w:p w14:paraId="315A1DD3"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0.8613</w:t>
            </w:r>
          </w:p>
        </w:tc>
        <w:tc>
          <w:tcPr>
            <w:tcW w:w="1200" w:type="dxa"/>
            <w:hideMark/>
          </w:tcPr>
          <w:p w14:paraId="6936FD71"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0.0539</w:t>
            </w:r>
          </w:p>
        </w:tc>
        <w:tc>
          <w:tcPr>
            <w:tcW w:w="1539" w:type="dxa"/>
            <w:tcBorders>
              <w:top w:val="nil"/>
              <w:left w:val="nil"/>
              <w:bottom w:val="nil"/>
              <w:right w:val="nil"/>
            </w:tcBorders>
            <w:vAlign w:val="bottom"/>
          </w:tcPr>
          <w:p w14:paraId="3506E239" w14:textId="0253C028"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0.8614</w:t>
            </w:r>
          </w:p>
        </w:tc>
      </w:tr>
      <w:tr w:rsidR="00217A9A" w:rsidRPr="00277888" w14:paraId="70389AB3" w14:textId="6421824A"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5E4668B5"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2013</w:t>
            </w:r>
          </w:p>
        </w:tc>
        <w:tc>
          <w:tcPr>
            <w:tcW w:w="1203" w:type="dxa"/>
            <w:hideMark/>
          </w:tcPr>
          <w:p w14:paraId="4E2BC830"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0.2741</w:t>
            </w:r>
          </w:p>
        </w:tc>
        <w:tc>
          <w:tcPr>
            <w:tcW w:w="1540" w:type="dxa"/>
            <w:hideMark/>
          </w:tcPr>
          <w:p w14:paraId="00ABAA84"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1.0070</w:t>
            </w:r>
          </w:p>
        </w:tc>
        <w:tc>
          <w:tcPr>
            <w:tcW w:w="1200" w:type="dxa"/>
            <w:hideMark/>
          </w:tcPr>
          <w:p w14:paraId="54B92B98"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0.9137</w:t>
            </w:r>
          </w:p>
        </w:tc>
        <w:tc>
          <w:tcPr>
            <w:tcW w:w="1200" w:type="dxa"/>
            <w:hideMark/>
          </w:tcPr>
          <w:p w14:paraId="5ECA5569"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1.0997</w:t>
            </w:r>
          </w:p>
        </w:tc>
        <w:tc>
          <w:tcPr>
            <w:tcW w:w="1200" w:type="dxa"/>
            <w:hideMark/>
          </w:tcPr>
          <w:p w14:paraId="133B97BB"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0.0486</w:t>
            </w:r>
          </w:p>
        </w:tc>
        <w:tc>
          <w:tcPr>
            <w:tcW w:w="1539" w:type="dxa"/>
            <w:tcBorders>
              <w:top w:val="nil"/>
              <w:left w:val="nil"/>
              <w:bottom w:val="nil"/>
              <w:right w:val="nil"/>
            </w:tcBorders>
            <w:vAlign w:val="bottom"/>
          </w:tcPr>
          <w:p w14:paraId="74904C10" w14:textId="61FF801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1.1130</w:t>
            </w:r>
          </w:p>
        </w:tc>
      </w:tr>
      <w:tr w:rsidR="00217A9A" w:rsidRPr="00277888" w14:paraId="3BD20460" w14:textId="5EC2F354"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4693C6F4"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2014</w:t>
            </w:r>
          </w:p>
        </w:tc>
        <w:tc>
          <w:tcPr>
            <w:tcW w:w="1203" w:type="dxa"/>
            <w:hideMark/>
          </w:tcPr>
          <w:p w14:paraId="2E445748"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0.3164</w:t>
            </w:r>
          </w:p>
        </w:tc>
        <w:tc>
          <w:tcPr>
            <w:tcW w:w="1540" w:type="dxa"/>
            <w:hideMark/>
          </w:tcPr>
          <w:p w14:paraId="0ED53A6E"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0.8917</w:t>
            </w:r>
          </w:p>
        </w:tc>
        <w:tc>
          <w:tcPr>
            <w:tcW w:w="1200" w:type="dxa"/>
            <w:hideMark/>
          </w:tcPr>
          <w:p w14:paraId="252F3633"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0.7987</w:t>
            </w:r>
          </w:p>
        </w:tc>
        <w:tc>
          <w:tcPr>
            <w:tcW w:w="1200" w:type="dxa"/>
            <w:hideMark/>
          </w:tcPr>
          <w:p w14:paraId="1F3F0AC3"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0.9961</w:t>
            </w:r>
          </w:p>
        </w:tc>
        <w:tc>
          <w:tcPr>
            <w:tcW w:w="1200" w:type="dxa"/>
            <w:hideMark/>
          </w:tcPr>
          <w:p w14:paraId="508C9236"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0.0556</w:t>
            </w:r>
          </w:p>
        </w:tc>
        <w:tc>
          <w:tcPr>
            <w:tcW w:w="1539" w:type="dxa"/>
            <w:tcBorders>
              <w:top w:val="nil"/>
              <w:left w:val="nil"/>
              <w:bottom w:val="nil"/>
              <w:right w:val="nil"/>
            </w:tcBorders>
            <w:vAlign w:val="bottom"/>
          </w:tcPr>
          <w:p w14:paraId="77FDBE8B" w14:textId="21E1F01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0.9856</w:t>
            </w:r>
          </w:p>
        </w:tc>
      </w:tr>
      <w:tr w:rsidR="00217A9A" w:rsidRPr="00277888" w14:paraId="5F10791A" w14:textId="5C83E350"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02FE99CA"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2015</w:t>
            </w:r>
          </w:p>
        </w:tc>
        <w:tc>
          <w:tcPr>
            <w:tcW w:w="1203" w:type="dxa"/>
            <w:hideMark/>
          </w:tcPr>
          <w:p w14:paraId="7C5E95B9"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0.2768</w:t>
            </w:r>
          </w:p>
        </w:tc>
        <w:tc>
          <w:tcPr>
            <w:tcW w:w="1540" w:type="dxa"/>
            <w:hideMark/>
          </w:tcPr>
          <w:p w14:paraId="53A2D504"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0.8592</w:t>
            </w:r>
          </w:p>
        </w:tc>
        <w:tc>
          <w:tcPr>
            <w:tcW w:w="1200" w:type="dxa"/>
            <w:hideMark/>
          </w:tcPr>
          <w:p w14:paraId="28D2E022"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0.7714</w:t>
            </w:r>
          </w:p>
        </w:tc>
        <w:tc>
          <w:tcPr>
            <w:tcW w:w="1200" w:type="dxa"/>
            <w:hideMark/>
          </w:tcPr>
          <w:p w14:paraId="3CED3E7C"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0.9566</w:t>
            </w:r>
          </w:p>
        </w:tc>
        <w:tc>
          <w:tcPr>
            <w:tcW w:w="1200" w:type="dxa"/>
            <w:hideMark/>
          </w:tcPr>
          <w:p w14:paraId="7482F57C"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0.0555</w:t>
            </w:r>
          </w:p>
        </w:tc>
        <w:tc>
          <w:tcPr>
            <w:tcW w:w="1539" w:type="dxa"/>
            <w:tcBorders>
              <w:top w:val="nil"/>
              <w:left w:val="nil"/>
              <w:bottom w:val="nil"/>
              <w:right w:val="nil"/>
            </w:tcBorders>
            <w:vAlign w:val="bottom"/>
          </w:tcPr>
          <w:p w14:paraId="4AB467FA" w14:textId="73C464E4"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0.9496</w:t>
            </w:r>
          </w:p>
        </w:tc>
      </w:tr>
      <w:tr w:rsidR="00217A9A" w:rsidRPr="00277888" w14:paraId="74174739" w14:textId="0605BB97"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1602B962"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2016</w:t>
            </w:r>
          </w:p>
        </w:tc>
        <w:tc>
          <w:tcPr>
            <w:tcW w:w="1203" w:type="dxa"/>
            <w:hideMark/>
          </w:tcPr>
          <w:p w14:paraId="018E9D67"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0.3144</w:t>
            </w:r>
          </w:p>
        </w:tc>
        <w:tc>
          <w:tcPr>
            <w:tcW w:w="1540" w:type="dxa"/>
            <w:hideMark/>
          </w:tcPr>
          <w:p w14:paraId="57391FC1"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1.1223</w:t>
            </w:r>
          </w:p>
        </w:tc>
        <w:tc>
          <w:tcPr>
            <w:tcW w:w="1200" w:type="dxa"/>
            <w:hideMark/>
          </w:tcPr>
          <w:p w14:paraId="458416D1"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1.0111</w:t>
            </w:r>
          </w:p>
        </w:tc>
        <w:tc>
          <w:tcPr>
            <w:tcW w:w="1200" w:type="dxa"/>
            <w:hideMark/>
          </w:tcPr>
          <w:p w14:paraId="776C1DD9"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1.2515</w:t>
            </w:r>
          </w:p>
        </w:tc>
        <w:tc>
          <w:tcPr>
            <w:tcW w:w="1200" w:type="dxa"/>
            <w:hideMark/>
          </w:tcPr>
          <w:p w14:paraId="09C20A71"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0.0557</w:t>
            </w:r>
          </w:p>
        </w:tc>
        <w:tc>
          <w:tcPr>
            <w:tcW w:w="1539" w:type="dxa"/>
            <w:tcBorders>
              <w:top w:val="nil"/>
              <w:left w:val="nil"/>
              <w:bottom w:val="nil"/>
              <w:right w:val="nil"/>
            </w:tcBorders>
            <w:vAlign w:val="bottom"/>
          </w:tcPr>
          <w:p w14:paraId="24FA3433" w14:textId="505F640E"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1.2404</w:t>
            </w:r>
          </w:p>
        </w:tc>
      </w:tr>
      <w:tr w:rsidR="00217A9A" w:rsidRPr="00277888" w14:paraId="1617ED02" w14:textId="2DB13FAD"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3C143C0F"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2017</w:t>
            </w:r>
          </w:p>
        </w:tc>
        <w:tc>
          <w:tcPr>
            <w:tcW w:w="1203" w:type="dxa"/>
            <w:hideMark/>
          </w:tcPr>
          <w:p w14:paraId="6F50EA15"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0.2674</w:t>
            </w:r>
          </w:p>
        </w:tc>
        <w:tc>
          <w:tcPr>
            <w:tcW w:w="1540" w:type="dxa"/>
            <w:hideMark/>
          </w:tcPr>
          <w:p w14:paraId="0E311148"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0.9657</w:t>
            </w:r>
          </w:p>
        </w:tc>
        <w:tc>
          <w:tcPr>
            <w:tcW w:w="1200" w:type="dxa"/>
            <w:hideMark/>
          </w:tcPr>
          <w:p w14:paraId="0B70AF22"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0.8615</w:t>
            </w:r>
          </w:p>
        </w:tc>
        <w:tc>
          <w:tcPr>
            <w:tcW w:w="1200" w:type="dxa"/>
            <w:hideMark/>
          </w:tcPr>
          <w:p w14:paraId="7CFB52C3"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1.0819</w:t>
            </w:r>
          </w:p>
        </w:tc>
        <w:tc>
          <w:tcPr>
            <w:tcW w:w="1200" w:type="dxa"/>
            <w:hideMark/>
          </w:tcPr>
          <w:p w14:paraId="50A2F182"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0.0584</w:t>
            </w:r>
          </w:p>
        </w:tc>
        <w:tc>
          <w:tcPr>
            <w:tcW w:w="1539" w:type="dxa"/>
            <w:tcBorders>
              <w:top w:val="nil"/>
              <w:left w:val="nil"/>
              <w:bottom w:val="nil"/>
              <w:right w:val="nil"/>
            </w:tcBorders>
            <w:vAlign w:val="bottom"/>
          </w:tcPr>
          <w:p w14:paraId="03E49DB4" w14:textId="768E5635"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1.0674</w:t>
            </w:r>
          </w:p>
        </w:tc>
      </w:tr>
      <w:tr w:rsidR="00217A9A" w:rsidRPr="00277888" w14:paraId="0762E057" w14:textId="7482AB4C"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2EEC24F8"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2018</w:t>
            </w:r>
          </w:p>
        </w:tc>
        <w:tc>
          <w:tcPr>
            <w:tcW w:w="1203" w:type="dxa"/>
            <w:hideMark/>
          </w:tcPr>
          <w:p w14:paraId="3452FD42"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0.2452</w:t>
            </w:r>
          </w:p>
        </w:tc>
        <w:tc>
          <w:tcPr>
            <w:tcW w:w="1540" w:type="dxa"/>
            <w:hideMark/>
          </w:tcPr>
          <w:p w14:paraId="6ECAAB89"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0.7933</w:t>
            </w:r>
          </w:p>
        </w:tc>
        <w:tc>
          <w:tcPr>
            <w:tcW w:w="1200" w:type="dxa"/>
            <w:hideMark/>
          </w:tcPr>
          <w:p w14:paraId="70238973"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0.6969</w:t>
            </w:r>
          </w:p>
        </w:tc>
        <w:tc>
          <w:tcPr>
            <w:tcW w:w="1200" w:type="dxa"/>
            <w:hideMark/>
          </w:tcPr>
          <w:p w14:paraId="1E5CE329"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0.8959</w:t>
            </w:r>
          </w:p>
        </w:tc>
        <w:tc>
          <w:tcPr>
            <w:tcW w:w="1200" w:type="dxa"/>
            <w:hideMark/>
          </w:tcPr>
          <w:p w14:paraId="6C836266"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0.0660</w:t>
            </w:r>
          </w:p>
        </w:tc>
        <w:tc>
          <w:tcPr>
            <w:tcW w:w="1539" w:type="dxa"/>
            <w:tcBorders>
              <w:top w:val="nil"/>
              <w:left w:val="nil"/>
              <w:bottom w:val="nil"/>
              <w:right w:val="nil"/>
            </w:tcBorders>
            <w:vAlign w:val="bottom"/>
          </w:tcPr>
          <w:p w14:paraId="53F2898E" w14:textId="4D8E2963"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0.8768</w:t>
            </w:r>
          </w:p>
        </w:tc>
      </w:tr>
      <w:tr w:rsidR="00217A9A" w:rsidRPr="00277888" w14:paraId="4A0C868E" w14:textId="1A93EBAC"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774511B0"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2019</w:t>
            </w:r>
          </w:p>
        </w:tc>
        <w:tc>
          <w:tcPr>
            <w:tcW w:w="1203" w:type="dxa"/>
            <w:hideMark/>
          </w:tcPr>
          <w:p w14:paraId="2FC493F6"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0.2774</w:t>
            </w:r>
          </w:p>
        </w:tc>
        <w:tc>
          <w:tcPr>
            <w:tcW w:w="1540" w:type="dxa"/>
            <w:hideMark/>
          </w:tcPr>
          <w:p w14:paraId="236D0422"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0.9586</w:t>
            </w:r>
          </w:p>
        </w:tc>
        <w:tc>
          <w:tcPr>
            <w:tcW w:w="1200" w:type="dxa"/>
            <w:hideMark/>
          </w:tcPr>
          <w:p w14:paraId="284455EF"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0.8479</w:t>
            </w:r>
          </w:p>
        </w:tc>
        <w:tc>
          <w:tcPr>
            <w:tcW w:w="1200" w:type="dxa"/>
            <w:hideMark/>
          </w:tcPr>
          <w:p w14:paraId="60A17389"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1.0861</w:t>
            </w:r>
          </w:p>
        </w:tc>
        <w:tc>
          <w:tcPr>
            <w:tcW w:w="1200" w:type="dxa"/>
            <w:hideMark/>
          </w:tcPr>
          <w:p w14:paraId="2CDA3413"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0.0636</w:t>
            </w:r>
          </w:p>
        </w:tc>
        <w:tc>
          <w:tcPr>
            <w:tcW w:w="1539" w:type="dxa"/>
            <w:tcBorders>
              <w:top w:val="nil"/>
              <w:left w:val="nil"/>
              <w:bottom w:val="nil"/>
              <w:right w:val="nil"/>
            </w:tcBorders>
            <w:vAlign w:val="bottom"/>
          </w:tcPr>
          <w:p w14:paraId="37C4EC38" w14:textId="61D697CD"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1.0595</w:t>
            </w:r>
          </w:p>
        </w:tc>
      </w:tr>
      <w:tr w:rsidR="00217A9A" w:rsidRPr="00277888" w14:paraId="3589AF7E" w14:textId="18A6E5CE"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5D92E4A1"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2020</w:t>
            </w:r>
          </w:p>
        </w:tc>
        <w:tc>
          <w:tcPr>
            <w:tcW w:w="1203" w:type="dxa"/>
            <w:hideMark/>
          </w:tcPr>
          <w:p w14:paraId="6759D5AB"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0.1736</w:t>
            </w:r>
          </w:p>
        </w:tc>
        <w:tc>
          <w:tcPr>
            <w:tcW w:w="1540" w:type="dxa"/>
            <w:hideMark/>
          </w:tcPr>
          <w:p w14:paraId="7C66F183"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0.7306</w:t>
            </w:r>
          </w:p>
        </w:tc>
        <w:tc>
          <w:tcPr>
            <w:tcW w:w="1200" w:type="dxa"/>
            <w:hideMark/>
          </w:tcPr>
          <w:p w14:paraId="144C1A1D"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0.6364</w:t>
            </w:r>
          </w:p>
        </w:tc>
        <w:tc>
          <w:tcPr>
            <w:tcW w:w="1200" w:type="dxa"/>
            <w:hideMark/>
          </w:tcPr>
          <w:p w14:paraId="46929730"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0.8317</w:t>
            </w:r>
          </w:p>
        </w:tc>
        <w:tc>
          <w:tcPr>
            <w:tcW w:w="1200" w:type="dxa"/>
            <w:hideMark/>
          </w:tcPr>
          <w:p w14:paraId="00BEDF50"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0.0676</w:t>
            </w:r>
          </w:p>
        </w:tc>
        <w:tc>
          <w:tcPr>
            <w:tcW w:w="1539" w:type="dxa"/>
            <w:tcBorders>
              <w:top w:val="nil"/>
              <w:left w:val="nil"/>
              <w:bottom w:val="nil"/>
              <w:right w:val="nil"/>
            </w:tcBorders>
            <w:vAlign w:val="bottom"/>
          </w:tcPr>
          <w:p w14:paraId="55CAD1EC" w14:textId="008A6F5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0.8075</w:t>
            </w:r>
          </w:p>
        </w:tc>
      </w:tr>
      <w:tr w:rsidR="00217A9A" w:rsidRPr="00277888" w14:paraId="0EBF50C5" w14:textId="60E42C84"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7E1E4DC9"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2021</w:t>
            </w:r>
          </w:p>
        </w:tc>
        <w:tc>
          <w:tcPr>
            <w:tcW w:w="1203" w:type="dxa"/>
            <w:hideMark/>
          </w:tcPr>
          <w:p w14:paraId="6B9B1B97"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0.2329</w:t>
            </w:r>
          </w:p>
        </w:tc>
        <w:tc>
          <w:tcPr>
            <w:tcW w:w="1540" w:type="dxa"/>
            <w:hideMark/>
          </w:tcPr>
          <w:p w14:paraId="387E6E8F"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0.7183</w:t>
            </w:r>
          </w:p>
        </w:tc>
        <w:tc>
          <w:tcPr>
            <w:tcW w:w="1200" w:type="dxa"/>
            <w:hideMark/>
          </w:tcPr>
          <w:p w14:paraId="656443C8"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0.6311</w:t>
            </w:r>
          </w:p>
        </w:tc>
        <w:tc>
          <w:tcPr>
            <w:tcW w:w="1200" w:type="dxa"/>
            <w:hideMark/>
          </w:tcPr>
          <w:p w14:paraId="528935B5"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0.8204</w:t>
            </w:r>
          </w:p>
        </w:tc>
        <w:tc>
          <w:tcPr>
            <w:tcW w:w="1200" w:type="dxa"/>
            <w:hideMark/>
          </w:tcPr>
          <w:p w14:paraId="74DE49BA"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0.0690</w:t>
            </w:r>
          </w:p>
        </w:tc>
        <w:tc>
          <w:tcPr>
            <w:tcW w:w="1539" w:type="dxa"/>
            <w:tcBorders>
              <w:top w:val="nil"/>
              <w:left w:val="nil"/>
              <w:bottom w:val="nil"/>
              <w:right w:val="nil"/>
            </w:tcBorders>
            <w:vAlign w:val="bottom"/>
          </w:tcPr>
          <w:p w14:paraId="2C8C9F5E" w14:textId="59DE043E"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0.7939</w:t>
            </w:r>
          </w:p>
        </w:tc>
      </w:tr>
      <w:tr w:rsidR="00217A9A" w:rsidRPr="00277888" w14:paraId="6F63312D" w14:textId="29CAA3B4"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5C8A5421"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2022</w:t>
            </w:r>
          </w:p>
        </w:tc>
        <w:tc>
          <w:tcPr>
            <w:tcW w:w="1203" w:type="dxa"/>
            <w:hideMark/>
          </w:tcPr>
          <w:p w14:paraId="41CA6987"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0.2549</w:t>
            </w:r>
          </w:p>
        </w:tc>
        <w:tc>
          <w:tcPr>
            <w:tcW w:w="1540" w:type="dxa"/>
            <w:hideMark/>
          </w:tcPr>
          <w:p w14:paraId="0D3F3D55"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0.9442</w:t>
            </w:r>
          </w:p>
        </w:tc>
        <w:tc>
          <w:tcPr>
            <w:tcW w:w="1200" w:type="dxa"/>
            <w:hideMark/>
          </w:tcPr>
          <w:p w14:paraId="4E209ED3"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0.8148</w:t>
            </w:r>
          </w:p>
        </w:tc>
        <w:tc>
          <w:tcPr>
            <w:tcW w:w="1200" w:type="dxa"/>
            <w:hideMark/>
          </w:tcPr>
          <w:p w14:paraId="5479E04A"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1.1006</w:t>
            </w:r>
          </w:p>
        </w:tc>
        <w:tc>
          <w:tcPr>
            <w:tcW w:w="1200" w:type="dxa"/>
            <w:hideMark/>
          </w:tcPr>
          <w:p w14:paraId="629E5657"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0.0738</w:t>
            </w:r>
          </w:p>
        </w:tc>
        <w:tc>
          <w:tcPr>
            <w:tcW w:w="1539" w:type="dxa"/>
            <w:tcBorders>
              <w:top w:val="nil"/>
              <w:left w:val="nil"/>
              <w:bottom w:val="nil"/>
              <w:right w:val="nil"/>
            </w:tcBorders>
            <w:vAlign w:val="bottom"/>
          </w:tcPr>
          <w:p w14:paraId="5DF6FFF7" w14:textId="35559BBD"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1.0436</w:t>
            </w:r>
          </w:p>
        </w:tc>
      </w:tr>
      <w:tr w:rsidR="00217A9A" w:rsidRPr="00277888" w14:paraId="223FF39C" w14:textId="67C67CD2" w:rsidTr="00217A9A">
        <w:trPr>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4B6288ED"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2023</w:t>
            </w:r>
          </w:p>
        </w:tc>
        <w:tc>
          <w:tcPr>
            <w:tcW w:w="1203" w:type="dxa"/>
            <w:hideMark/>
          </w:tcPr>
          <w:p w14:paraId="1E2BD66C"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0.2824</w:t>
            </w:r>
          </w:p>
        </w:tc>
        <w:tc>
          <w:tcPr>
            <w:tcW w:w="1540" w:type="dxa"/>
            <w:hideMark/>
          </w:tcPr>
          <w:p w14:paraId="12CDBD69"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0.8627</w:t>
            </w:r>
          </w:p>
        </w:tc>
        <w:tc>
          <w:tcPr>
            <w:tcW w:w="1200" w:type="dxa"/>
            <w:hideMark/>
          </w:tcPr>
          <w:p w14:paraId="79E82641"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0.7423</w:t>
            </w:r>
          </w:p>
        </w:tc>
        <w:tc>
          <w:tcPr>
            <w:tcW w:w="1200" w:type="dxa"/>
            <w:hideMark/>
          </w:tcPr>
          <w:p w14:paraId="5A1085E5"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0.9816</w:t>
            </w:r>
          </w:p>
        </w:tc>
        <w:tc>
          <w:tcPr>
            <w:tcW w:w="1200" w:type="dxa"/>
            <w:hideMark/>
          </w:tcPr>
          <w:p w14:paraId="46ED8CD0" w14:textId="77777777"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0.0721</w:t>
            </w:r>
          </w:p>
        </w:tc>
        <w:tc>
          <w:tcPr>
            <w:tcW w:w="1539" w:type="dxa"/>
            <w:tcBorders>
              <w:top w:val="nil"/>
              <w:left w:val="nil"/>
              <w:bottom w:val="nil"/>
              <w:right w:val="nil"/>
            </w:tcBorders>
            <w:vAlign w:val="bottom"/>
          </w:tcPr>
          <w:p w14:paraId="44AF792D" w14:textId="30445F1A" w:rsidR="00217A9A" w:rsidRPr="00277888" w:rsidRDefault="00217A9A" w:rsidP="00217A9A">
            <w:pPr>
              <w:widowControl/>
              <w:spacing w:after="0"/>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0.9535</w:t>
            </w:r>
          </w:p>
        </w:tc>
      </w:tr>
      <w:tr w:rsidR="00217A9A" w:rsidRPr="00277888" w14:paraId="521D982B" w14:textId="1AC89AFA" w:rsidTr="00217A9A">
        <w:trPr>
          <w:cnfStyle w:val="000000100000" w:firstRow="0" w:lastRow="0" w:firstColumn="0" w:lastColumn="0" w:oddVBand="0" w:evenVBand="0" w:oddHBand="1" w:evenHBand="0" w:firstRowFirstColumn="0" w:firstRowLastColumn="0" w:lastRowFirstColumn="0" w:lastRowLastColumn="0"/>
          <w:trHeight w:hRule="exact" w:val="312"/>
        </w:trPr>
        <w:tc>
          <w:tcPr>
            <w:cnfStyle w:val="001000000000" w:firstRow="0" w:lastRow="0" w:firstColumn="1" w:lastColumn="0" w:oddVBand="0" w:evenVBand="0" w:oddHBand="0" w:evenHBand="0" w:firstRowFirstColumn="0" w:firstRowLastColumn="0" w:lastRowFirstColumn="0" w:lastRowLastColumn="0"/>
            <w:tcW w:w="765" w:type="dxa"/>
            <w:hideMark/>
          </w:tcPr>
          <w:p w14:paraId="0A717EAB" w14:textId="77777777" w:rsidR="00217A9A" w:rsidRPr="00277888" w:rsidRDefault="00217A9A" w:rsidP="00217A9A">
            <w:pPr>
              <w:widowControl/>
              <w:spacing w:after="0"/>
              <w:jc w:val="right"/>
              <w:rPr>
                <w:rFonts w:ascii="Arial" w:eastAsia="Times New Roman" w:hAnsi="Arial" w:cs="Arial"/>
                <w:kern w:val="0"/>
                <w:sz w:val="20"/>
                <w:szCs w:val="20"/>
              </w:rPr>
            </w:pPr>
            <w:r w:rsidRPr="00277888">
              <w:rPr>
                <w:rFonts w:ascii="Arial" w:eastAsia="Times New Roman" w:hAnsi="Arial" w:cs="Arial"/>
                <w:kern w:val="0"/>
                <w:sz w:val="20"/>
                <w:szCs w:val="20"/>
              </w:rPr>
              <w:t>2024</w:t>
            </w:r>
          </w:p>
        </w:tc>
        <w:tc>
          <w:tcPr>
            <w:tcW w:w="1203" w:type="dxa"/>
            <w:hideMark/>
          </w:tcPr>
          <w:p w14:paraId="3F15152D"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0.4205</w:t>
            </w:r>
          </w:p>
        </w:tc>
        <w:tc>
          <w:tcPr>
            <w:tcW w:w="1540" w:type="dxa"/>
            <w:hideMark/>
          </w:tcPr>
          <w:p w14:paraId="26DA3BE3"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1.3785</w:t>
            </w:r>
          </w:p>
        </w:tc>
        <w:tc>
          <w:tcPr>
            <w:tcW w:w="1200" w:type="dxa"/>
            <w:hideMark/>
          </w:tcPr>
          <w:p w14:paraId="1D383375"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1.1891</w:t>
            </w:r>
          </w:p>
        </w:tc>
        <w:tc>
          <w:tcPr>
            <w:tcW w:w="1200" w:type="dxa"/>
            <w:hideMark/>
          </w:tcPr>
          <w:p w14:paraId="101AC7A1"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1.5698</w:t>
            </w:r>
          </w:p>
        </w:tc>
        <w:tc>
          <w:tcPr>
            <w:tcW w:w="1200" w:type="dxa"/>
            <w:hideMark/>
          </w:tcPr>
          <w:p w14:paraId="6E6920D6" w14:textId="77777777"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sidRPr="00277888">
              <w:rPr>
                <w:rFonts w:ascii="Arial" w:eastAsia="Times New Roman" w:hAnsi="Arial" w:cs="Arial"/>
                <w:kern w:val="0"/>
                <w:sz w:val="20"/>
                <w:szCs w:val="20"/>
              </w:rPr>
              <w:t>0.0711</w:t>
            </w:r>
          </w:p>
        </w:tc>
        <w:tc>
          <w:tcPr>
            <w:tcW w:w="1539" w:type="dxa"/>
            <w:tcBorders>
              <w:top w:val="nil"/>
              <w:left w:val="nil"/>
              <w:bottom w:val="nil"/>
              <w:right w:val="nil"/>
            </w:tcBorders>
            <w:vAlign w:val="bottom"/>
          </w:tcPr>
          <w:p w14:paraId="1CEE2451" w14:textId="4A014030" w:rsidR="00217A9A" w:rsidRPr="00277888" w:rsidRDefault="00217A9A" w:rsidP="00217A9A">
            <w:pPr>
              <w:widowControl/>
              <w:spacing w:after="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rPr>
            </w:pPr>
            <w:r>
              <w:rPr>
                <w:rFonts w:ascii="Aptos Narrow" w:hAnsi="Aptos Narrow"/>
                <w:color w:val="000000"/>
              </w:rPr>
              <w:t>1.5236</w:t>
            </w:r>
          </w:p>
        </w:tc>
      </w:tr>
    </w:tbl>
    <w:p w14:paraId="70DB7D79" w14:textId="2BA13D24" w:rsidR="000B642D" w:rsidRPr="00AF0DB5" w:rsidRDefault="00015075" w:rsidP="00277888">
      <w:r w:rsidRPr="00AF0DB5">
        <w:t xml:space="preserve"> </w:t>
      </w:r>
    </w:p>
    <w:p w14:paraId="63BF8204" w14:textId="5A4DAC65" w:rsidR="00015075" w:rsidRPr="00CD5C6E" w:rsidRDefault="00015075" w:rsidP="00AF0DB5">
      <w:pPr>
        <w:pStyle w:val="Heading1"/>
      </w:pPr>
      <w:r w:rsidRPr="00CD5C6E">
        <w:lastRenderedPageBreak/>
        <w:t>Figures</w:t>
      </w:r>
    </w:p>
    <w:p w14:paraId="64E57E98" w14:textId="3DDA6B24" w:rsidR="008F46FE" w:rsidRDefault="0004083E" w:rsidP="00D0276F">
      <w:pPr>
        <w:widowControl/>
        <w:jc w:val="left"/>
        <w:rPr>
          <w:rFonts w:cs="Calibri"/>
          <w:szCs w:val="21"/>
        </w:rPr>
      </w:pPr>
      <w:r>
        <w:rPr>
          <w:rFonts w:cs="Calibri"/>
          <w:noProof/>
          <w:szCs w:val="21"/>
        </w:rPr>
        <w:drawing>
          <wp:inline distT="0" distB="0" distL="0" distR="0" wp14:anchorId="7F4D216F" wp14:editId="76013CC9">
            <wp:extent cx="5400040" cy="2336165"/>
            <wp:effectExtent l="0" t="0" r="0" b="635"/>
            <wp:docPr id="1816947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47483" name="Picture 1816947483"/>
                    <pic:cNvPicPr/>
                  </pic:nvPicPr>
                  <pic:blipFill>
                    <a:blip r:embed="rId13"/>
                    <a:stretch>
                      <a:fillRect/>
                    </a:stretch>
                  </pic:blipFill>
                  <pic:spPr>
                    <a:xfrm>
                      <a:off x="0" y="0"/>
                      <a:ext cx="5400040" cy="2336165"/>
                    </a:xfrm>
                    <a:prstGeom prst="rect">
                      <a:avLst/>
                    </a:prstGeom>
                  </pic:spPr>
                </pic:pic>
              </a:graphicData>
            </a:graphic>
          </wp:inline>
        </w:drawing>
      </w:r>
    </w:p>
    <w:p w14:paraId="24C5F381" w14:textId="3D3E2EBC" w:rsidR="006D4C43" w:rsidRDefault="006D4C43" w:rsidP="00D0276F">
      <w:pPr>
        <w:widowControl/>
        <w:jc w:val="left"/>
        <w:rPr>
          <w:rFonts w:cs="Calibri"/>
          <w:szCs w:val="21"/>
        </w:rPr>
      </w:pPr>
      <w:r w:rsidRPr="006D4C43">
        <w:rPr>
          <w:rFonts w:cs="Calibri"/>
          <w:b/>
          <w:bCs/>
          <w:szCs w:val="21"/>
        </w:rPr>
        <w:t>Figure 1.</w:t>
      </w:r>
      <w:r w:rsidRPr="006D4C43">
        <w:rPr>
          <w:rFonts w:cs="Calibri"/>
          <w:szCs w:val="21"/>
        </w:rPr>
        <w:t> Spatial distribution of total fishing effort (number of hooks) from the Japanese longline fishery, aggregated on a 1x1 degree grid</w:t>
      </w:r>
      <w:r w:rsidR="004305E7">
        <w:rPr>
          <w:rFonts w:cs="Calibri" w:hint="eastAsia"/>
          <w:szCs w:val="21"/>
        </w:rPr>
        <w:t xml:space="preserve"> within the analysis area in the Pacific Ocean</w:t>
      </w:r>
      <w:r w:rsidRPr="006D4C43">
        <w:rPr>
          <w:rFonts w:cs="Calibri"/>
          <w:szCs w:val="21"/>
        </w:rPr>
        <w:t xml:space="preserve"> for the period 1994-2024. The color scale is logarithmic to visualize both high and low effort areas.</w:t>
      </w:r>
    </w:p>
    <w:p w14:paraId="5D61400A" w14:textId="5336707F" w:rsidR="00CD5C6E" w:rsidRDefault="008F46FE" w:rsidP="00D0276F">
      <w:pPr>
        <w:widowControl/>
        <w:jc w:val="left"/>
        <w:rPr>
          <w:rFonts w:cs="Calibri"/>
          <w:szCs w:val="21"/>
        </w:rPr>
      </w:pPr>
      <w:r>
        <w:rPr>
          <w:rFonts w:cs="Calibri"/>
          <w:noProof/>
          <w:szCs w:val="21"/>
        </w:rPr>
        <w:drawing>
          <wp:inline distT="0" distB="0" distL="0" distR="0" wp14:anchorId="63890CC1" wp14:editId="17CE26C1">
            <wp:extent cx="5400040" cy="2688590"/>
            <wp:effectExtent l="0" t="0" r="0" b="3810"/>
            <wp:docPr id="818949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49069" name="Picture 818949069"/>
                    <pic:cNvPicPr/>
                  </pic:nvPicPr>
                  <pic:blipFill>
                    <a:blip r:embed="rId14"/>
                    <a:stretch>
                      <a:fillRect/>
                    </a:stretch>
                  </pic:blipFill>
                  <pic:spPr>
                    <a:xfrm>
                      <a:off x="0" y="0"/>
                      <a:ext cx="5400040" cy="2688590"/>
                    </a:xfrm>
                    <a:prstGeom prst="rect">
                      <a:avLst/>
                    </a:prstGeom>
                  </pic:spPr>
                </pic:pic>
              </a:graphicData>
            </a:graphic>
          </wp:inline>
        </w:drawing>
      </w:r>
    </w:p>
    <w:p w14:paraId="31212540" w14:textId="6F5D37F1" w:rsidR="006D4C43" w:rsidRDefault="006D4C43" w:rsidP="00D0276F">
      <w:pPr>
        <w:widowControl/>
        <w:jc w:val="left"/>
        <w:rPr>
          <w:rFonts w:cs="Calibri"/>
          <w:szCs w:val="21"/>
        </w:rPr>
      </w:pPr>
      <w:r w:rsidRPr="006D4C43">
        <w:rPr>
          <w:rFonts w:cs="Calibri"/>
          <w:b/>
          <w:bCs/>
          <w:szCs w:val="21"/>
        </w:rPr>
        <w:t>Figure 2.</w:t>
      </w:r>
      <w:r w:rsidRPr="006D4C43">
        <w:rPr>
          <w:rFonts w:cs="Calibri"/>
          <w:szCs w:val="21"/>
        </w:rPr>
        <w:t> Annual time series of total nominal fishing effort (total hooks, red line, right axis) and total catch of Pacific blue marlin (numbers, blue bars, left axis) from the processed Japanese longline logbook data, 1994-2024.</w:t>
      </w:r>
    </w:p>
    <w:p w14:paraId="7630917D" w14:textId="3B3CF156" w:rsidR="00D0276F" w:rsidRDefault="000D7622" w:rsidP="00D0276F">
      <w:pPr>
        <w:widowControl/>
        <w:jc w:val="left"/>
        <w:rPr>
          <w:rFonts w:cs="Calibri"/>
          <w:szCs w:val="21"/>
        </w:rPr>
      </w:pPr>
      <w:r>
        <w:rPr>
          <w:rFonts w:cs="Calibri"/>
          <w:noProof/>
          <w:szCs w:val="21"/>
        </w:rPr>
        <w:lastRenderedPageBreak/>
        <w:drawing>
          <wp:inline distT="0" distB="0" distL="0" distR="0" wp14:anchorId="2C035506" wp14:editId="6EAD10B7">
            <wp:extent cx="5400040" cy="2690495"/>
            <wp:effectExtent l="0" t="0" r="0" b="1905"/>
            <wp:docPr id="148731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314844" name="Picture 1487314844"/>
                    <pic:cNvPicPr/>
                  </pic:nvPicPr>
                  <pic:blipFill>
                    <a:blip r:embed="rId15"/>
                    <a:stretch>
                      <a:fillRect/>
                    </a:stretch>
                  </pic:blipFill>
                  <pic:spPr>
                    <a:xfrm>
                      <a:off x="0" y="0"/>
                      <a:ext cx="5400040" cy="2690495"/>
                    </a:xfrm>
                    <a:prstGeom prst="rect">
                      <a:avLst/>
                    </a:prstGeom>
                  </pic:spPr>
                </pic:pic>
              </a:graphicData>
            </a:graphic>
          </wp:inline>
        </w:drawing>
      </w:r>
    </w:p>
    <w:p w14:paraId="047724A9" w14:textId="08A7EA21" w:rsidR="006D4C43" w:rsidRPr="00D0276F" w:rsidRDefault="00BC5318" w:rsidP="00D0276F">
      <w:pPr>
        <w:widowControl/>
        <w:jc w:val="left"/>
        <w:rPr>
          <w:rFonts w:cs="Calibri"/>
          <w:szCs w:val="21"/>
        </w:rPr>
      </w:pPr>
      <w:r w:rsidRPr="00BC5318">
        <w:rPr>
          <w:rFonts w:cs="Calibri"/>
          <w:b/>
          <w:bCs/>
          <w:szCs w:val="21"/>
        </w:rPr>
        <w:t>Figure 3.</w:t>
      </w:r>
      <w:r w:rsidRPr="00BC5318">
        <w:rPr>
          <w:rFonts w:cs="Calibri"/>
          <w:szCs w:val="21"/>
        </w:rPr>
        <w:t xml:space="preserve"> Annual abundance indices for Pacific blue marlin from 1994 to 2024. The nominal (unstandardized) CPUE is shown as a </w:t>
      </w:r>
      <w:r w:rsidR="000D7622">
        <w:rPr>
          <w:rFonts w:cs="Calibri" w:hint="eastAsia"/>
          <w:szCs w:val="21"/>
        </w:rPr>
        <w:t>green</w:t>
      </w:r>
      <w:r w:rsidRPr="00BC5318">
        <w:rPr>
          <w:rFonts w:cs="Calibri"/>
          <w:szCs w:val="21"/>
        </w:rPr>
        <w:t xml:space="preserve"> </w:t>
      </w:r>
      <w:r w:rsidR="000D7622">
        <w:rPr>
          <w:rFonts w:cs="Calibri" w:hint="eastAsia"/>
          <w:szCs w:val="21"/>
        </w:rPr>
        <w:t>dashed</w:t>
      </w:r>
      <w:r w:rsidRPr="00BC5318">
        <w:rPr>
          <w:rFonts w:cs="Calibri"/>
          <w:szCs w:val="21"/>
        </w:rPr>
        <w:t xml:space="preserve"> line</w:t>
      </w:r>
      <w:r>
        <w:rPr>
          <w:rFonts w:cs="Calibri"/>
          <w:szCs w:val="21"/>
        </w:rPr>
        <w:t>, while t</w:t>
      </w:r>
      <w:r w:rsidRPr="00BC5318">
        <w:rPr>
          <w:rFonts w:cs="Calibri"/>
          <w:szCs w:val="21"/>
        </w:rPr>
        <w:t>he updated standardized abundance index from this study, derived from the habitat model, is shown as a solid blue line.</w:t>
      </w:r>
      <w:r w:rsidR="000D7622">
        <w:rPr>
          <w:rFonts w:cs="Calibri" w:hint="eastAsia"/>
          <w:szCs w:val="21"/>
        </w:rPr>
        <w:t xml:space="preserve"> A historical standardized CPUE is provided for comparison as a gray dotted line.</w:t>
      </w:r>
      <w:r w:rsidRPr="00BC5318">
        <w:rPr>
          <w:rFonts w:cs="Calibri"/>
          <w:szCs w:val="21"/>
        </w:rPr>
        <w:t xml:space="preserve"> The shaded blue area represents the 95% confidence interval for the updated index, estimated via a non-parametric bootstrap procedure. </w:t>
      </w:r>
      <w:proofErr w:type="spellStart"/>
      <w:r w:rsidRPr="00BC5318">
        <w:rPr>
          <w:rFonts w:cs="Calibri"/>
          <w:szCs w:val="21"/>
        </w:rPr>
        <w:t>All time</w:t>
      </w:r>
      <w:proofErr w:type="spellEnd"/>
      <w:r w:rsidRPr="00BC5318">
        <w:rPr>
          <w:rFonts w:cs="Calibri"/>
          <w:szCs w:val="21"/>
        </w:rPr>
        <w:t xml:space="preserve"> series have been normalized to have a mean of 1.0 over the common period of 1994-2014 for comparative purposes. </w:t>
      </w:r>
    </w:p>
    <w:sectPr w:rsidR="006D4C43" w:rsidRPr="00D0276F" w:rsidSect="00CD5C6E">
      <w:footerReference w:type="default" r:id="rId16"/>
      <w:footerReference w:type="first" r:id="rId17"/>
      <w:pgSz w:w="11906" w:h="16838"/>
      <w:pgMar w:top="1985" w:right="1701" w:bottom="1701" w:left="1701" w:header="851" w:footer="992" w:gutter="0"/>
      <w:pgNumType w:start="1"/>
      <w:cols w:space="15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77762" w14:textId="77777777" w:rsidR="00AE510C" w:rsidRDefault="00AE510C" w:rsidP="00326771">
      <w:r>
        <w:separator/>
      </w:r>
    </w:p>
  </w:endnote>
  <w:endnote w:type="continuationSeparator" w:id="0">
    <w:p w14:paraId="63142882" w14:textId="77777777" w:rsidR="00AE510C" w:rsidRDefault="00AE510C" w:rsidP="00326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51539678"/>
      <w:docPartObj>
        <w:docPartGallery w:val="Page Numbers (Bottom of Page)"/>
        <w:docPartUnique/>
      </w:docPartObj>
    </w:sdtPr>
    <w:sdtEndPr>
      <w:rPr>
        <w:rStyle w:val="PageNumber"/>
      </w:rPr>
    </w:sdtEndPr>
    <w:sdtContent>
      <w:p w14:paraId="30E00278" w14:textId="77777777" w:rsidR="00EB6480" w:rsidRDefault="00EB6480" w:rsidP="00406C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CB73C9" w14:textId="77777777" w:rsidR="00EB6480" w:rsidRDefault="00EB64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476F" w14:textId="32728594" w:rsidR="00CD5C6E" w:rsidRDefault="00CD5C6E" w:rsidP="00CD5C6E">
    <w:pPr>
      <w:pStyle w:val="Footer"/>
      <w:rPr>
        <w:sz w:val="18"/>
        <w:szCs w:val="18"/>
      </w:rPr>
    </w:pPr>
    <w:r>
      <w:rPr>
        <w:sz w:val="18"/>
        <w:szCs w:val="18"/>
      </w:rPr>
      <w:t xml:space="preserve">Working document submitted to the Billfish Working Group Meeting, International Scientific Committee for Tuna and Tuna-like Species in the North Pacific Ocean, </w:t>
    </w:r>
    <w:r w:rsidR="00A86551">
      <w:rPr>
        <w:sz w:val="18"/>
        <w:szCs w:val="18"/>
      </w:rPr>
      <w:t>13-19 January</w:t>
    </w:r>
    <w:r>
      <w:rPr>
        <w:sz w:val="18"/>
        <w:szCs w:val="18"/>
      </w:rPr>
      <w:t xml:space="preserve"> 202</w:t>
    </w:r>
    <w:r w:rsidR="00A86551">
      <w:rPr>
        <w:sz w:val="18"/>
        <w:szCs w:val="18"/>
      </w:rPr>
      <w:t>6</w:t>
    </w:r>
    <w:r>
      <w:rPr>
        <w:sz w:val="18"/>
        <w:szCs w:val="18"/>
      </w:rPr>
      <w:t>, Yokohama, Japan.</w:t>
    </w:r>
  </w:p>
  <w:p w14:paraId="19B325F3" w14:textId="050B52BE" w:rsidR="00D260D6" w:rsidRPr="00CD5C6E" w:rsidRDefault="00CD5C6E" w:rsidP="00CD5C6E">
    <w:pPr>
      <w:pStyle w:val="Footer"/>
      <w:rPr>
        <w:sz w:val="18"/>
        <w:szCs w:val="18"/>
      </w:rPr>
    </w:pPr>
    <w:r>
      <w:rPr>
        <w:sz w:val="18"/>
        <w:szCs w:val="18"/>
      </w:rPr>
      <w:t>Document not to be cited without author’s permission.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00811635"/>
      <w:docPartObj>
        <w:docPartGallery w:val="Page Numbers (Bottom of Page)"/>
        <w:docPartUnique/>
      </w:docPartObj>
    </w:sdtPr>
    <w:sdtEndPr>
      <w:rPr>
        <w:rStyle w:val="PageNumber"/>
      </w:rPr>
    </w:sdtEndPr>
    <w:sdtContent>
      <w:p w14:paraId="5433B229" w14:textId="77777777" w:rsidR="00EB6480" w:rsidRDefault="00EB6480" w:rsidP="00406C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51D5">
          <w:rPr>
            <w:rStyle w:val="PageNumber"/>
            <w:noProof/>
          </w:rPr>
          <w:t>6</w:t>
        </w:r>
        <w:r>
          <w:rPr>
            <w:rStyle w:val="PageNumber"/>
          </w:rPr>
          <w:fldChar w:fldCharType="end"/>
        </w:r>
      </w:p>
    </w:sdtContent>
  </w:sdt>
  <w:p w14:paraId="5E46AAFB" w14:textId="77777777" w:rsidR="00EB6480" w:rsidRPr="009B0DA5" w:rsidRDefault="00EB6480" w:rsidP="009B0DA5">
    <w:pPr>
      <w:rPr>
        <w:rFonts w:ascii="Cambria" w:hAnsi="Cambria"/>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51928833"/>
      <w:docPartObj>
        <w:docPartGallery w:val="Page Numbers (Bottom of Page)"/>
        <w:docPartUnique/>
      </w:docPartObj>
    </w:sdtPr>
    <w:sdtEndPr>
      <w:rPr>
        <w:rStyle w:val="PageNumber"/>
      </w:rPr>
    </w:sdtEndPr>
    <w:sdtContent>
      <w:p w14:paraId="02663D35" w14:textId="77777777" w:rsidR="00EB6480" w:rsidRDefault="00EB6480" w:rsidP="00DA0D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551D5">
          <w:rPr>
            <w:rStyle w:val="PageNumber"/>
            <w:noProof/>
          </w:rPr>
          <w:t>5</w:t>
        </w:r>
        <w:r>
          <w:rPr>
            <w:rStyle w:val="PageNumber"/>
          </w:rPr>
          <w:fldChar w:fldCharType="end"/>
        </w:r>
      </w:p>
    </w:sdtContent>
  </w:sdt>
  <w:p w14:paraId="2746CD5B" w14:textId="77777777" w:rsidR="00EB6480" w:rsidRDefault="00EB64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E12ADD" w14:textId="77777777" w:rsidR="00AE510C" w:rsidRDefault="00AE510C" w:rsidP="00326771">
      <w:r>
        <w:separator/>
      </w:r>
    </w:p>
  </w:footnote>
  <w:footnote w:type="continuationSeparator" w:id="0">
    <w:p w14:paraId="7287E880" w14:textId="77777777" w:rsidR="00AE510C" w:rsidRDefault="00AE510C" w:rsidP="00326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1F1D2" w14:textId="78EA5D6F" w:rsidR="00B81E71" w:rsidRDefault="00CD5C6E" w:rsidP="00B81E71">
    <w:pPr>
      <w:pStyle w:val="Header"/>
    </w:pPr>
    <w:r>
      <w:tab/>
    </w:r>
    <w:r>
      <w:tab/>
    </w:r>
    <w:r w:rsidR="00B81E71">
      <w:t>ISC/26/BILLWG-01/</w:t>
    </w:r>
    <w:r w:rsidR="009F67CC">
      <w:t>06</w:t>
    </w:r>
  </w:p>
  <w:p w14:paraId="37E13653" w14:textId="1306EA5F" w:rsidR="00CD5C6E" w:rsidRDefault="00CD5C6E">
    <w:pPr>
      <w:pStyle w:val="Header"/>
    </w:pPr>
  </w:p>
  <w:p w14:paraId="468995C2" w14:textId="77777777" w:rsidR="00CD5C6E" w:rsidRDefault="00CD5C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643BC" w14:textId="17312AB3" w:rsidR="00CD5C6E" w:rsidRDefault="00CD5C6E">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85FDE"/>
    <w:multiLevelType w:val="hybridMultilevel"/>
    <w:tmpl w:val="2B9C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AF06A7"/>
    <w:multiLevelType w:val="hybridMultilevel"/>
    <w:tmpl w:val="CD46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4BB2608"/>
    <w:multiLevelType w:val="hybridMultilevel"/>
    <w:tmpl w:val="63E4B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D01817"/>
    <w:multiLevelType w:val="hybridMultilevel"/>
    <w:tmpl w:val="C744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466A93"/>
    <w:multiLevelType w:val="hybridMultilevel"/>
    <w:tmpl w:val="3E604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771"/>
    <w:rsid w:val="00000493"/>
    <w:rsid w:val="00013F7C"/>
    <w:rsid w:val="00015075"/>
    <w:rsid w:val="00027732"/>
    <w:rsid w:val="00031A1E"/>
    <w:rsid w:val="0004083E"/>
    <w:rsid w:val="00071A9B"/>
    <w:rsid w:val="000720D7"/>
    <w:rsid w:val="0008254C"/>
    <w:rsid w:val="000A5335"/>
    <w:rsid w:val="000B642D"/>
    <w:rsid w:val="000D7622"/>
    <w:rsid w:val="000F347C"/>
    <w:rsid w:val="00113831"/>
    <w:rsid w:val="00132F4D"/>
    <w:rsid w:val="0014563E"/>
    <w:rsid w:val="0015123B"/>
    <w:rsid w:val="001947AF"/>
    <w:rsid w:val="001C550F"/>
    <w:rsid w:val="00217A9A"/>
    <w:rsid w:val="00220A21"/>
    <w:rsid w:val="00263097"/>
    <w:rsid w:val="00277888"/>
    <w:rsid w:val="002817E1"/>
    <w:rsid w:val="002D740F"/>
    <w:rsid w:val="003115A9"/>
    <w:rsid w:val="0031255D"/>
    <w:rsid w:val="00313F2F"/>
    <w:rsid w:val="00326771"/>
    <w:rsid w:val="003E12B9"/>
    <w:rsid w:val="003E1FF1"/>
    <w:rsid w:val="003E7E50"/>
    <w:rsid w:val="004305E7"/>
    <w:rsid w:val="0046394E"/>
    <w:rsid w:val="00481001"/>
    <w:rsid w:val="00491456"/>
    <w:rsid w:val="004D15C7"/>
    <w:rsid w:val="005542C4"/>
    <w:rsid w:val="00587F37"/>
    <w:rsid w:val="00610699"/>
    <w:rsid w:val="00627391"/>
    <w:rsid w:val="0068168F"/>
    <w:rsid w:val="006D4C43"/>
    <w:rsid w:val="006E73F8"/>
    <w:rsid w:val="006F7D6E"/>
    <w:rsid w:val="00701242"/>
    <w:rsid w:val="00766474"/>
    <w:rsid w:val="007A0438"/>
    <w:rsid w:val="007C47C0"/>
    <w:rsid w:val="007F2BFB"/>
    <w:rsid w:val="00805DAA"/>
    <w:rsid w:val="00812EA6"/>
    <w:rsid w:val="0084623D"/>
    <w:rsid w:val="00874FF5"/>
    <w:rsid w:val="0087639A"/>
    <w:rsid w:val="00876B8A"/>
    <w:rsid w:val="008F46FE"/>
    <w:rsid w:val="0096470E"/>
    <w:rsid w:val="009B0DA5"/>
    <w:rsid w:val="009F67CC"/>
    <w:rsid w:val="00A12875"/>
    <w:rsid w:val="00A12B2A"/>
    <w:rsid w:val="00A538CF"/>
    <w:rsid w:val="00A551D5"/>
    <w:rsid w:val="00A86551"/>
    <w:rsid w:val="00A95830"/>
    <w:rsid w:val="00AE23BB"/>
    <w:rsid w:val="00AE510C"/>
    <w:rsid w:val="00AE75FA"/>
    <w:rsid w:val="00AF0980"/>
    <w:rsid w:val="00AF0DB5"/>
    <w:rsid w:val="00B505FB"/>
    <w:rsid w:val="00B73648"/>
    <w:rsid w:val="00B81E71"/>
    <w:rsid w:val="00BA52C7"/>
    <w:rsid w:val="00BC1288"/>
    <w:rsid w:val="00BC5318"/>
    <w:rsid w:val="00C05F52"/>
    <w:rsid w:val="00C27E25"/>
    <w:rsid w:val="00C818B4"/>
    <w:rsid w:val="00CA5FF1"/>
    <w:rsid w:val="00CA7B56"/>
    <w:rsid w:val="00CC4693"/>
    <w:rsid w:val="00CD5C6E"/>
    <w:rsid w:val="00CE566F"/>
    <w:rsid w:val="00D0276F"/>
    <w:rsid w:val="00D22C3C"/>
    <w:rsid w:val="00D260D6"/>
    <w:rsid w:val="00D9478A"/>
    <w:rsid w:val="00DC7FF3"/>
    <w:rsid w:val="00DD2123"/>
    <w:rsid w:val="00DE4169"/>
    <w:rsid w:val="00E96329"/>
    <w:rsid w:val="00EA4E0B"/>
    <w:rsid w:val="00EB6480"/>
    <w:rsid w:val="00EF440E"/>
    <w:rsid w:val="00EF7694"/>
    <w:rsid w:val="00F33D77"/>
    <w:rsid w:val="00F55706"/>
    <w:rsid w:val="00FA66F3"/>
    <w:rsid w:val="00FC40AE"/>
    <w:rsid w:val="00FE1766"/>
    <w:rsid w:val="00FF02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77E9033"/>
  <w15:chartTrackingRefBased/>
  <w15:docId w15:val="{D4072FD2-5247-E947-ACDD-F0EF3FE1F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551"/>
    <w:pPr>
      <w:widowControl w:val="0"/>
      <w:spacing w:after="120"/>
      <w:jc w:val="both"/>
    </w:pPr>
    <w:rPr>
      <w:rFonts w:ascii="Calibri" w:hAnsi="Calibri"/>
    </w:rPr>
  </w:style>
  <w:style w:type="paragraph" w:styleId="Heading1">
    <w:name w:val="heading 1"/>
    <w:basedOn w:val="Normal"/>
    <w:next w:val="Normal"/>
    <w:link w:val="Heading1Char"/>
    <w:uiPriority w:val="9"/>
    <w:qFormat/>
    <w:rsid w:val="00AF0DB5"/>
    <w:pPr>
      <w:keepNext/>
      <w:keepLines/>
      <w:spacing w:before="240"/>
      <w:outlineLvl w:val="0"/>
    </w:pPr>
    <w:rPr>
      <w:rFonts w:eastAsiaTheme="majorEastAsia" w:cs="Calibri"/>
      <w:b/>
      <w:bCs/>
      <w:sz w:val="32"/>
      <w:szCs w:val="32"/>
    </w:rPr>
  </w:style>
  <w:style w:type="paragraph" w:styleId="Heading2">
    <w:name w:val="heading 2"/>
    <w:basedOn w:val="Normal"/>
    <w:next w:val="Normal"/>
    <w:link w:val="Heading2Char"/>
    <w:uiPriority w:val="9"/>
    <w:unhideWhenUsed/>
    <w:qFormat/>
    <w:rsid w:val="00A86551"/>
    <w:pPr>
      <w:keepNext/>
      <w:keepLines/>
      <w:spacing w:before="40"/>
      <w:outlineLvl w:val="1"/>
    </w:pPr>
    <w:rPr>
      <w:rFonts w:eastAsiaTheme="majorEastAsia" w:cstheme="majorBidi"/>
      <w: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6771"/>
    <w:pPr>
      <w:tabs>
        <w:tab w:val="center" w:pos="4252"/>
        <w:tab w:val="right" w:pos="8504"/>
      </w:tabs>
      <w:snapToGrid w:val="0"/>
    </w:pPr>
  </w:style>
  <w:style w:type="character" w:customStyle="1" w:styleId="HeaderChar">
    <w:name w:val="Header Char"/>
    <w:basedOn w:val="DefaultParagraphFont"/>
    <w:link w:val="Header"/>
    <w:uiPriority w:val="99"/>
    <w:rsid w:val="00326771"/>
  </w:style>
  <w:style w:type="paragraph" w:styleId="Footer">
    <w:name w:val="footer"/>
    <w:basedOn w:val="Normal"/>
    <w:link w:val="FooterChar"/>
    <w:uiPriority w:val="99"/>
    <w:unhideWhenUsed/>
    <w:rsid w:val="00326771"/>
    <w:pPr>
      <w:tabs>
        <w:tab w:val="center" w:pos="4252"/>
        <w:tab w:val="right" w:pos="8504"/>
      </w:tabs>
      <w:snapToGrid w:val="0"/>
    </w:pPr>
  </w:style>
  <w:style w:type="character" w:customStyle="1" w:styleId="FooterChar">
    <w:name w:val="Footer Char"/>
    <w:basedOn w:val="DefaultParagraphFont"/>
    <w:link w:val="Footer"/>
    <w:uiPriority w:val="99"/>
    <w:rsid w:val="00326771"/>
  </w:style>
  <w:style w:type="character" w:styleId="PageNumber">
    <w:name w:val="page number"/>
    <w:basedOn w:val="DefaultParagraphFont"/>
    <w:uiPriority w:val="99"/>
    <w:semiHidden/>
    <w:unhideWhenUsed/>
    <w:rsid w:val="009B0DA5"/>
  </w:style>
  <w:style w:type="character" w:customStyle="1" w:styleId="Heading1Char">
    <w:name w:val="Heading 1 Char"/>
    <w:basedOn w:val="DefaultParagraphFont"/>
    <w:link w:val="Heading1"/>
    <w:uiPriority w:val="9"/>
    <w:rsid w:val="00AF0DB5"/>
    <w:rPr>
      <w:rFonts w:ascii="Calibri" w:eastAsiaTheme="majorEastAsia" w:hAnsi="Calibri" w:cs="Calibri"/>
      <w:b/>
      <w:bCs/>
      <w:sz w:val="32"/>
      <w:szCs w:val="32"/>
    </w:rPr>
  </w:style>
  <w:style w:type="table" w:styleId="PlainTable2">
    <w:name w:val="Plain Table 2"/>
    <w:basedOn w:val="TableNormal"/>
    <w:uiPriority w:val="42"/>
    <w:rsid w:val="000150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1507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1507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015075"/>
    <w:pPr>
      <w:spacing w:after="200"/>
    </w:pPr>
    <w:rPr>
      <w:i/>
      <w:iCs/>
      <w:color w:val="44546A" w:themeColor="text2"/>
      <w:sz w:val="18"/>
      <w:szCs w:val="18"/>
    </w:rPr>
  </w:style>
  <w:style w:type="character" w:styleId="Hyperlink">
    <w:name w:val="Hyperlink"/>
    <w:basedOn w:val="DefaultParagraphFont"/>
    <w:uiPriority w:val="99"/>
    <w:unhideWhenUsed/>
    <w:rsid w:val="00015075"/>
    <w:rPr>
      <w:color w:val="0563C1" w:themeColor="hyperlink"/>
      <w:u w:val="single"/>
    </w:rPr>
  </w:style>
  <w:style w:type="paragraph" w:styleId="ListParagraph">
    <w:name w:val="List Paragraph"/>
    <w:basedOn w:val="Normal"/>
    <w:uiPriority w:val="34"/>
    <w:qFormat/>
    <w:rsid w:val="000B642D"/>
    <w:pPr>
      <w:ind w:left="720"/>
      <w:contextualSpacing/>
    </w:pPr>
  </w:style>
  <w:style w:type="paragraph" w:customStyle="1" w:styleId="Default">
    <w:name w:val="Default"/>
    <w:rsid w:val="00CD5C6E"/>
    <w:pPr>
      <w:autoSpaceDE w:val="0"/>
      <w:autoSpaceDN w:val="0"/>
      <w:adjustRightInd w:val="0"/>
    </w:pPr>
    <w:rPr>
      <w:rFonts w:ascii="Arial" w:hAnsi="Arial" w:cs="Arial"/>
      <w:color w:val="000000"/>
      <w:kern w:val="0"/>
      <w:sz w:val="24"/>
    </w:rPr>
  </w:style>
  <w:style w:type="character" w:customStyle="1" w:styleId="Heading2Char">
    <w:name w:val="Heading 2 Char"/>
    <w:basedOn w:val="DefaultParagraphFont"/>
    <w:link w:val="Heading2"/>
    <w:uiPriority w:val="9"/>
    <w:rsid w:val="00A86551"/>
    <w:rPr>
      <w:rFonts w:ascii="Calibri" w:eastAsiaTheme="majorEastAsia" w:hAnsi="Calibri" w:cstheme="majorBidi"/>
      <w:i/>
      <w:color w:val="000000" w:themeColor="text1"/>
      <w:sz w:val="26"/>
      <w:szCs w:val="26"/>
    </w:rPr>
  </w:style>
  <w:style w:type="paragraph" w:styleId="Title">
    <w:name w:val="Title"/>
    <w:basedOn w:val="Normal"/>
    <w:next w:val="Normal"/>
    <w:link w:val="TitleChar"/>
    <w:uiPriority w:val="10"/>
    <w:qFormat/>
    <w:rsid w:val="00CA5FF1"/>
    <w:pPr>
      <w:spacing w:after="0"/>
      <w:contextualSpacing/>
    </w:pPr>
    <w:rPr>
      <w:rFonts w:eastAsiaTheme="majorEastAsia" w:cstheme="majorBidi"/>
      <w:spacing w:val="-10"/>
      <w:kern w:val="28"/>
      <w:sz w:val="32"/>
      <w:szCs w:val="56"/>
    </w:rPr>
  </w:style>
  <w:style w:type="character" w:customStyle="1" w:styleId="TitleChar">
    <w:name w:val="Title Char"/>
    <w:basedOn w:val="DefaultParagraphFont"/>
    <w:link w:val="Title"/>
    <w:uiPriority w:val="10"/>
    <w:rsid w:val="00CA5FF1"/>
    <w:rPr>
      <w:rFonts w:ascii="Calibri" w:eastAsiaTheme="majorEastAsia" w:hAnsi="Calibri" w:cstheme="majorBidi"/>
      <w:spacing w:val="-10"/>
      <w:kern w:val="28"/>
      <w:sz w:val="32"/>
      <w:szCs w:val="56"/>
    </w:rPr>
  </w:style>
  <w:style w:type="table" w:styleId="PlainTable5">
    <w:name w:val="Plain Table 5"/>
    <w:basedOn w:val="TableNormal"/>
    <w:uiPriority w:val="45"/>
    <w:rsid w:val="0027788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481001"/>
    <w:rPr>
      <w:rFonts w:ascii="Calibri" w:hAnsi="Calibri"/>
    </w:rPr>
  </w:style>
  <w:style w:type="character" w:styleId="CommentReference">
    <w:name w:val="annotation reference"/>
    <w:basedOn w:val="DefaultParagraphFont"/>
    <w:uiPriority w:val="99"/>
    <w:semiHidden/>
    <w:unhideWhenUsed/>
    <w:rsid w:val="00027732"/>
    <w:rPr>
      <w:sz w:val="18"/>
      <w:szCs w:val="18"/>
    </w:rPr>
  </w:style>
  <w:style w:type="paragraph" w:styleId="CommentText">
    <w:name w:val="annotation text"/>
    <w:basedOn w:val="Normal"/>
    <w:link w:val="CommentTextChar"/>
    <w:uiPriority w:val="99"/>
    <w:unhideWhenUsed/>
    <w:rsid w:val="00027732"/>
    <w:pPr>
      <w:jc w:val="left"/>
    </w:pPr>
  </w:style>
  <w:style w:type="character" w:customStyle="1" w:styleId="CommentTextChar">
    <w:name w:val="Comment Text Char"/>
    <w:basedOn w:val="DefaultParagraphFont"/>
    <w:link w:val="CommentText"/>
    <w:uiPriority w:val="99"/>
    <w:rsid w:val="00027732"/>
    <w:rPr>
      <w:rFonts w:ascii="Calibri" w:hAnsi="Calibri"/>
    </w:rPr>
  </w:style>
  <w:style w:type="paragraph" w:styleId="CommentSubject">
    <w:name w:val="annotation subject"/>
    <w:basedOn w:val="CommentText"/>
    <w:next w:val="CommentText"/>
    <w:link w:val="CommentSubjectChar"/>
    <w:uiPriority w:val="99"/>
    <w:semiHidden/>
    <w:unhideWhenUsed/>
    <w:rsid w:val="00027732"/>
    <w:rPr>
      <w:b/>
      <w:bCs/>
    </w:rPr>
  </w:style>
  <w:style w:type="character" w:customStyle="1" w:styleId="CommentSubjectChar">
    <w:name w:val="Comment Subject Char"/>
    <w:basedOn w:val="CommentTextChar"/>
    <w:link w:val="CommentSubject"/>
    <w:uiPriority w:val="99"/>
    <w:semiHidden/>
    <w:rsid w:val="00027732"/>
    <w:rPr>
      <w:rFonts w:ascii="Calibri"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740058">
      <w:bodyDiv w:val="1"/>
      <w:marLeft w:val="0"/>
      <w:marRight w:val="0"/>
      <w:marTop w:val="0"/>
      <w:marBottom w:val="0"/>
      <w:divBdr>
        <w:top w:val="none" w:sz="0" w:space="0" w:color="auto"/>
        <w:left w:val="none" w:sz="0" w:space="0" w:color="auto"/>
        <w:bottom w:val="none" w:sz="0" w:space="0" w:color="auto"/>
        <w:right w:val="none" w:sz="0" w:space="0" w:color="auto"/>
      </w:divBdr>
    </w:div>
    <w:div w:id="661934608">
      <w:bodyDiv w:val="1"/>
      <w:marLeft w:val="0"/>
      <w:marRight w:val="0"/>
      <w:marTop w:val="0"/>
      <w:marBottom w:val="0"/>
      <w:divBdr>
        <w:top w:val="none" w:sz="0" w:space="0" w:color="auto"/>
        <w:left w:val="none" w:sz="0" w:space="0" w:color="auto"/>
        <w:bottom w:val="none" w:sz="0" w:space="0" w:color="auto"/>
        <w:right w:val="none" w:sz="0" w:space="0" w:color="auto"/>
      </w:divBdr>
    </w:div>
    <w:div w:id="1127969492">
      <w:bodyDiv w:val="1"/>
      <w:marLeft w:val="0"/>
      <w:marRight w:val="0"/>
      <w:marTop w:val="0"/>
      <w:marBottom w:val="0"/>
      <w:divBdr>
        <w:top w:val="none" w:sz="0" w:space="0" w:color="auto"/>
        <w:left w:val="none" w:sz="0" w:space="0" w:color="auto"/>
        <w:bottom w:val="none" w:sz="0" w:space="0" w:color="auto"/>
        <w:right w:val="none" w:sz="0" w:space="0" w:color="auto"/>
      </w:divBdr>
    </w:div>
    <w:div w:id="2003268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74498D-B219-4521-BD85-6D9FD8B6E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Pages>
  <Words>2957</Words>
  <Characters>16856</Characters>
  <Application>Microsoft Office Word</Application>
  <DocSecurity>0</DocSecurity>
  <Lines>140</Lines>
  <Paragraphs>39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井嶋　浩貴</dc:creator>
  <cp:keywords/>
  <dc:description/>
  <cp:lastModifiedBy>Michelle Sculley</cp:lastModifiedBy>
  <cp:revision>19</cp:revision>
  <dcterms:created xsi:type="dcterms:W3CDTF">2025-11-04T07:44:00Z</dcterms:created>
  <dcterms:modified xsi:type="dcterms:W3CDTF">2026-01-06T01:29:00Z</dcterms:modified>
</cp:coreProperties>
</file>