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Reasoning Task Bank — Decisions Summary</w:t>
      </w:r>
    </w:p>
    <w:p>
      <w:pPr>
        <w:spacing w:after="200"/>
      </w:pPr>
      <w:r>
        <w:rPr>
          <w:i/>
          <w:iCs/>
        </w:rPr>
        <w:t xml:space="preserve">Objective 1 lab study — general fluid-reasoning task family. Companion files: reasoning_battery.js (generator) + mitre_reasoning_items.js (real items). Built on the v3 schema/controller.</w:t>
      </w:r>
    </w:p>
    <w:p>
      <w:pPr>
        <w:pStyle w:val="Heading1"/>
      </w:pPr>
      <w:r>
        <w:t xml:space="preserve">Why this family</w:t>
      </w:r>
    </w:p>
    <w:p>
      <w:pPr>
        <w:spacing w:after="140" w:line="276"/>
        <w:jc w:val="both"/>
      </w:pPr>
      <w:r>
        <w:t xml:space="preserve">The hybrid battery needs tasks that are credible for participants who rank computing/systems second — strong but not identity-defining — and that vary enough in surface to avoid boredom over many rounds. A general fluid-reasoning family answers both: the surface rotates while the difficulty construct stays fixed.</w:t>
      </w:r>
    </w:p>
    <w:p>
      <w:pPr>
        <w:pBdr>
          <w:left w:val="single" w:color="2E75B6" w:sz="18" w:space="12"/>
        </w:pBdr>
        <w:spacing w:after="140" w:line="276"/>
        <w:ind w:left="120"/>
        <w:jc w:val="both"/>
      </w:pPr>
      <w:r>
        <w:rPr>
          <w:b/>
          <w:bCs/>
        </w:rPr>
        <w:t xml:space="preserve">TEAM DECISION  </w:t>
      </w:r>
      <w:r>
        <w:rPr>
          <w:b/>
          <w:bCs/>
        </w:rPr>
        <w:t xml:space="preserve">Source. </w:t>
      </w:r>
      <w:r>
        <w:t xml:space="preserve">The MITRE/ETS Inductive Reasoning battery: Number Series (NS), Letter Series (LS), Figure Series (FS), and Matrix Reasoning (MR). The four surfaces sit on one fluid-reasoning construct with published, IRT-calibrated per-item difficulty, so difficulty stays a single, stable scale while the surface rotates — variety for the participant, one difficulty model for us. The battery is deliberately high-ceiling (normed on high-ability adults incl. graduate degree-holders), which suits a cohort we must be able to fail credibly.</w:t>
      </w:r>
    </w:p>
    <w:p>
      <w:pPr>
        <w:pBdr>
          <w:left w:val="single" w:color="2E75B6" w:sz="18" w:space="12"/>
        </w:pBdr>
        <w:spacing w:after="140" w:line="276"/>
        <w:ind w:left="120"/>
        <w:jc w:val="both"/>
      </w:pPr>
      <w:r>
        <w:rPr>
          <w:b/>
          <w:bCs/>
        </w:rPr>
        <w:t xml:space="preserve">TEAM DECISION  </w:t>
      </w:r>
      <w:r>
        <w:rPr>
          <w:b/>
          <w:bCs/>
        </w:rPr>
        <w:t xml:space="preserve">Single-item delivery. </w:t>
      </w:r>
      <w:r>
        <w:t xml:space="preserve">Deliver one item at a time, not in blocks. Unlike the quick rotation judgments (which must be blocked to carry a percentile), a single reasoning item has a long, variable solve time and is itself substantial enough to anchor one emotion reading. Accuracy genuinely varies item to item, so — unlike rotation — a fabricated low-accuracy percentile is credible here, while speed remains a fully controllable lever. (Tagged unit: "single".)</w:t>
      </w:r>
    </w:p>
    <w:p>
      <w:pPr>
        <w:pStyle w:val="Heading1"/>
      </w:pPr>
      <w:r>
        <w:t xml:space="preserve">Source, provenance, and verification</w:t>
      </w:r>
    </w:p>
    <w:p>
      <w:pPr>
        <w:spacing w:after="140" w:line="276"/>
        <w:jc w:val="both"/>
      </w:pPr>
      <w:r>
        <w:t xml:space="preserve">The bank is now populated with real items, not placeholders. They were taken from the public guide (“Guide to MITRE/ETS Inductive Reasoning Battery for a High Ability Population”, 22 Jul 2016; Approved for Public Release, Distribution Unlimited, case 16-2283; IARPA-funded, U.S. Government authorized to reproduce), Appendices B–D.</w:t>
      </w:r>
    </w:p>
    <w:p>
      <w:pPr>
        <w:pBdr>
          <w:left w:val="single" w:color="2E75B6" w:sz="18" w:space="12"/>
        </w:pBdr>
        <w:spacing w:after="140" w:line="276"/>
        <w:ind w:left="120"/>
        <w:jc w:val="both"/>
      </w:pPr>
      <w:r>
        <w:rPr>
          <w:b/>
          <w:bCs/>
        </w:rPr>
        <w:t xml:space="preserve">TEAM DECISION  </w:t>
      </w:r>
      <w:r>
        <w:rPr>
          <w:b/>
          <w:bCs/>
        </w:rPr>
        <w:t xml:space="preserve">What is real vs referenced. </w:t>
      </w:r>
      <w:r>
        <w:t xml:space="preserve">NS (70 items) and LS (60 items) carry their real stems, answer keys, and IRT b-values — both are constructed-response, so they are fully runnable from the data file. FS (60 items) carries the real b only; its arrow stimuli are font-encoded glyphs that render from your authorized copy. MR is held as reference slots — its items are images (matrixReasoning.zip) and its keys/parameters are in Appendix E, both obtained from the authors.</w:t>
      </w:r>
    </w:p>
    <w:p>
      <w:pPr>
        <w:pBdr>
          <w:left w:val="single" w:color="2E75B6" w:sz="18" w:space="12"/>
        </w:pBdr>
        <w:spacing w:after="140" w:line="276"/>
        <w:ind w:left="120"/>
        <w:jc w:val="both"/>
      </w:pPr>
      <w:r>
        <w:rPr>
          <w:b/>
          <w:bCs/>
        </w:rPr>
        <w:t xml:space="preserve">TEAM DECISION  </w:t>
      </w:r>
      <w:r>
        <w:rPr>
          <w:b/>
          <w:bCs/>
        </w:rPr>
        <w:t xml:space="preserve">Parsed, not retyped. </w:t>
      </w:r>
      <w:r>
        <w:t xml:space="preserve">The NS/LS tables were parsed verbatim from the guide’s extracted text rather than hand-transcribed, to keep transcription error out of the loop. Each row was split deterministically (key = the last element) and structurally validated: all 70 NS rows are nine integers in 1–99; all 60 LS rows are valid letter sequences (lengths 8–18).</w:t>
      </w:r>
    </w:p>
    <w:p>
      <w:pPr>
        <w:pBdr>
          <w:left w:val="single" w:color="C0392B" w:sz="18" w:space="12"/>
        </w:pBdr>
        <w:spacing w:after="140" w:line="276"/>
        <w:ind w:left="120"/>
        <w:jc w:val="both"/>
      </w:pPr>
      <w:r>
        <w:rPr>
          <w:b/>
          <w:bCs/>
        </w:rPr>
        <w:t xml:space="preserve">OPEN / TO CONFIRM  </w:t>
      </w:r>
      <w:r>
        <w:rPr>
          <w:b/>
          <w:bCs/>
        </w:rPr>
        <w:t xml:space="preserve">Key verification status. </w:t>
      </w:r>
      <w:r>
        <w:t xml:space="preserve">A rule-checker reproduced the NS answer key from the simple rules (constant, Fibonacci, checksum, and rule-applied-to-differences) for 19 of 70 items; the other 51 use rule combinations the checker does not enumerate, so their keys are transcribed-but-not-auto-verified. LS keys are not auto-verified at all. Before piloting, diff mitre_reasoning_items.js against your PDF copy of Appendices C/D.</w:t>
      </w:r>
    </w:p>
    <w:p>
      <w:pPr>
        <w:pBdr>
          <w:left w:val="single" w:color="2E75B6" w:sz="18" w:space="12"/>
        </w:pBdr>
        <w:spacing w:after="140" w:line="276"/>
        <w:ind w:left="120"/>
        <w:jc w:val="both"/>
      </w:pPr>
      <w:r>
        <w:rPr>
          <w:b/>
          <w:bCs/>
        </w:rPr>
        <w:t xml:space="preserve">TEAM NOTE  </w:t>
      </w:r>
      <w:r>
        <w:rPr>
          <w:b/>
          <w:bCs/>
        </w:rPr>
        <w:t xml:space="preserve">Security. </w:t>
      </w:r>
      <w:r>
        <w:t xml:space="preserve">Answer keys live in the bank because scoring needs them. Keep mitre_reasoning_items.js inside your secured system (the Appendix A information-security requirement) and never expose keys to participants. The guide is public release, but its own note asks that keys remain need-to-know.</w:t>
      </w:r>
    </w:p>
    <w:p>
      <w:pPr>
        <w:pStyle w:val="Heading1"/>
      </w:pPr>
      <w:r>
        <w:t xml:space="preserve">Difficulty model and surfaces</w:t>
      </w:r>
    </w:p>
    <w:p>
      <w:pPr>
        <w:pStyle w:val="ListParagraph"/>
        <w:numPr>
          <w:ilvl w:val="0"/>
          <w:numId w:val="2"/>
        </w:numPr>
        <w:spacing w:after="80" w:line="268"/>
        <w:jc w:val="both"/>
      </w:pPr>
      <w:r>
        <w:rPr>
          <w:b/>
          <w:bCs/>
        </w:rPr>
        <w:t xml:space="preserve">Tiers tie to credible emotions: </w:t>
      </w:r>
      <w:r>
        <w:t xml:space="preserve">easy → pride/relief (credible top-percentile); hard → shame/guilt/disappointment (credible bottom-percentile); mid → the moderate set (strong self-score shame omitted, but see the peer-norm route below).</w:t>
      </w:r>
    </w:p>
    <w:p>
      <w:pPr>
        <w:pStyle w:val="ListParagraph"/>
        <w:numPr>
          <w:ilvl w:val="0"/>
          <w:numId w:val="2"/>
        </w:numPr>
        <w:spacing w:after="80" w:line="268"/>
        <w:jc w:val="both"/>
      </w:pPr>
      <w:r>
        <w:rPr>
          <w:b/>
          <w:bCs/>
        </w:rPr>
        <w:t xml:space="preserve">Tiering is relative, by within-surface b-tertiles. </w:t>
      </w:r>
      <w:r>
        <w:t xml:space="preserve">The instrument is calibrated on a very high-ability sample, so absolute b runs high (NS median ≈ 1.9). Tiers are therefore the lower/middle/upper third of each surface’s own b-distribution (cutoffs: NS 1.44 / 3.03, LS −0.99 / −0.07, FS −0.68 / 0.57). These are placeholders: the real tier-to-emotion mapping, and the believable bands, come from your pilot with your cohort.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150"/>
        <w:gridCol w:w="1950"/>
        <w:gridCol w:w="3210"/>
      </w:tblGrid>
      <w:tr>
        <w:trPr>
          <w:tblHeader/>
        </w:trPr>
        <w:tc>
          <w:tcPr>
            <w:tcW w:type="dxa" w:w="205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line="252"/>
            </w:pPr>
            <w:r>
              <w:rPr>
                <w:b/>
                <w:bCs/>
              </w:rPr>
              <w:t xml:space="preserve">Surface</w:t>
            </w:r>
          </w:p>
        </w:tc>
        <w:tc>
          <w:tcPr>
            <w:tcW w:type="dxa" w:w="215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line="252"/>
            </w:pPr>
            <w:r>
              <w:rPr>
                <w:b/>
                <w:bCs/>
              </w:rPr>
              <w:t xml:space="preserve">Response</w:t>
            </w:r>
          </w:p>
        </w:tc>
        <w:tc>
          <w:tcPr>
            <w:tcW w:type="dxa" w:w="195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line="252"/>
            </w:pPr>
            <w:r>
              <w:rPr>
                <w:b/>
                <w:bCs/>
              </w:rPr>
              <w:t xml:space="preserve">Best-suited emotions</w:t>
            </w:r>
          </w:p>
        </w:tc>
        <w:tc>
          <w:tcPr>
            <w:tcW w:type="dxa" w:w="321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line="252"/>
            </w:pPr>
            <w:r>
              <w:rPr>
                <w:b/>
                <w:bCs/>
              </w:rPr>
              <w:t xml:space="preserve">Cohort notes</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Number Series</w:t>
            </w:r>
          </w:p>
        </w:tc>
        <w:tc>
          <w:tcPr>
            <w:tcW w:type="dxa" w:w="2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constructed (type the number)</w:t>
            </w:r>
          </w:p>
        </w:tc>
        <w:tc>
          <w:tcPr>
            <w:tcW w:type="dxa" w:w="1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all five (tier-dependent)</w:t>
            </w:r>
          </w:p>
        </w:tc>
        <w:tc>
          <w:tcPr>
            <w:tcW w:type="dxa" w:w="32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language-free; numeric results make above/below-expectation framing credible</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Letter Series</w:t>
            </w:r>
          </w:p>
        </w:tc>
        <w:tc>
          <w:tcPr>
            <w:tcW w:type="dxa" w:w="2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constructed (type the letter)</w:t>
            </w:r>
          </w:p>
        </w:tc>
        <w:tc>
          <w:tcPr>
            <w:tcW w:type="dxa" w:w="1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shame, guilt, relief</w:t>
            </w:r>
          </w:p>
        </w:tc>
        <w:tc>
          <w:tcPr>
            <w:tcW w:type="dxa" w:w="32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rule-finding; assumes Latin-alphabet fluency (mild load, far below anagrams)</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Figure Series</w:t>
            </w:r>
          </w:p>
        </w:tc>
        <w:tc>
          <w:tcPr>
            <w:tcW w:type="dxa" w:w="2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choice (8 arrow orientations)</w:t>
            </w:r>
          </w:p>
        </w:tc>
        <w:tc>
          <w:tcPr>
            <w:tcW w:type="dxa" w:w="1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pride, relief (easy)</w:t>
            </w:r>
          </w:p>
        </w:tc>
        <w:tc>
          <w:tcPr>
            <w:tcW w:type="dxa" w:w="32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language-free; visual surface suits design/media</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Matrix Reasoning</w:t>
            </w:r>
          </w:p>
        </w:tc>
        <w:tc>
          <w:tcPr>
            <w:tcW w:type="dxa" w:w="2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choice (8 options)</w:t>
            </w:r>
          </w:p>
        </w:tc>
        <w:tc>
          <w:tcPr>
            <w:tcW w:type="dxa" w:w="1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all five; generalAbility</w:t>
            </w:r>
          </w:p>
        </w:tc>
        <w:tc>
          <w:tcPr>
            <w:tcW w:type="dxa" w:w="32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IQ-like → broadly identity-relevant; watch suspicion in high-ability self-testers</w:t>
            </w:r>
          </w:p>
        </w:tc>
      </w:tr>
    </w:tbl>
    <w:p>
      <w:pPr>
        <w:pStyle w:val="Heading1"/>
      </w:pPr>
      <w:r>
        <w:t xml:space="preserve">Feedback levers and the credibility of a fabricated percentile</w:t>
      </w:r>
    </w:p>
    <w:p>
      <w:pPr>
        <w:spacing w:after="140" w:line="276"/>
        <w:jc w:val="both"/>
      </w:pPr>
      <w:r>
        <w:t xml:space="preserve">With single items, what the displayed percentile refers to matters, because each reference has a different believability constraint. Every feedback variant is tagged with a percentile reference (pctRef).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4060"/>
      </w:tblGrid>
      <w:tr>
        <w:trPr>
          <w:tblHeader/>
        </w:trPr>
        <w:tc>
          <w:tcPr>
            <w:tcW w:type="dxa" w:w="22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line="252"/>
            </w:pPr>
            <w:r>
              <w:rPr>
                <w:b/>
                <w:bCs/>
              </w:rPr>
              <w:t xml:space="preserve">pctRef</w:t>
            </w:r>
          </w:p>
        </w:tc>
        <w:tc>
          <w:tcPr>
            <w:tcW w:type="dxa" w:w="31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line="252"/>
            </w:pPr>
            <w:r>
              <w:rPr>
                <w:b/>
                <w:bCs/>
              </w:rPr>
              <w:t xml:space="preserve">Claims</w:t>
            </w:r>
          </w:p>
        </w:tc>
        <w:tc>
          <w:tcPr>
            <w:tcW w:type="dxa" w:w="406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line="252"/>
            </w:pPr>
            <w:r>
              <w:rPr>
                <w:b/>
                <w:bCs/>
              </w:rPr>
              <w:t xml:space="preserve">Credible when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self_speed</w:t>
            </w:r>
          </w:p>
        </w:tc>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the participant’s own speed percentile</w:t>
            </w:r>
          </w:p>
        </w:tc>
        <w:tc>
          <w:tcPr>
            <w:tcW w:type="dxa" w:w="4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always — they cannot know their true speed rank; works on ONE item. Primary shame/pride lever.</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self_score</w:t>
            </w:r>
          </w:p>
        </w:tc>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their own score/accuracy percentile</w:t>
            </w:r>
          </w:p>
        </w:tc>
        <w:tc>
          <w:tcPr>
            <w:tcW w:type="dxa" w:w="4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it agrees with the real answer and the task’s believable band; strong bottom-percentiles need a hard item.</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peer_success</w:t>
            </w:r>
          </w:p>
        </w:tc>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share of an in-group that got it right (“85% of designers got this”)</w:t>
            </w:r>
          </w:p>
        </w:tc>
        <w:tc>
          <w:tcPr>
            <w:tcW w:type="dxa" w:w="4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near the item’s REAL pass rate; on an easy/mid item it individuates a failer — this UNLOCKS shame at mid difficulty.</w:t>
            </w:r>
          </w:p>
        </w:tc>
      </w:tr>
    </w:tbl>
    <w:p>
      <w:pPr>
        <w:pBdr>
          <w:left w:val="single" w:color="2E75B6" w:sz="18" w:space="12"/>
        </w:pBdr>
        <w:spacing w:after="140" w:line="276"/>
        <w:ind w:left="120"/>
        <w:jc w:val="both"/>
      </w:pPr>
      <w:r>
        <w:rPr>
          <w:b/>
          <w:bCs/>
        </w:rPr>
        <w:t xml:space="preserve">TEAM DECISION  </w:t>
      </w:r>
      <w:r>
        <w:t xml:space="preserve">Comparators are chosen close to the participant. Proximate referents dominate distant ones, so a fabricated norm names the participant’s own valued in-group (“people who identified as designers”), not a remote standard. The referent therefore tracks a domain the participant values — which the value gate already enforces.</w:t>
      </w:r>
    </w:p>
    <w:p>
      <w:pPr>
        <w:pBdr>
          <w:left w:val="single" w:color="2E75B6" w:sz="18" w:space="12"/>
        </w:pBdr>
        <w:spacing w:after="140" w:line="276"/>
        <w:ind w:left="120"/>
        <w:jc w:val="both"/>
      </w:pPr>
      <w:r>
        <w:rPr>
          <w:b/>
          <w:bCs/>
        </w:rPr>
        <w:t xml:space="preserve">TEAM DECISION  </w:t>
      </w:r>
      <w:r>
        <w:t xml:space="preserve">Per-domain framing. One stimulus is aimed at different identities by swapping the framing layer (referent, ability wording, prime) per domain, without duplicating the stimulus. E.g. the same number-series item shames a computing-identifier on “logical sequencing” and a designer on “the rule-finding side of design reasoning.”</w:t>
      </w:r>
    </w:p>
    <w:p>
      <w:pPr>
        <w:pStyle w:val="Heading1"/>
      </w:pPr>
      <w:r>
        <w:t xml:space="preserve">Outcome-contingent feedback and the two pivots</w:t>
      </w:r>
    </w:p>
    <w:p>
      <w:pPr>
        <w:pBdr>
          <w:left w:val="single" w:color="2E75B6" w:sz="18" w:space="12"/>
        </w:pBdr>
        <w:spacing w:after="140" w:line="276"/>
        <w:ind w:left="120"/>
        <w:jc w:val="both"/>
      </w:pPr>
      <w:r>
        <w:rPr>
          <w:b/>
          <w:bCs/>
        </w:rPr>
        <w:t xml:space="preserve">TEAM DECISION  </w:t>
      </w:r>
      <w:r>
        <w:t xml:space="preserve">Outcome-contingency. Accuracy framing is only credible if it agrees with the real answer, so the specific variant is resolved after the task, from real performance. One target emotion can carry two routes: shame from a wrong answer reads off a bottom-percentile or an in-group success norm; shame from a right-but-slow answer reads off the speed percentile.</w:t>
      </w:r>
    </w:p>
    <w:p>
      <w:pPr>
        <w:pBdr>
          <w:left w:val="single" w:color="2E75B6" w:sz="18" w:space="12"/>
        </w:pBdr>
        <w:spacing w:after="140" w:line="276"/>
        <w:ind w:left="120"/>
        <w:jc w:val="both"/>
      </w:pPr>
      <w:r>
        <w:rPr>
          <w:b/>
          <w:bCs/>
        </w:rPr>
        <w:t xml:space="preserve">TEAM DECISION  </w:t>
      </w:r>
      <w:r>
        <w:t xml:space="preserve">Positive pivot. When a participant does better than a failure-targeted induction expected (they succeed), we pivot to fabricated pride or relief that capitalises on the real success — credible and higher-yield than a lukewarm honest result. A low-expectancy prime steers the pivot to relief; otherwise pride.</w:t>
      </w:r>
    </w:p>
    <w:p>
      <w:pPr>
        <w:pBdr>
          <w:left w:val="single" w:color="2E75B6" w:sz="18" w:space="12"/>
        </w:pBdr>
        <w:spacing w:after="140" w:line="276"/>
        <w:ind w:left="120"/>
        <w:jc w:val="both"/>
      </w:pPr>
      <w:r>
        <w:rPr>
          <w:b/>
          <w:bCs/>
        </w:rPr>
        <w:t xml:space="preserve">TEAM DECISION  </w:t>
      </w:r>
      <w:r>
        <w:t xml:space="preserve">Gated negative pivot. When a participant fails under a positive target, we capitalise on the real failure too — but only through a negative variant that clears the same harm/consent gates a planned negative faces (cap, no-two-in-a-row, value, distress, credibility). The label is keyed on felt emotion, so an honest “you failed” already costs a negative; a shaped, confirmable negative beats a muddy one, and a pivot off a real failure is a lighter deception than a fabricated outcome.</w:t>
      </w:r>
    </w:p>
    <w:p>
      <w:pPr>
        <w:pBdr>
          <w:left w:val="single" w:color="2E75B6" w:sz="18" w:space="12"/>
        </w:pBdr>
        <w:spacing w:after="140" w:line="276"/>
        <w:ind w:left="120"/>
        <w:jc w:val="both"/>
      </w:pPr>
      <w:r>
        <w:rPr>
          <w:b/>
          <w:bCs/>
        </w:rPr>
        <w:t xml:space="preserve">TEAM DECISION  </w:t>
      </w:r>
      <w:r>
        <w:t xml:space="preserve">Prime + response time pick the pivot emotion. A fast (rushed) wrong answer is attributed to effort → guilt; a slow but failed answer to ability → shame; a high-expectancy setup admits disappointment. A relief setup (primed low) is left alone. If no negative clears the gates, resolution degrades to honest feedback and off-target harvesting still labels whatever the participant feels. To support this, easy/mid positive tasks carry failure-landing variants (peer_success on easy, where the only credible percentile is a high in-group pass rate).</w:t>
      </w:r>
    </w:p>
    <w:p>
      <w:pPr>
        <w:pStyle w:val="Heading1"/>
      </w:pPr>
      <w:r>
        <w:t xml:space="preserve">General-ability matrices</w:t>
      </w:r>
    </w:p>
    <w:p>
      <w:pPr>
        <w:pBdr>
          <w:left w:val="single" w:color="2E75B6" w:sz="18" w:space="12"/>
        </w:pBdr>
        <w:spacing w:after="140" w:line="276"/>
        <w:ind w:left="120"/>
        <w:jc w:val="both"/>
      </w:pPr>
      <w:r>
        <w:rPr>
          <w:b/>
          <w:bCs/>
        </w:rPr>
        <w:t xml:space="preserve">TEAM DECISION  </w:t>
      </w:r>
      <w:r>
        <w:t xml:space="preserve">Matrices are flagged generalAbility. Because they read as IQ-like, their threat is to general reasoning rather than to one domain’s identity, so they are servable to participants who do not strongly identify with any single domain; the controller relaxes the value gate for them. Feedback attributes to general/visual reasoning, not domain talent.</w:t>
      </w:r>
    </w:p>
    <w:p>
      <w:pPr>
        <w:pBdr>
          <w:left w:val="single" w:color="2E75B6" w:sz="18" w:space="12"/>
        </w:pBdr>
        <w:spacing w:after="140" w:line="276"/>
        <w:ind w:left="120"/>
        <w:jc w:val="both"/>
      </w:pPr>
      <w:r>
        <w:rPr>
          <w:b/>
          <w:bCs/>
        </w:rPr>
        <w:t xml:space="preserve">TEAM NOTE  </w:t>
      </w:r>
      <w:r>
        <w:t xml:space="preserve">Priming matrices as design-relevant avoids the loaded term “design patterns” (which designers read as UI/solution templates, not rule completion). We frame the prime as spotting the underlying structure/regularity — true across both senses — and lean on the suspicion safeguards, since expert self-testers are exactly who would catch a conflation.</w:t>
      </w:r>
    </w:p>
    <w:p>
      <w:pPr>
        <w:pStyle w:val="Heading1"/>
      </w:pPr>
      <w:r>
        <w:t xml:space="preserve">Bank composition</w:t>
      </w:r>
    </w:p>
    <w:p>
      <w:pPr>
        <w:spacing w:after="140" w:line="276"/>
        <w:jc w:val="both"/>
      </w:pPr>
      <w:r>
        <w:t xml:space="preserve">The generator emits a balanced 42-task bank from the real item pools via per-surface × tier selection; the remaining real items stay in mitre_reasoning_items.js as a reserve to swap in by widening the SELECT caps. Tiers run 12 easy / 13 mid / 17 hard (hard-weighted, since shame is the scarce, priority emotion).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50"/>
        <w:gridCol w:w="1700"/>
        <w:gridCol w:w="1900"/>
        <w:gridCol w:w="2410"/>
      </w:tblGrid>
      <w:tr>
        <w:trPr>
          <w:tblHeader/>
        </w:trPr>
        <w:tc>
          <w:tcPr>
            <w:tcW w:type="dxa" w:w="20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line="252"/>
            </w:pPr>
            <w:r>
              <w:rPr>
                <w:b/>
                <w:bCs/>
              </w:rPr>
              <w:t xml:space="preserve">Surface</w:t>
            </w:r>
          </w:p>
        </w:tc>
        <w:tc>
          <w:tcPr>
            <w:tcW w:type="dxa" w:w="135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line="252"/>
            </w:pPr>
            <w:r>
              <w:rPr>
                <w:b/>
                <w:bCs/>
              </w:rPr>
              <w:t xml:space="preserve">Real items</w:t>
            </w:r>
          </w:p>
        </w:tc>
        <w:tc>
          <w:tcPr>
            <w:tcW w:type="dxa" w:w="17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line="252"/>
            </w:pPr>
            <w:r>
              <w:rPr>
                <w:b/>
                <w:bCs/>
              </w:rPr>
              <w:t xml:space="preserve">Selected (e/m/h)</w:t>
            </w:r>
          </w:p>
        </w:tc>
        <w:tc>
          <w:tcPr>
            <w:tcW w:type="dxa" w:w="19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line="252"/>
            </w:pPr>
            <w:r>
              <w:rPr>
                <w:b/>
                <w:bCs/>
              </w:rPr>
              <w:t xml:space="preserve">Domains</w:t>
            </w:r>
          </w:p>
        </w:tc>
        <w:tc>
          <w:tcPr>
            <w:tcW w:type="dxa" w:w="241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line="252"/>
            </w:pPr>
            <w:r>
              <w:rPr>
                <w:b/>
                <w:bCs/>
              </w:rPr>
              <w:t xml:space="preserve">Content status</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Number Series</w:t>
            </w:r>
          </w:p>
        </w:tc>
        <w:tc>
          <w:tcPr>
            <w:tcW w:type="dxa" w:w="13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70</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3 / 3 / 5  = 11</w:t>
            </w:r>
          </w:p>
        </w:tc>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computing, design</w:t>
            </w:r>
          </w:p>
        </w:tc>
        <w:tc>
          <w:tcPr>
            <w:tcW w:type="dxa" w:w="2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runnable — real stem + key</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Letter Series</w:t>
            </w:r>
          </w:p>
        </w:tc>
        <w:tc>
          <w:tcPr>
            <w:tcW w:type="dxa" w:w="13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60</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2 / 3 / 4  = 9</w:t>
            </w:r>
          </w:p>
        </w:tc>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computing, design</w:t>
            </w:r>
          </w:p>
        </w:tc>
        <w:tc>
          <w:tcPr>
            <w:tcW w:type="dxa" w:w="2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runnable — real stem + key</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Figure Series</w:t>
            </w:r>
          </w:p>
        </w:tc>
        <w:tc>
          <w:tcPr>
            <w:tcW w:type="dxa" w:w="13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60</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4 / 3 / 2  = 9</w:t>
            </w:r>
          </w:p>
        </w:tc>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design, media</w:t>
            </w:r>
          </w:p>
        </w:tc>
        <w:tc>
          <w:tcPr>
            <w:tcW w:type="dxa" w:w="2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reference — real b; arrows from your copy</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Matrix Reasoning</w:t>
            </w:r>
          </w:p>
        </w:tc>
        <w:tc>
          <w:tcPr>
            <w:tcW w:type="dxa" w:w="13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3 / 4 / 6  = 13</w:t>
            </w:r>
          </w:p>
        </w:tc>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design, media, computing</w:t>
            </w:r>
          </w:p>
        </w:tc>
        <w:tc>
          <w:tcPr>
            <w:tcW w:type="dxa" w:w="2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t xml:space="preserve">placeholder — images + keys from authors</w:t>
            </w:r>
          </w:p>
        </w:tc>
      </w:tr>
    </w:tbl>
    <w:p>
      <w:pPr>
        <w:pBdr>
          <w:left w:val="single" w:color="2E75B6" w:sz="18" w:space="12"/>
        </w:pBdr>
        <w:spacing w:after="140" w:line="276"/>
        <w:ind w:left="120"/>
        <w:jc w:val="both"/>
      </w:pPr>
      <w:r>
        <w:rPr>
          <w:b/>
          <w:bCs/>
        </w:rPr>
        <w:t xml:space="preserve">TEAM NOTE  </w:t>
      </w:r>
      <w:r>
        <w:rPr>
          <w:b/>
          <w:bCs/>
        </w:rPr>
        <w:t xml:space="preserve">Domain coverage. </w:t>
      </w:r>
      <w:r>
        <w:t xml:space="preserve">Tasks routable to each domain: computing 33, design 42, media 22. Media is reachable only via FS + MR (numeric/logic identity is weaker for media students) — the known thin spot the team is filling with a separate media-targeted set. Reserve still available: 59 NS, 51 LS, 51 FS real items.</w:t>
      </w:r>
    </w:p>
    <w:p>
      <w:pPr>
        <w:pBdr>
          <w:left w:val="single" w:color="2E75B6" w:sz="18" w:space="12"/>
        </w:pBdr>
        <w:spacing w:after="140" w:line="276"/>
        <w:ind w:left="120"/>
        <w:jc w:val="both"/>
      </w:pPr>
      <w:r>
        <w:rPr>
          <w:b/>
          <w:bCs/>
        </w:rPr>
        <w:t xml:space="preserve">TEAM NOTE  </w:t>
      </w:r>
      <w:r>
        <w:rPr>
          <w:b/>
          <w:bCs/>
        </w:rPr>
        <w:t xml:space="preserve">Schema alignment. </w:t>
      </w:r>
      <w:r>
        <w:t xml:space="preserve">Framing is domain-keyed; single-shot gates on stimulusId; balance runs on the clean-core spine (confirmedClean), with off-target/multi-label confirmations kept as bonus volume. All 525 generated feedback variants pass the credibility gate at their band midpoints, and the outcome-resolution / pivot paths were verified on real items.</w:t>
      </w:r>
    </w:p>
    <w:p>
      <w:pPr>
        <w:pStyle w:val="Heading1"/>
      </w:pPr>
      <w:r>
        <w:t xml:space="preserve">To confirm before piloting</w:t>
      </w:r>
    </w:p>
    <w:p>
      <w:pPr>
        <w:pBdr>
          <w:left w:val="single" w:color="C0392B" w:sz="18" w:space="12"/>
        </w:pBdr>
        <w:spacing w:after="140" w:line="276"/>
        <w:ind w:left="120"/>
        <w:jc w:val="both"/>
      </w:pPr>
      <w:r>
        <w:rPr>
          <w:b/>
          <w:bCs/>
        </w:rPr>
        <w:t xml:space="preserve">OPEN / TO CONFIRM  </w:t>
      </w:r>
      <w:r>
        <w:rPr>
          <w:b/>
          <w:bCs/>
        </w:rPr>
        <w:t xml:space="preserve">Spot-check the keys. </w:t>
      </w:r>
      <w:r>
        <w:t xml:space="preserve">Diff mitre_reasoning_items.js against your PDF for the 51 combination-rule NS items (19/70 auto-verified) and all LS items (not auto-verified).</w:t>
      </w:r>
    </w:p>
    <w:p>
      <w:pPr>
        <w:pBdr>
          <w:left w:val="single" w:color="C0392B" w:sz="18" w:space="12"/>
        </w:pBdr>
        <w:spacing w:after="140" w:line="276"/>
        <w:ind w:left="120"/>
        <w:jc w:val="both"/>
      </w:pPr>
      <w:r>
        <w:rPr>
          <w:b/>
          <w:bCs/>
        </w:rPr>
        <w:t xml:space="preserve">OPEN / TO CONFIRM  </w:t>
      </w:r>
      <w:r>
        <w:rPr>
          <w:b/>
          <w:bCs/>
        </w:rPr>
        <w:t xml:space="preserve">Set the bands from a pilot. </w:t>
      </w:r>
      <w:r>
        <w:t xml:space="preserve">Per task, replace the tier-default calibration (realPSuccess, medianRtMs, plausiblePct, plausiblePctSpeed) with values from your cohort; the credibility gate is only meaningful once these are real, and it will reject mis-set bands (e.g. a bottom-percentile shame on an item your cohort mostly passes).</w:t>
      </w:r>
    </w:p>
    <w:p>
      <w:pPr>
        <w:pBdr>
          <w:left w:val="single" w:color="C0392B" w:sz="18" w:space="12"/>
        </w:pBdr>
        <w:spacing w:after="140" w:line="276"/>
        <w:ind w:left="120"/>
        <w:jc w:val="both"/>
      </w:pPr>
      <w:r>
        <w:rPr>
          <w:b/>
          <w:bCs/>
        </w:rPr>
        <w:t xml:space="preserve">OPEN / TO CONFIRM  </w:t>
      </w:r>
      <w:r>
        <w:rPr>
          <w:b/>
          <w:bCs/>
        </w:rPr>
        <w:t xml:space="preserve">Finish Matrix Reasoning. </w:t>
      </w:r>
      <w:r>
        <w:t xml:space="preserve">Fill the 13 MR slots’ b / key / image from Appendix E and matrixReasoning.zip once obtained from the authors; assign their tiers from the real b.</w:t>
      </w:r>
    </w:p>
    <w:p>
      <w:pPr>
        <w:pBdr>
          <w:left w:val="single" w:color="C0392B" w:sz="18" w:space="12"/>
        </w:pBdr>
        <w:spacing w:after="140" w:line="276"/>
        <w:ind w:left="120"/>
        <w:jc w:val="both"/>
      </w:pPr>
      <w:r>
        <w:rPr>
          <w:b/>
          <w:bCs/>
        </w:rPr>
        <w:t xml:space="preserve">OPEN / TO CONFIRM  </w:t>
      </w:r>
      <w:r>
        <w:rPr>
          <w:b/>
          <w:bCs/>
        </w:rPr>
        <w:t xml:space="preserve">Set the general-ability value floor </w:t>
      </w:r>
      <w:r>
        <w:t xml:space="preserve">(the relaxed gate for matrices): too low shames people who do not care; too high loses the servable-to-ranks-it-second advantage.</w:t>
      </w:r>
    </w:p>
    <w:p>
      <w:pPr>
        <w:pBdr>
          <w:left w:val="single" w:color="C0392B" w:sz="18" w:space="12"/>
        </w:pBdr>
        <w:spacing w:after="140" w:line="276"/>
        <w:ind w:left="120"/>
        <w:jc w:val="both"/>
      </w:pPr>
      <w:r>
        <w:rPr>
          <w:b/>
          <w:bCs/>
        </w:rPr>
        <w:t xml:space="preserve">OPEN / TO CONFIRM  </w:t>
      </w:r>
      <w:r>
        <w:rPr>
          <w:b/>
          <w:bCs/>
        </w:rPr>
        <w:t xml:space="preserve">Reserve calibration items. </w:t>
      </w:r>
      <w:r>
        <w:t xml:space="preserve">Point REASONING_CALIBRATION at easy items held out of the experimental selection (e.g. from the unused Form 2 reserve), so practice never reuses an experimental stimulus.</w:t>
      </w:r>
    </w:p>
    <w:p>
      <w:pPr>
        <w:pBdr>
          <w:left w:val="single" w:color="C0392B" w:sz="18" w:space="12"/>
        </w:pBdr>
        <w:spacing w:after="140" w:line="276"/>
        <w:ind w:left="120"/>
        <w:jc w:val="both"/>
      </w:pPr>
      <w:r>
        <w:rPr>
          <w:b/>
          <w:bCs/>
        </w:rPr>
        <w:t xml:space="preserve">OPEN / TO CONFIRM  </w:t>
      </w:r>
      <w:r>
        <w:rPr>
          <w:b/>
          <w:bCs/>
        </w:rPr>
        <w:t xml:space="preserve">Assembly. </w:t>
      </w:r>
      <w:r>
        <w:t xml:space="preserve">Build TRIAL_BANK by spreading the sub-banks (REASONING_BANK + ROT_SUBBANK) and dropping the three illustrative placeholders in trial_schema.js, whose ids overlap the sample space.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9360"/>
      </w:tabs>
    </w:pPr>
    <w:r>
      <w:rPr>
        <w:color w:val="808080"/>
        <w:sz w:val="16"/>
        <w:szCs w:val="16"/>
      </w:rPr>
      <w:t xml:space="preserve">Reasoning task bank — decisions summary</w:t>
    </w:r>
    <w:r>
      <w:rPr>
        <w:color w:val="808080"/>
        <w:sz w:val="16"/>
        <w:szCs w:val="16"/>
      </w:rPr>
      <w:t xml:space="preserve">	</w:t>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1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2026-06-05T02:47:22.896Z</dcterms:created>
  <dcterms:modified xsi:type="dcterms:W3CDTF">2026-06-05T02:47:22.897Z</dcterms:modified>
</cp:coreProperties>
</file>

<file path=docProps/custom.xml><?xml version="1.0" encoding="utf-8"?>
<Properties xmlns="http://schemas.openxmlformats.org/officeDocument/2006/custom-properties" xmlns:vt="http://schemas.openxmlformats.org/officeDocument/2006/docPropsVTypes"/>
</file>