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50F87" w14:textId="77777777" w:rsidR="00FA4977" w:rsidRDefault="00000000">
      <w:pPr>
        <w:pStyle w:val="Title"/>
      </w:pPr>
      <w:r>
        <w:t>Evaluation Criteria Framework for Benchmarking Document Parsing Libraries on Oil &amp; Gas Technical Documents</w:t>
      </w:r>
    </w:p>
    <w:p w14:paraId="6DB19119" w14:textId="77777777" w:rsidR="00FA4977" w:rsidRDefault="00000000">
      <w:r>
        <w:t>This design document defines the evaluation methodology for benchmarking document parsing libraries used on Oil &amp; Gas technical documents. It fulfils the evaluation criteria finalisation task and forms the basis for later evaluation implementation.</w:t>
      </w:r>
    </w:p>
    <w:p w14:paraId="50184ADE" w14:textId="77777777" w:rsidR="00FA4977" w:rsidRDefault="00000000">
      <w:pPr>
        <w:pStyle w:val="Heading1"/>
      </w:pPr>
      <w:r>
        <w:t>1. Project Objective</w:t>
      </w:r>
    </w:p>
    <w:p w14:paraId="4EFCF7F2" w14:textId="77777777" w:rsidR="00FA4977" w:rsidRDefault="00000000">
      <w:r>
        <w:t>Design a domain-specific evaluation framework that fairly compares multiple document parsing libraries after normalising their outputs into a common schema. The framework is inspired by existing benchmarks but is tailored for Oil &amp; Gas engineering documentation.</w:t>
      </w:r>
    </w:p>
    <w:p w14:paraId="548B2EED" w14:textId="2DCFB428" w:rsidR="00FA4977" w:rsidRDefault="00B91683">
      <w:pPr>
        <w:pStyle w:val="Heading1"/>
      </w:pPr>
      <w:r>
        <w:t>2</w:t>
      </w:r>
      <w:r w:rsidR="00000000">
        <w:t>. Existing Benchmarking Approaches</w:t>
      </w:r>
    </w:p>
    <w:p w14:paraId="7A9417AE" w14:textId="77777777" w:rsidR="00FA4977" w:rsidRDefault="00000000">
      <w:r>
        <w:t>Medium article: demonstrates comparative parser benchmarking.</w:t>
      </w:r>
      <w:r>
        <w:br/>
        <w:t>Mindee OCR Benchmark: demonstrates OCR quality evaluation using recognised metrics.</w:t>
      </w:r>
      <w:r>
        <w:br/>
        <w:t>OmniDocBench: uses structured ground truth, rich annotations and end-to-end evaluation across text, tables, OCR, layout and reading order.</w:t>
      </w:r>
    </w:p>
    <w:p w14:paraId="1E5D6965" w14:textId="541F322E" w:rsidR="00FA4977" w:rsidRDefault="00B91683">
      <w:pPr>
        <w:pStyle w:val="Heading1"/>
      </w:pPr>
      <w:r>
        <w:t>3</w:t>
      </w:r>
      <w:r w:rsidR="00000000">
        <w:t>. Why Existing Benchmarks Are Not Enough</w:t>
      </w:r>
    </w:p>
    <w:p w14:paraId="00A112D9" w14:textId="77777777" w:rsidR="00FA4977" w:rsidRDefault="00000000">
      <w:r>
        <w:t>Oil &amp; Gas documents contain engineering drawings, equipment tags, instrument identifiers, units, safety information and technical tables that require domain-specific evaluation beyond generic document benchmarks.</w:t>
      </w:r>
    </w:p>
    <w:p w14:paraId="3E5CC96D" w14:textId="44CCF9A8" w:rsidR="00FA4977" w:rsidRDefault="00B91683">
      <w:pPr>
        <w:pStyle w:val="Heading1"/>
      </w:pPr>
      <w:r>
        <w:t>4</w:t>
      </w:r>
      <w:r w:rsidR="00000000">
        <w:t>. Proposed Evaluation Categories</w:t>
      </w:r>
    </w:p>
    <w:p w14:paraId="08A83617" w14:textId="77777777" w:rsidR="00FA4977" w:rsidRDefault="00000000">
      <w:r>
        <w:t>- Text Extraction Quality</w:t>
      </w:r>
      <w:r>
        <w:br/>
        <w:t>- Document Structure</w:t>
      </w:r>
      <w:r>
        <w:br/>
        <w:t>- Reading Order</w:t>
      </w:r>
      <w:r>
        <w:br/>
        <w:t>- Layout Preservation</w:t>
      </w:r>
      <w:r>
        <w:br/>
        <w:t>- Table Extraction</w:t>
      </w:r>
      <w:r>
        <w:br/>
        <w:t>- Image/Figure Extraction</w:t>
      </w:r>
      <w:r>
        <w:br/>
        <w:t>- Engineering Drawings</w:t>
      </w:r>
      <w:r>
        <w:br/>
        <w:t>- Equipment &amp; Instrument Tags</w:t>
      </w:r>
      <w:r>
        <w:br/>
        <w:t>- Measurements &amp; Units</w:t>
      </w:r>
      <w:r>
        <w:br/>
      </w:r>
      <w:r>
        <w:lastRenderedPageBreak/>
        <w:t>- Chemicals &amp; Safety Information</w:t>
      </w:r>
      <w:r>
        <w:br/>
        <w:t>- Standards &amp; Metadata</w:t>
      </w:r>
      <w:r>
        <w:br/>
        <w:t>- OCR Quality</w:t>
      </w:r>
      <w:r>
        <w:br/>
        <w:t>- RAG Readiness</w:t>
      </w:r>
      <w:r>
        <w:br/>
        <w:t>- Performance Metrics</w:t>
      </w:r>
    </w:p>
    <w:p w14:paraId="382FC6FB" w14:textId="3ED77277" w:rsidR="00FA4977" w:rsidRDefault="00B91683">
      <w:pPr>
        <w:pStyle w:val="Heading1"/>
      </w:pPr>
      <w:r>
        <w:t>5</w:t>
      </w:r>
      <w:r w:rsidR="00000000">
        <w:t>. Evaluation Metrics</w:t>
      </w:r>
    </w:p>
    <w:p w14:paraId="1BF14E9F" w14:textId="77777777" w:rsidR="00FA4977" w:rsidRDefault="00000000">
      <w:r>
        <w:t>Exact Match, Precision, Recall, F1, Character Error Rate (CER), Word Error Rate (WER), Normalized Edit Distance, BLEU, METEOR, TEDS, Reading Order Accuracy, Tree Edit Distance (future), Processing Time, Memory Usage, Throughput, Success Rate and Semantic Similarity (future).</w:t>
      </w:r>
    </w:p>
    <w:p w14:paraId="1361EF86" w14:textId="77BDF67E" w:rsidR="00FA4977" w:rsidRDefault="00B91683">
      <w:pPr>
        <w:pStyle w:val="Heading1"/>
      </w:pPr>
      <w:r>
        <w:t>6</w:t>
      </w:r>
      <w:r w:rsidR="00000000">
        <w:t>. Ground Truth Strategy</w:t>
      </w:r>
    </w:p>
    <w:p w14:paraId="2F2E9F47" w14:textId="77777777" w:rsidR="00FA4977" w:rsidRDefault="00000000">
      <w:r>
        <w:t>A manually verified Oil &amp; Gas dataset will serve as the reference. Parser outputs will first be normalised into a common schema and then compared against ground truth using the selected metrics.</w:t>
      </w:r>
    </w:p>
    <w:p w14:paraId="2AA13817" w14:textId="7C675D5B" w:rsidR="00FA4977" w:rsidRDefault="00B91683">
      <w:pPr>
        <w:pStyle w:val="Heading1"/>
      </w:pPr>
      <w:r>
        <w:t>7</w:t>
      </w:r>
      <w:r w:rsidR="00000000">
        <w:t>. Evaluation Workflow</w:t>
      </w:r>
    </w:p>
    <w:p w14:paraId="05F1A745" w14:textId="77777777" w:rsidR="00FA4977" w:rsidRDefault="00000000">
      <w:r>
        <w:t>Parser Output -&gt; Normalisation -&gt; Validation -&gt; Ground Truth Comparison -&gt; Metric Computation -&gt; Benchmark Report</w:t>
      </w:r>
    </w:p>
    <w:p w14:paraId="22AABE89" w14:textId="482BB3A3" w:rsidR="00FA4977" w:rsidRDefault="00B91683">
      <w:pPr>
        <w:pStyle w:val="Heading1"/>
      </w:pPr>
      <w:r>
        <w:t>8</w:t>
      </w:r>
      <w:r w:rsidR="00000000">
        <w:t>. Future Enhancements</w:t>
      </w:r>
    </w:p>
    <w:p w14:paraId="0B5C57A7" w14:textId="77777777" w:rsidR="00FA4977" w:rsidRDefault="00000000">
      <w:r>
        <w:t>Weighted scoring, LLM-as-a-Judge, semantic evaluation, expanded ground truth datasets and additional engineering document categories.</w:t>
      </w:r>
    </w:p>
    <w:p w14:paraId="709B58E3" w14:textId="77777777" w:rsidR="00FA4977" w:rsidRDefault="00000000">
      <w:pPr>
        <w:pStyle w:val="Heading1"/>
      </w:pPr>
      <w:r>
        <w:t>References</w:t>
      </w:r>
    </w:p>
    <w:p w14:paraId="12ADF7A6" w14:textId="77777777" w:rsidR="00FA4977" w:rsidRDefault="00000000">
      <w:r>
        <w:t>1. OmniDocBench</w:t>
      </w:r>
      <w:r>
        <w:br/>
        <w:t>2. Mindee OCR Benchmark</w:t>
      </w:r>
      <w:r>
        <w:br/>
        <w:t>3. Benchmarking the Most Reliable Document Parsing API (Medium)</w:t>
      </w:r>
    </w:p>
    <w:sectPr w:rsidR="00FA49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0449235">
    <w:abstractNumId w:val="8"/>
  </w:num>
  <w:num w:numId="2" w16cid:durableId="469640992">
    <w:abstractNumId w:val="6"/>
  </w:num>
  <w:num w:numId="3" w16cid:durableId="1441949646">
    <w:abstractNumId w:val="5"/>
  </w:num>
  <w:num w:numId="4" w16cid:durableId="1759407348">
    <w:abstractNumId w:val="4"/>
  </w:num>
  <w:num w:numId="5" w16cid:durableId="102891726">
    <w:abstractNumId w:val="7"/>
  </w:num>
  <w:num w:numId="6" w16cid:durableId="1077748673">
    <w:abstractNumId w:val="3"/>
  </w:num>
  <w:num w:numId="7" w16cid:durableId="905410501">
    <w:abstractNumId w:val="2"/>
  </w:num>
  <w:num w:numId="8" w16cid:durableId="325479057">
    <w:abstractNumId w:val="1"/>
  </w:num>
  <w:num w:numId="9" w16cid:durableId="936253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E75"/>
    <w:rsid w:val="00AA1D8D"/>
    <w:rsid w:val="00B47730"/>
    <w:rsid w:val="00B91683"/>
    <w:rsid w:val="00CB0664"/>
    <w:rsid w:val="00FA4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D005A9"/>
  <w14:defaultImageDpi w14:val="300"/>
  <w15:docId w15:val="{1893BA64-D9B8-4C88-8D74-91619CEF0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Michelle Vinod</cp:lastModifiedBy>
  <cp:revision>2</cp:revision>
  <dcterms:created xsi:type="dcterms:W3CDTF">2013-12-23T23:15:00Z</dcterms:created>
  <dcterms:modified xsi:type="dcterms:W3CDTF">2026-07-30T08:09:00Z</dcterms:modified>
  <cp:category/>
</cp:coreProperties>
</file>