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645D" w14:textId="77777777" w:rsidR="008B7A7E" w:rsidRDefault="008B7A7E" w:rsidP="002A1663">
      <w:pPr>
        <w:pStyle w:val="NormalWeb"/>
        <w:rPr>
          <w:rFonts w:eastAsiaTheme="minorEastAsia"/>
          <w:b/>
          <w:bCs/>
        </w:rPr>
      </w:pPr>
    </w:p>
    <w:p w14:paraId="63BB73E4" w14:textId="1676072A" w:rsidR="008B7A7E" w:rsidRDefault="008B7A7E" w:rsidP="002A1663">
      <w:pPr>
        <w:pStyle w:val="NormalWeb"/>
        <w:rPr>
          <w:rFonts w:eastAsiaTheme="minorEastAsia"/>
          <w:b/>
          <w:bCs/>
        </w:rPr>
      </w:pPr>
      <w:r>
        <w:rPr>
          <w:rFonts w:eastAsiaTheme="minorEastAsia" w:hint="eastAsia"/>
        </w:rPr>
        <w:t>202</w:t>
      </w:r>
      <w:r w:rsidR="002D4720">
        <w:rPr>
          <w:rFonts w:eastAsiaTheme="minorEastAsia" w:hint="eastAsia"/>
        </w:rPr>
        <w:t>5</w:t>
      </w:r>
      <w:r>
        <w:rPr>
          <w:rFonts w:eastAsiaTheme="minorEastAsia" w:hint="eastAsia"/>
        </w:rPr>
        <w:t xml:space="preserve"> </w:t>
      </w:r>
      <w:r>
        <w:t>Q1 Affiliate Performance and Market Trend Assessment Report</w:t>
      </w:r>
    </w:p>
    <w:p w14:paraId="1FD1FAA5" w14:textId="7E321E25" w:rsidR="002A1663" w:rsidRDefault="002A1663" w:rsidP="002A1663">
      <w:pPr>
        <w:pStyle w:val="NormalWeb"/>
      </w:pPr>
      <w:r>
        <w:rPr>
          <w:b/>
          <w:bCs/>
        </w:rPr>
        <w:t>Focus:</w:t>
      </w:r>
      <w:r>
        <w:t xml:space="preserve"> Market environment and macro-growth.</w:t>
      </w:r>
    </w:p>
    <w:p w14:paraId="55896182" w14:textId="549FFE4E" w:rsidR="002A1663" w:rsidRDefault="002A1663" w:rsidP="002A1663">
      <w:pPr>
        <w:pStyle w:val="NormalWeb"/>
      </w:pPr>
      <w:r>
        <w:rPr>
          <w:b/>
          <w:bCs/>
        </w:rPr>
        <w:t>Executive Summary:</w:t>
      </w:r>
      <w:r>
        <w:t xml:space="preserve"> This report analy</w:t>
      </w:r>
      <w:r w:rsidR="005323AB">
        <w:rPr>
          <w:rFonts w:eastAsiaTheme="minorEastAsia" w:hint="eastAsia"/>
        </w:rPr>
        <w:t>s</w:t>
      </w:r>
      <w:r>
        <w:t>es the overall performance of the affiliate business during Q1 and provides strategic recommendations based on current market dynamics.</w:t>
      </w:r>
    </w:p>
    <w:p w14:paraId="126EAE34" w14:textId="77777777" w:rsidR="002A1663" w:rsidRDefault="002A1663" w:rsidP="002A1663">
      <w:pPr>
        <w:pStyle w:val="NormalWeb"/>
      </w:pPr>
      <w:r>
        <w:rPr>
          <w:b/>
          <w:bCs/>
        </w:rPr>
        <w:t>1. Market Environment Summary:</w:t>
      </w:r>
      <w:r>
        <w:t xml:space="preserve"> The online finance and retail sectors are facing intensified competition, with Customer Acquisition Cost (CAC) rising by 12% year-over-year. Major competitors are aggressively competing for long-tail traffic, driving up industry-wide CPC bids.</w:t>
      </w:r>
    </w:p>
    <w:p w14:paraId="3B1DC753" w14:textId="77777777" w:rsidR="002A1663" w:rsidRDefault="002A1663" w:rsidP="002A1663">
      <w:pPr>
        <w:pStyle w:val="NormalWeb"/>
      </w:pPr>
      <w:r>
        <w:rPr>
          <w:b/>
          <w:bCs/>
        </w:rPr>
        <w:t>2. Internal Performance Analysis:</w:t>
      </w:r>
    </w:p>
    <w:p w14:paraId="00748B1B" w14:textId="77777777" w:rsidR="002A1663" w:rsidRDefault="002A1663" w:rsidP="002A1663">
      <w:pPr>
        <w:pStyle w:val="NormalWeb"/>
        <w:numPr>
          <w:ilvl w:val="0"/>
          <w:numId w:val="1"/>
        </w:numPr>
      </w:pPr>
      <w:r>
        <w:t>Conversion Rate (CVR) improved by 1.5% this quarter, largely attributed to the optimization of Landing Pages.</w:t>
      </w:r>
    </w:p>
    <w:p w14:paraId="12093705" w14:textId="77777777" w:rsidR="002A1663" w:rsidRDefault="002A1663" w:rsidP="002A1663">
      <w:pPr>
        <w:pStyle w:val="NormalWeb"/>
        <w:numPr>
          <w:ilvl w:val="0"/>
          <w:numId w:val="1"/>
        </w:numPr>
      </w:pPr>
      <w:r>
        <w:t>Strategic focus on "Organic" affiliate development has yielded results, with the FTT contribution from this segment increasing from 10% to 15%.</w:t>
      </w:r>
    </w:p>
    <w:p w14:paraId="069074BE" w14:textId="77777777" w:rsidR="002A1663" w:rsidRDefault="002A1663" w:rsidP="002A1663">
      <w:pPr>
        <w:pStyle w:val="NormalWeb"/>
      </w:pPr>
      <w:r>
        <w:rPr>
          <w:b/>
          <w:bCs/>
        </w:rPr>
        <w:t>3. Management Commentary:</w:t>
      </w:r>
      <w:r>
        <w:t xml:space="preserve"> Despite the pressure of rising traffic costs in the macro environment, internal performance remains robust due to strong retention among high-value (VIP) affiliates. It is recommended to increase the budget for supporting "content-creator" affiliates in the upcoming quarter.</w:t>
      </w:r>
    </w:p>
    <w:p w14:paraId="0959B949" w14:textId="77777777" w:rsidR="00F3783D" w:rsidRDefault="00F3783D"/>
    <w:sectPr w:rsidR="00F37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42E1"/>
    <w:multiLevelType w:val="multilevel"/>
    <w:tmpl w:val="C32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74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63"/>
    <w:rsid w:val="002A1663"/>
    <w:rsid w:val="002D4720"/>
    <w:rsid w:val="004F7C25"/>
    <w:rsid w:val="005323AB"/>
    <w:rsid w:val="00642C6E"/>
    <w:rsid w:val="006E6DAE"/>
    <w:rsid w:val="007679FE"/>
    <w:rsid w:val="008B7A7E"/>
    <w:rsid w:val="00A70D3A"/>
    <w:rsid w:val="00E778A9"/>
    <w:rsid w:val="00EB708D"/>
    <w:rsid w:val="00ED1F3B"/>
    <w:rsid w:val="00F3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5292"/>
  <w15:chartTrackingRefBased/>
  <w15:docId w15:val="{BFA450CE-69C1-47B2-9264-74475B8A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6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1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</dc:creator>
  <cp:keywords/>
  <dc:description/>
  <cp:lastModifiedBy>Michelle W</cp:lastModifiedBy>
  <cp:revision>4</cp:revision>
  <dcterms:created xsi:type="dcterms:W3CDTF">2026-07-19T12:47:00Z</dcterms:created>
  <dcterms:modified xsi:type="dcterms:W3CDTF">2026-07-23T03:26:00Z</dcterms:modified>
</cp:coreProperties>
</file>