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2E75B6"/>
          <w:sz w:val="20"/>
          <w:szCs w:val="20"/>
        </w:rPr>
        <w:t xml:space="preserve">POSITION PAPER</w:t>
      </w:r>
    </w:p>
    <w:p>
      <w:pPr>
        <w:pBdr>
          <w:bottom w:val="single" w:color="2E75B6" w:sz="12" w:space="8"/>
        </w:pBdr>
        <w:spacing w:after="160" w:before="0"/>
      </w:pPr>
      <w:r>
        <w:rPr>
          <w:rFonts w:ascii="Arial" w:cs="Arial" w:eastAsia="Arial" w:hAnsi="Arial"/>
          <w:b/>
          <w:bCs/>
          <w:color w:val="1F3864"/>
          <w:sz w:val="44"/>
          <w:szCs w:val="44"/>
        </w:rPr>
        <w:t xml:space="preserve">Why PSFG is Deferred from OTEP MVP 1</w:t>
      </w:r>
    </w:p>
    <w:p>
      <w:pPr>
        <w:spacing w:after="80" w:before="160"/>
      </w:pPr>
      <w:r>
        <w:rPr>
          <w:rFonts w:ascii="Arial" w:cs="Arial" w:eastAsia="Arial" w:hAnsi="Arial"/>
          <w:color w:val="595959"/>
          <w:sz w:val="22"/>
          <w:szCs w:val="22"/>
        </w:rPr>
        <w:t xml:space="preserve">This paper sets out the rationale for deferring Public Service for Good (PSFG) opportunities from the OTEP MVP 1 scope. This is a sequencing decision, not a rejection of PSFG as a category.</w:t>
      </w:r>
    </w:p>
    <w:p>
      <w:pPr>
        <w:spacing w:after="480" w:before="40"/>
      </w:pPr>
      <w:r>
        <w:rPr>
          <w:rFonts w:ascii="Arial" w:cs="Arial" w:eastAsia="Arial" w:hAnsi="Arial"/>
          <w:color w:val="999999"/>
          <w:sz w:val="20"/>
          <w:szCs w:val="20"/>
        </w:rPr>
        <w:t xml:space="preserve">June 2026  |  For discussion with Adrian</w:t>
      </w:r>
    </w:p>
    <w:p>
      <w:pPr>
        <w:shd w:fill="2E75B6" w:val="clear"/>
        <w:spacing w:after="120" w:before="120"/>
        <w:ind w:left="360" w:right="360"/>
      </w:pPr>
      <w:r>
        <w:rPr>
          <w:rFonts w:ascii="Arial" w:cs="Arial" w:eastAsia="Arial" w:hAnsi="Arial"/>
          <w:b/>
          <w:bCs/>
          <w:color w:val="FFFFFF"/>
          <w:sz w:val="22"/>
          <w:szCs w:val="22"/>
        </w:rPr>
        <w:t xml:space="preserve">Bottom line: PSFG is valuable, but it is not yet competency-linked, platform-managed, or measurable in a consistent way — which would dilute the MVP's ability to test its core hypothesis.</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1. Acknowledging the Intent</w:t>
      </w:r>
    </w:p>
    <w:p>
      <w:pPr>
        <w:spacing w:after="80" w:before="80"/>
      </w:pPr>
      <w:r>
        <w:rPr>
          <w:rFonts w:ascii="Arial" w:cs="Arial" w:eastAsia="Arial" w:hAnsi="Arial"/>
          <w:color w:val="595959"/>
          <w:sz w:val="22"/>
          <w:szCs w:val="22"/>
        </w:rPr>
        <w:t xml:space="preserve">PSFG represents an important and growing category of opportunities on the OTG platform. It serves a distinct purpose — encouraging public officers to contribute back to the community, build softer skills, and engage beyond their immediate work. The value of making these opportunities visible to officers is not in dispute.</w:t>
      </w:r>
    </w:p>
    <w:p>
      <w:pPr>
        <w:spacing w:after="60" w:before="60"/>
      </w:pPr>
      <w:r>
        <w:t xml:space="preserve"/>
      </w:r>
    </w:p>
    <w:p>
      <w:pPr>
        <w:spacing w:after="80" w:before="80"/>
      </w:pPr>
      <w:r>
        <w:rPr>
          <w:rFonts w:ascii="Arial" w:cs="Arial" w:eastAsia="Arial" w:hAnsi="Arial"/>
          <w:color w:val="595959"/>
          <w:sz w:val="22"/>
          <w:szCs w:val="22"/>
        </w:rPr>
        <w:t xml:space="preserve">From 2023 to 2025, PSFG grew from 2 to 11 new opportunities per year, reflecting increasing institutional investment in this space. Host agencies range from Agency for Integrated Care and Ministry of Social and Family Development to National Heritage Board and People's Association — a broad and meaningful spread.</w:t>
      </w:r>
    </w:p>
    <w:p>
      <w:pPr>
        <w:spacing w:after="60" w:before="60"/>
      </w:pPr>
      <w:r>
        <w:t xml:space="preserve"/>
      </w:r>
    </w:p>
    <w:p>
      <w:pPr>
        <w:spacing w:after="80" w:before="80"/>
      </w:pPr>
      <w:r>
        <w:rPr>
          <w:rFonts w:ascii="Arial" w:cs="Arial" w:eastAsia="Arial" w:hAnsi="Arial"/>
          <w:color w:val="595959"/>
          <w:sz w:val="22"/>
          <w:szCs w:val="22"/>
        </w:rPr>
        <w:t xml:space="preserve">The question is not whether PSFG matters. The question is whether it is ready to be included in a competency-driven MVP — and at this point, the data says it is not.</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2. What the OTEP MVP is Trying to Achieve</w:t>
      </w:r>
    </w:p>
    <w:p>
      <w:pPr>
        <w:spacing w:after="80" w:before="80"/>
      </w:pPr>
      <w:r>
        <w:rPr>
          <w:rFonts w:ascii="Arial" w:cs="Arial" w:eastAsia="Arial" w:hAnsi="Arial"/>
          <w:color w:val="595959"/>
          <w:sz w:val="22"/>
          <w:szCs w:val="22"/>
        </w:rPr>
        <w:t xml:space="preserve">The OTEP MVP is scoped to test one specific hypothesis: that officers will take action when they can clearly see their competency gaps and are presented with relevant, competency-linked opportunities.</w:t>
      </w:r>
    </w:p>
    <w:p>
      <w:pPr>
        <w:spacing w:after="60" w:before="60"/>
      </w:pPr>
      <w:r>
        <w:t xml:space="preserve"/>
      </w:r>
    </w:p>
    <w:p>
      <w:pPr>
        <w:spacing w:after="80" w:before="80"/>
      </w:pPr>
      <w:r>
        <w:rPr>
          <w:rFonts w:ascii="Arial" w:cs="Arial" w:eastAsia="Arial" w:hAnsi="Arial"/>
          <w:color w:val="595959"/>
          <w:sz w:val="22"/>
          <w:szCs w:val="22"/>
        </w:rPr>
        <w:t xml:space="preserve">To test this cleanly, the MVP requires opportunities that are:</w:t>
      </w:r>
    </w:p>
    <w:p>
      <w:pPr>
        <w:pStyle w:val="ListParagraph"/>
        <w:numPr>
          <w:ilvl w:val="0"/>
          <w:numId w:val="2"/>
        </w:numPr>
        <w:spacing w:after="40" w:before="40"/>
      </w:pPr>
      <w:r>
        <w:rPr>
          <w:rFonts w:ascii="Arial" w:cs="Arial" w:eastAsia="Arial" w:hAnsi="Arial"/>
          <w:color w:val="595959"/>
          <w:sz w:val="22"/>
          <w:szCs w:val="22"/>
        </w:rPr>
        <w:t xml:space="preserve">Clearly linked to competency development,</w:t>
      </w:r>
    </w:p>
    <w:p>
      <w:pPr>
        <w:pStyle w:val="ListParagraph"/>
        <w:numPr>
          <w:ilvl w:val="0"/>
          <w:numId w:val="2"/>
        </w:numPr>
        <w:spacing w:after="40" w:before="40"/>
      </w:pPr>
      <w:r>
        <w:rPr>
          <w:rFonts w:ascii="Arial" w:cs="Arial" w:eastAsia="Arial" w:hAnsi="Arial"/>
          <w:color w:val="595959"/>
          <w:sz w:val="22"/>
          <w:szCs w:val="22"/>
        </w:rPr>
        <w:t xml:space="preserve">Structured and standardised in how they are presented, and</w:t>
      </w:r>
    </w:p>
    <w:p>
      <w:pPr>
        <w:pStyle w:val="ListParagraph"/>
        <w:numPr>
          <w:ilvl w:val="0"/>
          <w:numId w:val="2"/>
        </w:numPr>
        <w:spacing w:after="40" w:before="40"/>
      </w:pPr>
      <w:r>
        <w:rPr>
          <w:rFonts w:ascii="Arial" w:cs="Arial" w:eastAsia="Arial" w:hAnsi="Arial"/>
          <w:color w:val="595959"/>
          <w:sz w:val="22"/>
          <w:szCs w:val="22"/>
        </w:rPr>
        <w:t xml:space="preserve">Trackable end-to-end within the platform.</w:t>
      </w:r>
    </w:p>
    <w:p>
      <w:pPr>
        <w:spacing w:after="60" w:before="60"/>
      </w:pPr>
      <w:r>
        <w:t xml:space="preserve"/>
      </w:r>
    </w:p>
    <w:p>
      <w:pPr>
        <w:spacing w:after="80" w:before="80"/>
      </w:pPr>
      <w:r>
        <w:rPr>
          <w:rFonts w:ascii="Arial" w:cs="Arial" w:eastAsia="Arial" w:hAnsi="Arial"/>
          <w:color w:val="595959"/>
          <w:sz w:val="22"/>
          <w:szCs w:val="22"/>
        </w:rPr>
        <w:t xml:space="preserve">STIPs, Gigs, Jobs, and SJRs meet all three conditions. PSFG currently does not.</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3. Why PSFG Does Not Fit Today</w:t>
      </w:r>
    </w:p>
    <w:p>
      <w:pPr>
        <w:spacing w:after="80" w:before="80"/>
      </w:pPr>
      <w:r>
        <w:rPr>
          <w:rFonts w:ascii="Arial" w:cs="Arial" w:eastAsia="Arial" w:hAnsi="Arial"/>
          <w:color w:val="595959"/>
          <w:sz w:val="22"/>
          <w:szCs w:val="22"/>
        </w:rPr>
        <w:t xml:space="preserve">An analysis of all 20 PSFG opportunities created between 2023 and 2025 reveals three structural gaps that make PSFG incompatible with the MVP scope at this time.</w:t>
      </w:r>
    </w:p>
    <w:p>
      <w:pPr>
        <w:spacing w:after="60" w:before="60"/>
      </w:pPr>
      <w:r>
        <w:t xml:space="preserve"/>
      </w:r>
    </w:p>
    <w:p>
      <w:pPr>
        <w:spacing w:after="80" w:before="120"/>
      </w:pPr>
      <w:r>
        <w:rPr>
          <w:rFonts w:ascii="Arial" w:cs="Arial" w:eastAsia="Arial" w:hAnsi="Arial"/>
          <w:b/>
          <w:bCs/>
          <w:color w:val="1F3864"/>
          <w:sz w:val="22"/>
          <w:szCs w:val="22"/>
        </w:rPr>
        <w:t xml:space="preserve">Gap 1: Competency linkage is inconsistent</w:t>
      </w:r>
    </w:p>
    <w:p>
      <w:pPr>
        <w:spacing w:after="80" w:before="80"/>
      </w:pPr>
      <w:r>
        <w:rPr>
          <w:rFonts w:ascii="Arial" w:cs="Arial" w:eastAsia="Arial" w:hAnsi="Arial"/>
          <w:color w:val="595959"/>
          <w:sz w:val="22"/>
          <w:szCs w:val="22"/>
        </w:rPr>
        <w:t xml:space="preserve">While host organisations are expected to identify the OCCs or functional competencies an officer can develop through PSFG, this is not happening consistently in practice. Of the 20 PSFG opportunities analysed: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Opportunities with competencies tagged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C65911"/>
                <w:sz w:val="22"/>
                <w:szCs w:val="22"/>
              </w:rPr>
              <w:t xml:space="preserve">0 out of 20 (0%)</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Opportunities showing Not Applicable (N/A)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5911"/>
                <w:sz w:val="22"/>
                <w:szCs w:val="22"/>
              </w:rPr>
              <w:t xml:space="preserve">20 out of 20 (100%)</w:t>
            </w:r>
          </w:p>
        </w:tc>
      </w:tr>
    </w:tbl>
    <w:p>
      <w:pPr>
        <w:spacing w:after="60" w:before="60"/>
      </w:pPr>
      <w:r>
        <w:t xml:space="preserve"/>
      </w:r>
    </w:p>
    <w:p>
      <w:pPr>
        <w:spacing w:after="80" w:before="80"/>
      </w:pPr>
      <w:r>
        <w:rPr>
          <w:rFonts w:ascii="Arial" w:cs="Arial" w:eastAsia="Arial" w:hAnsi="Arial"/>
          <w:color w:val="595959"/>
          <w:sz w:val="22"/>
          <w:szCs w:val="22"/>
        </w:rPr>
        <w:t xml:space="preserve">This is a host org compliance gap, not a design choice. But the outcome is the same — there is no competency signal for any current PSFG opportunity. Without this, the platform cannot match officers to PSFG based on development needs, which is the core mechanic the MVP is built around.</w:t>
      </w:r>
    </w:p>
    <w:p>
      <w:pPr>
        <w:spacing w:after="60" w:before="60"/>
      </w:pPr>
      <w:r>
        <w:t xml:space="preserve"/>
      </w:r>
    </w:p>
    <w:p>
      <w:pPr>
        <w:spacing w:after="80" w:before="120"/>
      </w:pPr>
      <w:r>
        <w:rPr>
          <w:rFonts w:ascii="Arial" w:cs="Arial" w:eastAsia="Arial" w:hAnsi="Arial"/>
          <w:b/>
          <w:bCs/>
          <w:color w:val="1F3864"/>
          <w:sz w:val="22"/>
          <w:szCs w:val="22"/>
        </w:rPr>
        <w:t xml:space="preserve">Gap 2: Application flow is not standardised</w:t>
      </w:r>
    </w:p>
    <w:p>
      <w:pPr>
        <w:spacing w:after="80" w:before="80"/>
      </w:pPr>
      <w:r>
        <w:rPr>
          <w:rFonts w:ascii="Arial" w:cs="Arial" w:eastAsia="Arial" w:hAnsi="Arial"/>
          <w:color w:val="595959"/>
          <w:sz w:val="22"/>
          <w:szCs w:val="22"/>
        </w:rPr>
        <w:t xml:space="preserve">Unlike STIPs and Gigs where officers apply directly through the OTG platform, PSFG sign-ups are handled externally. Some redirect to FormSG; others redirect to the host organisation's own registration portals, particularly where the host is not a public service agency.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Opportunities with no platform-managed application flow</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C65911"/>
                <w:sz w:val="22"/>
                <w:szCs w:val="22"/>
              </w:rPr>
              <w:t xml:space="preserve">20 out of 20 (100%)</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Opportunities with no extractable FormSG link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5911"/>
                <w:sz w:val="22"/>
                <w:szCs w:val="22"/>
              </w:rPr>
              <w:t xml:space="preserve">10 out of 20 (50%)</w:t>
            </w:r>
          </w:p>
        </w:tc>
      </w:tr>
      <w:tr>
        <w:tc>
          <w:tcPr>
            <w:tcW w:type="dxa" w:w="62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Opportunities using host org's own portals (estimated)</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C65911"/>
                <w:sz w:val="22"/>
                <w:szCs w:val="22"/>
              </w:rPr>
              <w:t xml:space="preserve">At least 5 out of 20</w:t>
            </w:r>
          </w:p>
        </w:tc>
      </w:tr>
    </w:tbl>
    <w:p>
      <w:pPr>
        <w:spacing w:after="60" w:before="60"/>
      </w:pPr>
      <w:r>
        <w:t xml:space="preserve"/>
      </w:r>
    </w:p>
    <w:p>
      <w:pPr>
        <w:spacing w:after="80" w:before="80"/>
      </w:pPr>
      <w:r>
        <w:rPr>
          <w:rFonts w:ascii="Arial" w:cs="Arial" w:eastAsia="Arial" w:hAnsi="Arial"/>
          <w:color w:val="595959"/>
          <w:sz w:val="22"/>
          <w:szCs w:val="22"/>
        </w:rPr>
        <w:t xml:space="preserve">This means the application journey for PSFG is inconsistent — officers are taken off-platform at different points, through different channels, with no standardised experience. This creates friction in the user journey and makes it impossible to maintain a consistent end-to-end flow within OTEP.</w:t>
      </w:r>
    </w:p>
    <w:p>
      <w:pPr>
        <w:spacing w:after="60" w:before="60"/>
      </w:pPr>
      <w:r>
        <w:t xml:space="preserve"/>
      </w:r>
    </w:p>
    <w:p>
      <w:pPr>
        <w:spacing w:after="80" w:before="120"/>
      </w:pPr>
      <w:r>
        <w:rPr>
          <w:rFonts w:ascii="Arial" w:cs="Arial" w:eastAsia="Arial" w:hAnsi="Arial"/>
          <w:b/>
          <w:bCs/>
          <w:color w:val="1F3864"/>
          <w:sz w:val="22"/>
          <w:szCs w:val="22"/>
        </w:rPr>
        <w:t xml:space="preserve">Gap 3: Outcomes are not captured in the platform</w:t>
      </w:r>
    </w:p>
    <w:p>
      <w:pPr>
        <w:spacing w:after="80" w:before="80"/>
      </w:pPr>
      <w:r>
        <w:rPr>
          <w:rFonts w:ascii="Arial" w:cs="Arial" w:eastAsia="Arial" w:hAnsi="Arial"/>
          <w:color w:val="595959"/>
          <w:sz w:val="22"/>
          <w:szCs w:val="22"/>
        </w:rPr>
        <w:t xml:space="preserve">Because sign-ups happen off-platform, the OTG system has no record of who applied, who was selected, or what officers gained from the experience. This is reflected starkly in the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Total applicants recorded in OTG across all 20 PSFG opportunities</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C65911"/>
                <w:sz w:val="22"/>
                <w:szCs w:val="22"/>
              </w:rPr>
              <w:t xml:space="preserve">0</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Opportunities showing Filled: 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5911"/>
                <w:sz w:val="22"/>
                <w:szCs w:val="22"/>
              </w:rPr>
              <w:t xml:space="preserve">0 out of 20 (0%)</w:t>
            </w:r>
          </w:p>
        </w:tc>
      </w:tr>
      <w:tr>
        <w:tc>
          <w:tcPr>
            <w:tcW w:type="dxa" w:w="62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Opportunities with attendance or feedback data</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C65911"/>
                <w:sz w:val="22"/>
                <w:szCs w:val="22"/>
              </w:rPr>
              <w:t xml:space="preserve">0 out of 20 (0%)</w:t>
            </w:r>
          </w:p>
        </w:tc>
      </w:tr>
    </w:tbl>
    <w:p>
      <w:pPr>
        <w:spacing w:after="60" w:before="60"/>
      </w:pPr>
      <w:r>
        <w:t xml:space="preserve"/>
      </w:r>
    </w:p>
    <w:p>
      <w:pPr>
        <w:spacing w:after="80" w:before="80"/>
      </w:pPr>
      <w:r>
        <w:rPr>
          <w:rFonts w:ascii="Arial" w:cs="Arial" w:eastAsia="Arial" w:hAnsi="Arial"/>
          <w:color w:val="595959"/>
          <w:sz w:val="22"/>
          <w:szCs w:val="22"/>
        </w:rPr>
        <w:t xml:space="preserve">These zeros do not mean PSFG has no participation — they mean participation is invisible to the platform. For the MVP, where measuring whether officers take action is the primary success metric, PSFG would contribute no signal whatsoever.</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4. This is a Sequencing Decision, Not a Rejection</w:t>
      </w:r>
    </w:p>
    <w:p>
      <w:pPr>
        <w:spacing w:after="80" w:before="80"/>
      </w:pPr>
      <w:r>
        <w:rPr>
          <w:rFonts w:ascii="Arial" w:cs="Arial" w:eastAsia="Arial" w:hAnsi="Arial"/>
          <w:color w:val="595959"/>
          <w:sz w:val="22"/>
          <w:szCs w:val="22"/>
        </w:rPr>
        <w:t xml:space="preserve">Including PSFG in the MVP in its current state would introduce:</w:t>
      </w:r>
    </w:p>
    <w:p>
      <w:pPr>
        <w:pStyle w:val="ListParagraph"/>
        <w:numPr>
          <w:ilvl w:val="0"/>
          <w:numId w:val="2"/>
        </w:numPr>
        <w:spacing w:after="40" w:before="40"/>
      </w:pPr>
      <w:r>
        <w:rPr>
          <w:rFonts w:ascii="Arial" w:cs="Arial" w:eastAsia="Arial" w:hAnsi="Arial"/>
          <w:color w:val="595959"/>
          <w:sz w:val="22"/>
          <w:szCs w:val="22"/>
        </w:rPr>
        <w:t xml:space="preserve">Inconsistent user journeys — officers clicking on PSFG opportunities would be taken off-platform through different channels with no standardised flow,</w:t>
      </w:r>
    </w:p>
    <w:p>
      <w:pPr>
        <w:pStyle w:val="ListParagraph"/>
        <w:numPr>
          <w:ilvl w:val="0"/>
          <w:numId w:val="2"/>
        </w:numPr>
        <w:spacing w:after="40" w:before="40"/>
      </w:pPr>
      <w:r>
        <w:rPr>
          <w:rFonts w:ascii="Arial" w:cs="Arial" w:eastAsia="Arial" w:hAnsi="Arial"/>
          <w:color w:val="595959"/>
          <w:sz w:val="22"/>
          <w:szCs w:val="22"/>
        </w:rPr>
        <w:t xml:space="preserve">Gaps in tracking and metrics — PSFG would show zero applications and zero outcomes, skewing MVP measurement, and</w:t>
      </w:r>
    </w:p>
    <w:p>
      <w:pPr>
        <w:pStyle w:val="ListParagraph"/>
        <w:numPr>
          <w:ilvl w:val="0"/>
          <w:numId w:val="2"/>
        </w:numPr>
        <w:spacing w:after="40" w:before="40"/>
      </w:pPr>
      <w:r>
        <w:rPr>
          <w:rFonts w:ascii="Arial" w:cs="Arial" w:eastAsia="Arial" w:hAnsi="Arial"/>
          <w:color w:val="595959"/>
          <w:sz w:val="22"/>
          <w:szCs w:val="22"/>
        </w:rPr>
        <w:t xml:space="preserve">Ambiguity in opportunity positioning — without competency tags, officers cannot understand how PSFG relates to their development needs.</w:t>
      </w:r>
    </w:p>
    <w:p>
      <w:pPr>
        <w:spacing w:after="60" w:before="60"/>
      </w:pPr>
      <w:r>
        <w:t xml:space="preserve"/>
      </w:r>
    </w:p>
    <w:p>
      <w:pPr>
        <w:spacing w:after="80" w:before="80"/>
      </w:pPr>
      <w:r>
        <w:rPr>
          <w:rFonts w:ascii="Arial" w:cs="Arial" w:eastAsia="Arial" w:hAnsi="Arial"/>
          <w:color w:val="595959"/>
          <w:sz w:val="22"/>
          <w:szCs w:val="22"/>
        </w:rPr>
        <w:t xml:space="preserve">This would dilute the MVP signal and make it difficult to draw clear conclusions from the pilot. The risk is not just incomplete data — it is drawing the wrong conclusions from the pilot because the data is structurally misleading.</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5. What Needs to Happen for PSFG to be Included</w:t>
      </w:r>
    </w:p>
    <w:p>
      <w:pPr>
        <w:spacing w:after="80" w:before="80"/>
      </w:pPr>
      <w:r>
        <w:rPr>
          <w:rFonts w:ascii="Arial" w:cs="Arial" w:eastAsia="Arial" w:hAnsi="Arial"/>
          <w:color w:val="595959"/>
          <w:sz w:val="22"/>
          <w:szCs w:val="22"/>
        </w:rPr>
        <w:t xml:space="preserve">PSFG should be treated as a strong candidate for a subsequent release. The conditions that need to be met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Competency tagging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C65911"/>
                <w:sz w:val="22"/>
                <w:szCs w:val="22"/>
              </w:rPr>
              <w:t xml:space="preserve">Host orgs to consistently identify OCCs/FCs for each PSFG opportunity before posting</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Standardised application 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5911"/>
                <w:sz w:val="22"/>
                <w:szCs w:val="22"/>
              </w:rPr>
              <w:t xml:space="preserve">Agree on whether PSFG uses FormSG or an in-platform flow; eliminate ad-hoc host org portals</w:t>
            </w:r>
          </w:p>
        </w:tc>
      </w:tr>
      <w:tr>
        <w:tc>
          <w:tcPr>
            <w:tcW w:type="dxa" w:w="62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Participation tracking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C65911"/>
                <w:sz w:val="22"/>
                <w:szCs w:val="22"/>
              </w:rPr>
              <w:t xml:space="preserve">Establish a mechanism to capture sign-up counts — either via FormSG integration or manual reporting by host orgs each cycle</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Agency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5911"/>
                <w:sz w:val="22"/>
                <w:szCs w:val="22"/>
              </w:rPr>
              <w:t xml:space="preserve">Mandate Agency field for all PSFG submissions (currently 30% missing)</w:t>
            </w:r>
          </w:p>
        </w:tc>
      </w:tr>
      <w:tr>
        <w:tc>
          <w:tcPr>
            <w:tcW w:type="dxa" w:w="624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595959"/>
                <w:sz w:val="22"/>
                <w:szCs w:val="22"/>
              </w:rPr>
              <w:t xml:space="preserve">Product positioning</w:t>
            </w:r>
          </w:p>
        </w:tc>
        <w:tc>
          <w:tcPr>
            <w:tcW w:type="dxa" w:w="312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bCs/>
                <w:color w:val="C65911"/>
                <w:sz w:val="22"/>
                <w:szCs w:val="22"/>
              </w:rPr>
              <w:t xml:space="preserve">Align on whether PSFG sits as its own type or is subsumed under STIP/Gig, and what that means for how it is surfaced to officers</w:t>
            </w:r>
          </w:p>
        </w:tc>
      </w:tr>
    </w:tbl>
    <w:p>
      <w:pPr>
        <w:spacing w:after="60" w:before="60"/>
      </w:pPr>
      <w:r>
        <w:t xml:space="preserve"/>
      </w:r>
    </w:p>
    <w:p>
      <w:pPr>
        <w:spacing w:after="80" w:before="80"/>
      </w:pPr>
      <w:r>
        <w:rPr>
          <w:rFonts w:ascii="Arial" w:cs="Arial" w:eastAsia="Arial" w:hAnsi="Arial"/>
          <w:color w:val="595959"/>
          <w:sz w:val="22"/>
          <w:szCs w:val="22"/>
        </w:rPr>
        <w:t xml:space="preserve">None of these are insurmountable. But they require decisions and process changes on the programme side before the data side can execute. Once these are in place, PSFG can be integrated properly rather than bolted on.</w:t>
      </w:r>
    </w:p>
    <w:p>
      <w:pPr>
        <w:spacing w:after="60" w:before="6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6. Recommendation</w:t>
      </w:r>
    </w:p>
    <w:p>
      <w:pPr>
        <w:spacing w:after="80" w:before="80"/>
      </w:pPr>
      <w:r>
        <w:rPr>
          <w:rFonts w:ascii="Arial" w:cs="Arial" w:eastAsia="Arial" w:hAnsi="Arial"/>
          <w:color w:val="595959"/>
          <w:sz w:val="22"/>
          <w:szCs w:val="22"/>
        </w:rPr>
        <w:t xml:space="preserve">For OTEP MVP 1, the recommendation is to keep scope focused on STIPs, Gigs, Jobs, and SJRs. These opportunity types share a consistent data structure, standardised application flow, and end-to-end tracking — all of which are necessary to test the MVP hypothesis cleanly.</w:t>
      </w:r>
    </w:p>
    <w:p>
      <w:pPr>
        <w:spacing w:after="60" w:before="60"/>
      </w:pPr>
      <w:r>
        <w:t xml:space="preserve"/>
      </w:r>
    </w:p>
    <w:p>
      <w:pPr>
        <w:spacing w:after="80" w:before="80"/>
      </w:pPr>
      <w:r>
        <w:rPr>
          <w:rFonts w:ascii="Arial" w:cs="Arial" w:eastAsia="Arial" w:hAnsi="Arial"/>
          <w:color w:val="595959"/>
          <w:sz w:val="22"/>
          <w:szCs w:val="22"/>
        </w:rPr>
        <w:t xml:space="preserve">PSFG is not excluded permanently. It is intentionally deferred to ensure that when it is included, it is set up to succeed — with complete data, a consistent user journey, and the ability to demonstrate real participation and impact.</w:t>
      </w:r>
    </w:p>
    <w:p>
      <w:pPr>
        <w:spacing w:after="60" w:before="60"/>
      </w:pPr>
      <w:r>
        <w:t xml:space="preserve"/>
      </w:r>
    </w:p>
    <w:p>
      <w:pPr>
        <w:shd w:fill="2E75B6" w:val="clear"/>
        <w:spacing w:after="120" w:before="120"/>
        <w:ind w:left="360" w:right="360"/>
      </w:pPr>
      <w:r>
        <w:rPr>
          <w:rFonts w:ascii="Arial" w:cs="Arial" w:eastAsia="Arial" w:hAnsi="Arial"/>
          <w:b/>
          <w:bCs/>
          <w:color w:val="FFFFFF"/>
          <w:sz w:val="22"/>
          <w:szCs w:val="22"/>
        </w:rPr>
        <w:t xml:space="preserve">Proposed next step: Agree on the conditions above with the PSFG programme team and set a target milestone for PSFG to be included in a subsequent OTEP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999999"/>
        <w:sz w:val="16"/>
        <w:szCs w:val="16"/>
      </w:rPr>
      <w:t xml:space="preserve">Internal — Not for Distribution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999999"/>
        <w:sz w:val="18"/>
        <w:szCs w:val="18"/>
      </w:rPr>
      <w:t xml:space="preserve">OTEP MVP — PSFG Defensive Narrative</w:t>
    </w:r>
    <w:r>
      <w:rPr>
        <w:rFonts w:ascii="Arial" w:cs="Arial" w:eastAsia="Arial" w:hAnsi="Arial"/>
        <w:color w:val="999999"/>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2026-06-16T07:27:35.145Z</dcterms:created>
  <dcterms:modified xsi:type="dcterms:W3CDTF">2026-06-16T07:27:35.145Z</dcterms:modified>
</cp:coreProperties>
</file>

<file path=docProps/custom.xml><?xml version="1.0" encoding="utf-8"?>
<Properties xmlns="http://schemas.openxmlformats.org/officeDocument/2006/custom-properties" xmlns:vt="http://schemas.openxmlformats.org/officeDocument/2006/docPropsVTypes"/>
</file>