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aps/>
          <w:color w:val="2E75B6"/>
          <w:sz w:val="20"/>
          <w:szCs w:val="20"/>
        </w:rPr>
        <w:t xml:space="preserve">DISCOVERY BRIEF</w:t>
      </w:r>
    </w:p>
    <w:p>
      <w:pPr>
        <w:pBdr>
          <w:bottom w:val="single" w:color="2E75B6" w:sz="12" w:space="8"/>
        </w:pBdr>
        <w:spacing w:after="160" w:before="0"/>
      </w:pPr>
      <w:r>
        <w:rPr>
          <w:rFonts w:ascii="Arial" w:cs="Arial" w:eastAsia="Arial" w:hAnsi="Arial"/>
          <w:b/>
          <w:bCs/>
          <w:color w:val="1F3864"/>
          <w:sz w:val="48"/>
          <w:szCs w:val="48"/>
        </w:rPr>
        <w:t xml:space="preserve">Public Service for Good (PSFG) Opportunities</w:t>
      </w:r>
    </w:p>
    <w:p>
      <w:pPr>
        <w:spacing w:after="80" w:before="160"/>
      </w:pPr>
      <w:r>
        <w:rPr>
          <w:rFonts w:ascii="Arial" w:cs="Arial" w:eastAsia="Arial" w:hAnsi="Arial"/>
          <w:color w:val="595959"/>
          <w:sz w:val="22"/>
          <w:szCs w:val="22"/>
        </w:rPr>
        <w:t xml:space="preserve">An analysis of PSFG opportunity data from the OTG platform to understand what these opportunities are, how they are structured, and where data gaps exist.</w:t>
      </w:r>
    </w:p>
    <w:p>
      <w:pPr>
        <w:spacing w:after="480" w:before="40"/>
      </w:pPr>
      <w:r>
        <w:rPr>
          <w:rFonts w:ascii="Arial" w:cs="Arial" w:eastAsia="Arial" w:hAnsi="Arial"/>
          <w:color w:val="999999"/>
          <w:sz w:val="20"/>
          <w:szCs w:val="20"/>
        </w:rPr>
        <w:t xml:space="preserve">Prepared: June 2026  |  Source: OTG Oppr.xlsx (2,023 records)  |  PSFG subset: 20 opportunities</w:t>
      </w:r>
    </w:p>
    <w:p>
      <w:pPr>
        <w:pStyle w:val="Heading1"/>
        <w:pBdr>
          <w:bottom w:val="single" w:color="2E75B6" w:sz="6" w:space="4"/>
        </w:pBdr>
        <w:spacing w:after="120" w:before="360"/>
      </w:pPr>
      <w:r>
        <w:rPr>
          <w:rFonts w:ascii="Arial" w:cs="Arial" w:eastAsia="Arial" w:hAnsi="Arial"/>
          <w:b/>
          <w:bCs/>
          <w:color w:val="1F3864"/>
          <w:sz w:val="32"/>
          <w:szCs w:val="32"/>
        </w:rPr>
        <w:t xml:space="preserve">1. What Are PSFG Opportunities?</w:t>
      </w:r>
    </w:p>
    <w:p>
      <w:pPr>
        <w:spacing w:after="60" w:before="60"/>
      </w:pPr>
      <w:r>
        <w:rPr>
          <w:rFonts w:ascii="Arial" w:cs="Arial" w:eastAsia="Arial" w:hAnsi="Arial"/>
          <w:color w:val="595959"/>
          <w:sz w:val="22"/>
          <w:szCs w:val="22"/>
        </w:rPr>
        <w:t xml:space="preserve">Public Service for Good (PSFG) is a category of opportunity on the OTG (On-The-Go) platform that enables public officers to contribute to community and social good causes beyond their day jobs. Unlike regular Gigs — which are skill-based project attachments within the public service — PSFG opportunities are volunteer and community service roles hosted by social sector agencies, charities, and community organisations.</w:t>
      </w:r>
    </w:p>
    <w:p>
      <w:pPr>
        <w:spacing w:after="80" w:before="80"/>
      </w:pPr>
      <w:r>
        <w:t xml:space="preserve"/>
      </w:r>
    </w:p>
    <w:p>
      <w:pPr>
        <w:spacing w:after="60" w:before="60"/>
      </w:pPr>
      <w:r>
        <w:rPr>
          <w:rFonts w:ascii="Arial" w:cs="Arial" w:eastAsia="Arial" w:hAnsi="Arial"/>
          <w:color w:val="595959"/>
          <w:sz w:val="22"/>
          <w:szCs w:val="22"/>
        </w:rPr>
        <w:t xml:space="preserve">PSFG opportunities are characterised by:</w:t>
      </w:r>
    </w:p>
    <w:p>
      <w:pPr>
        <w:pStyle w:val="ListParagraph"/>
        <w:numPr>
          <w:ilvl w:val="0"/>
          <w:numId w:val="2"/>
        </w:numPr>
        <w:spacing w:after="40" w:before="40"/>
      </w:pPr>
      <w:r>
        <w:rPr>
          <w:rFonts w:ascii="Arial" w:cs="Arial" w:eastAsia="Arial" w:hAnsi="Arial"/>
          <w:color w:val="595959"/>
          <w:sz w:val="22"/>
          <w:szCs w:val="22"/>
        </w:rPr>
        <w:t xml:space="preserve">Community and social focus — befriending seniors, mentoring students, healthcare volunteering, environmental action</w:t>
      </w:r>
    </w:p>
    <w:p>
      <w:pPr>
        <w:pStyle w:val="ListParagraph"/>
        <w:numPr>
          <w:ilvl w:val="0"/>
          <w:numId w:val="2"/>
        </w:numPr>
        <w:spacing w:after="40" w:before="40"/>
      </w:pPr>
      <w:r>
        <w:rPr>
          <w:rFonts w:ascii="Arial" w:cs="Arial" w:eastAsia="Arial" w:hAnsi="Arial"/>
          <w:color w:val="595959"/>
          <w:sz w:val="22"/>
          <w:szCs w:val="22"/>
        </w:rPr>
        <w:t xml:space="preserve">Sign-ups via external FormSG links rather than in-platform applications</w:t>
      </w:r>
    </w:p>
    <w:p>
      <w:pPr>
        <w:pStyle w:val="ListParagraph"/>
        <w:numPr>
          <w:ilvl w:val="0"/>
          <w:numId w:val="2"/>
        </w:numPr>
        <w:spacing w:after="40" w:before="40"/>
      </w:pPr>
      <w:r>
        <w:rPr>
          <w:rFonts w:ascii="Arial" w:cs="Arial" w:eastAsia="Arial" w:hAnsi="Arial"/>
          <w:color w:val="595959"/>
          <w:sz w:val="22"/>
          <w:szCs w:val="22"/>
        </w:rPr>
        <w:t xml:space="preserve">No competency tagging — all 20 are marked Not Applicable (N/A) in the Talents field</w:t>
      </w:r>
    </w:p>
    <w:p>
      <w:pPr>
        <w:pStyle w:val="ListParagraph"/>
        <w:numPr>
          <w:ilvl w:val="0"/>
          <w:numId w:val="2"/>
        </w:numPr>
        <w:spacing w:after="40" w:before="40"/>
      </w:pPr>
      <w:r>
        <w:rPr>
          <w:rFonts w:ascii="Arial" w:cs="Arial" w:eastAsia="Arial" w:hAnsi="Arial"/>
          <w:color w:val="595959"/>
          <w:sz w:val="22"/>
          <w:szCs w:val="22"/>
        </w:rPr>
        <w:t xml:space="preserve">Managed by the OTG team (otg@psd.gov.sg) rather than individual agency owners</w:t>
      </w:r>
    </w:p>
    <w:p>
      <w:pPr>
        <w:pStyle w:val="ListParagraph"/>
        <w:numPr>
          <w:ilvl w:val="0"/>
          <w:numId w:val="2"/>
        </w:numPr>
        <w:spacing w:after="40" w:before="40"/>
      </w:pPr>
      <w:r>
        <w:rPr>
          <w:rFonts w:ascii="Arial" w:cs="Arial" w:eastAsia="Arial" w:hAnsi="Arial"/>
          <w:color w:val="595959"/>
          <w:sz w:val="22"/>
          <w:szCs w:val="22"/>
        </w:rPr>
        <w:t xml:space="preserve">Two naming conventions: [Public Service for Good] (2 records, 2023) and [PSFG] (18 records, 2024 onwards)</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2. Volume and Pipeline</w:t>
      </w:r>
    </w:p>
    <w:p>
      <w:pPr>
        <w:spacing w:after="60" w:before="60"/>
      </w:pPr>
      <w:r>
        <w:rPr>
          <w:rFonts w:ascii="Arial" w:cs="Arial" w:eastAsia="Arial" w:hAnsi="Arial"/>
          <w:color w:val="595959"/>
          <w:sz w:val="22"/>
          <w:szCs w:val="22"/>
        </w:rPr>
        <w:t xml:space="preserve">PSFG is a small but growing category within the OTG platform. It accounts for 20 of 2,023 total opportunities (under 1%). Creation has accelerated year-on-year: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2"/>
                <w:szCs w:val="22"/>
              </w:rPr>
              <w:t xml:space="preserve">2023</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1F3864"/>
                <w:sz w:val="22"/>
                <w:szCs w:val="22"/>
              </w:rPr>
              <w:t xml:space="preserve">2 opportunities created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2024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2"/>
                <w:szCs w:val="22"/>
              </w:rPr>
              <w:t xml:space="preserve">7 opportunities created</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2"/>
                <w:szCs w:val="22"/>
              </w:rPr>
              <w:t xml:space="preserve">2025</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1F3864"/>
                <w:sz w:val="22"/>
                <w:szCs w:val="22"/>
              </w:rPr>
              <w:t xml:space="preserve">11 opportunities created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Total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2"/>
                <w:szCs w:val="22"/>
              </w:rPr>
              <w:t xml:space="preserve">20 opportunities (all years)</w:t>
            </w:r>
          </w:p>
        </w:tc>
      </w:tr>
    </w:tbl>
    <w:p>
      <w:pPr>
        <w:spacing w:after="80" w:before="80"/>
      </w:pPr>
      <w:r>
        <w:t xml:space="preserve"/>
      </w:r>
    </w:p>
    <w:p>
      <w:pPr>
        <w:spacing w:after="60" w:before="60"/>
      </w:pPr>
      <w:r>
        <w:rPr>
          <w:rFonts w:ascii="Arial" w:cs="Arial" w:eastAsia="Arial" w:hAnsi="Arial"/>
          <w:color w:val="595959"/>
          <w:sz w:val="22"/>
          <w:szCs w:val="22"/>
        </w:rPr>
        <w:t xml:space="preserve">As of the data extract, the status pipeline breaks down 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2"/>
                <w:szCs w:val="22"/>
              </w:rPr>
              <w:t xml:space="preserve">Open</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1F3864"/>
                <w:sz w:val="22"/>
                <w:szCs w:val="22"/>
              </w:rPr>
              <w:t xml:space="preserve">5 opportunities (25%)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Closed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2"/>
                <w:szCs w:val="22"/>
              </w:rPr>
              <w:t xml:space="preserve">11 opportunities (55%)</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2"/>
                <w:szCs w:val="22"/>
              </w:rPr>
              <w:t xml:space="preserve">Delisted</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1F3864"/>
                <w:sz w:val="22"/>
                <w:szCs w:val="22"/>
              </w:rPr>
              <w:t xml:space="preserve">4 opportunities (20%)</w:t>
            </w:r>
          </w:p>
        </w:tc>
      </w:tr>
    </w:tbl>
    <w:p>
      <w:pPr>
        <w:spacing w:after="80" w:before="80"/>
      </w:pPr>
      <w:r>
        <w:t xml:space="preserve"/>
      </w:r>
    </w:p>
    <w:p>
      <w:pPr>
        <w:spacing w:after="60" w:before="60"/>
      </w:pPr>
      <w:r>
        <w:rPr>
          <w:rFonts w:ascii="Arial" w:cs="Arial" w:eastAsia="Arial" w:hAnsi="Arial"/>
          <w:color w:val="595959"/>
          <w:sz w:val="22"/>
          <w:szCs w:val="22"/>
        </w:rPr>
        <w:t xml:space="preserve">The growth trend from 2 to 11 opportunities per year suggests increasing institutional investment in PSFG as a programme. However, the small absolute numbers mean findings should be interpreted with caution.</w:t>
      </w:r>
    </w:p>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3. Agency Participation</w:t>
      </w:r>
    </w:p>
    <w:p>
      <w:pPr>
        <w:spacing w:after="60" w:before="60"/>
      </w:pPr>
      <w:r>
        <w:rPr>
          <w:rFonts w:ascii="Arial" w:cs="Arial" w:eastAsia="Arial" w:hAnsi="Arial"/>
          <w:color w:val="595959"/>
          <w:sz w:val="22"/>
          <w:szCs w:val="22"/>
        </w:rPr>
        <w:t xml:space="preserve">PSFG opportunities span multiple social and community-facing agencies. Agency for Integrated Care is the most active host with 4 opportunities, driven by the SG Healthcare Corps Care Volunteer programme. Ministry of Social and Family Development has 3, driven by the recurring ComLink befriender programme.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Agency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 of Opportunities</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0"/>
                <w:szCs w:val="20"/>
              </w:rPr>
              <w:t xml:space="preserve">Agency for Integrated Care</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0"/>
                <w:szCs w:val="20"/>
              </w:rPr>
              <w:t xml:space="preserve">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Ministry of Social and Family Development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3</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0"/>
                <w:szCs w:val="20"/>
              </w:rPr>
              <w:t xml:space="preserve">Ministry of Health</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0"/>
                <w:szCs w:val="20"/>
              </w:rPr>
              <w:t xml:space="preserve">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Ministry of Education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0"/>
                <w:szCs w:val="20"/>
              </w:rPr>
              <w:t xml:space="preserve">Ministry of Culture, Community and Youth</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0"/>
                <w:szCs w:val="20"/>
              </w:rPr>
              <w:t xml:space="preserve">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National Parks Board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0"/>
                <w:szCs w:val="20"/>
              </w:rPr>
              <w:t xml:space="preserve">People's Association</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0"/>
                <w:szCs w:val="20"/>
              </w:rPr>
              <w:t xml:space="preserve">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Urban Redevelopment Authority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0"/>
                <w:szCs w:val="20"/>
              </w:rPr>
              <w:t xml:space="preserve">National Heritage Board</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0"/>
                <w:szCs w:val="20"/>
              </w:rPr>
              <w:t xml:space="preserve">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Unknown / Missing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6</w:t>
            </w:r>
          </w:p>
        </w:tc>
      </w:tr>
    </w:tbl>
    <w:p>
      <w:pPr>
        <w:spacing w:after="80" w:before="80"/>
      </w:pPr>
      <w:r>
        <w:t xml:space="preserve"/>
      </w:r>
    </w:p>
    <w:p>
      <w:pPr>
        <w:spacing w:after="60" w:before="60"/>
      </w:pPr>
      <w:r>
        <w:rPr>
          <w:rFonts w:ascii="Arial" w:cs="Arial" w:eastAsia="Arial" w:hAnsi="Arial"/>
          <w:color w:val="595959"/>
          <w:sz w:val="22"/>
          <w:szCs w:val="22"/>
        </w:rPr>
        <w:t xml:space="preserve">30% of PSFG opportunities (6 of 20) have no agency recorded. These cannot be attributed to a host for reporting or accountability purposes.</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4. Opportunity Characteristics</w:t>
      </w:r>
    </w:p>
    <w:p>
      <w:pPr>
        <w:pStyle w:val="Heading2"/>
        <w:spacing w:after="80" w:before="280"/>
      </w:pPr>
      <w:r>
        <w:rPr>
          <w:rFonts w:ascii="Arial" w:cs="Arial" w:eastAsia="Arial" w:hAnsi="Arial"/>
          <w:b/>
          <w:bCs/>
          <w:color w:val="2E75B6"/>
          <w:sz w:val="26"/>
          <w:szCs w:val="26"/>
        </w:rPr>
        <w:t xml:space="preserve">4.1 Time Commitment</w:t>
      </w:r>
    </w:p>
    <w:p>
      <w:pPr>
        <w:spacing w:after="60" w:before="60"/>
      </w:pPr>
      <w:r>
        <w:rPr>
          <w:rFonts w:ascii="Arial" w:cs="Arial" w:eastAsia="Arial" w:hAnsi="Arial"/>
          <w:color w:val="595959"/>
          <w:sz w:val="22"/>
          <w:szCs w:val="22"/>
        </w:rPr>
        <w:t xml:space="preserve">The most common time commitment is 1 day/week (11 of 20), which is notably high for volunteer roles. This may reflect a data entry default. Lighter commitments (3 to 5 hours/month) appear on roles explicitly described as befriending or outreach.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2"/>
                <w:szCs w:val="22"/>
              </w:rPr>
              <w:t xml:space="preserve">1 day/week</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1F3864"/>
                <w:sz w:val="22"/>
                <w:szCs w:val="22"/>
              </w:rPr>
              <w:t xml:space="preserve">11 opportunities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3 hours/month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2"/>
                <w:szCs w:val="22"/>
              </w:rPr>
              <w:t xml:space="preserve">3 opportunities</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2"/>
                <w:szCs w:val="22"/>
              </w:rPr>
              <w:t xml:space="preserve">4 hours/month</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1F3864"/>
                <w:sz w:val="22"/>
                <w:szCs w:val="22"/>
              </w:rPr>
              <w:t xml:space="preserve">1 opportunity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5 hours/month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2"/>
                <w:szCs w:val="22"/>
              </w:rPr>
              <w:t xml:space="preserve">1 opportunity</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2"/>
                <w:szCs w:val="22"/>
              </w:rPr>
              <w:t xml:space="preserve">1 hour/day</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1F3864"/>
                <w:sz w:val="22"/>
                <w:szCs w:val="22"/>
              </w:rPr>
              <w:t xml:space="preserve">1 opportunity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4 hours/day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2"/>
                <w:szCs w:val="22"/>
              </w:rPr>
              <w:t xml:space="preserve">1 opportunity</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2"/>
                <w:szCs w:val="22"/>
              </w:rPr>
              <w:t xml:space="preserve">5 hours/day</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1F3864"/>
                <w:sz w:val="22"/>
                <w:szCs w:val="22"/>
              </w:rPr>
              <w:t xml:space="preserve">1 opportunity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2 days/week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2"/>
                <w:szCs w:val="22"/>
              </w:rPr>
              <w:t xml:space="preserve">1 opportunity</w:t>
            </w:r>
          </w:p>
        </w:tc>
      </w:tr>
    </w:tbl>
    <w:p>
      <w:pPr>
        <w:spacing w:after="80" w:before="80"/>
      </w:pPr>
      <w:r>
        <w:t xml:space="preserve"/>
      </w:r>
    </w:p>
    <w:p>
      <w:pPr>
        <w:pStyle w:val="Heading2"/>
        <w:spacing w:after="80" w:before="280"/>
      </w:pPr>
      <w:r>
        <w:rPr>
          <w:rFonts w:ascii="Arial" w:cs="Arial" w:eastAsia="Arial" w:hAnsi="Arial"/>
          <w:b/>
          <w:bCs/>
          <w:color w:val="2E75B6"/>
          <w:sz w:val="26"/>
          <w:szCs w:val="26"/>
        </w:rPr>
        <w:t xml:space="preserve">4.2 Duration Open</w:t>
      </w:r>
    </w:p>
    <w:p>
      <w:pPr>
        <w:spacing w:after="60" w:before="60"/>
      </w:pPr>
      <w:r>
        <w:rPr>
          <w:rFonts w:ascii="Arial" w:cs="Arial" w:eastAsia="Arial" w:hAnsi="Arial"/>
          <w:color w:val="595959"/>
          <w:sz w:val="22"/>
          <w:szCs w:val="22"/>
        </w:rPr>
        <w:t xml:space="preserve">Among opportunities with both a start and closed date, the average duration open is 102 days (approximately 3.4 months).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2"/>
                <w:szCs w:val="22"/>
              </w:rPr>
              <w:t xml:space="preserve">Minimum</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1F3864"/>
                <w:sz w:val="22"/>
                <w:szCs w:val="22"/>
              </w:rPr>
              <w:t xml:space="preserve">-21 days (closed before start 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Maximum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2"/>
                <w:szCs w:val="22"/>
              </w:rPr>
              <w:t xml:space="preserve">246 days (~8 months)</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2"/>
                <w:szCs w:val="22"/>
              </w:rPr>
              <w:t xml:space="preserve">Average</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1F3864"/>
                <w:sz w:val="22"/>
                <w:szCs w:val="22"/>
              </w:rPr>
              <w:t xml:space="preserve">102 days (~3.4 months)</w:t>
            </w:r>
          </w:p>
        </w:tc>
      </w:tr>
    </w:tbl>
    <w:p>
      <w:pPr>
        <w:spacing w:after="80" w:before="80"/>
      </w:pPr>
      <w:r>
        <w:t xml:space="preserve"/>
      </w:r>
    </w:p>
    <w:p>
      <w:pPr>
        <w:spacing w:after="60" w:before="60"/>
      </w:pPr>
      <w:r>
        <w:rPr>
          <w:rFonts w:ascii="Arial" w:cs="Arial" w:eastAsia="Arial" w:hAnsi="Arial"/>
          <w:color w:val="595959"/>
          <w:sz w:val="22"/>
          <w:szCs w:val="22"/>
        </w:rPr>
        <w:t xml:space="preserve">3 of 20 opportunities closed before their advertised end date, suggesting early manual closure — possibly because quotas were met via FormSG and the platform record was not updated to reflect this.</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4.3 Recurring Opportunities</w:t>
      </w:r>
    </w:p>
    <w:p>
      <w:pPr>
        <w:spacing w:after="60" w:before="60"/>
      </w:pPr>
      <w:r>
        <w:rPr>
          <w:rFonts w:ascii="Arial" w:cs="Arial" w:eastAsia="Arial" w:hAnsi="Arial"/>
          <w:color w:val="595959"/>
          <w:sz w:val="22"/>
          <w:szCs w:val="22"/>
        </w:rPr>
        <w:t xml:space="preserve">The SG Healthcare Corps Care Volunteer programme appears twice under different GigIDs (13427 and 13894), indicating it is re-posted as a new record for each cohort rather than extended. This pattern likely understates the true number of programme runs and makes longitudinal tracking difficult.</w:t>
      </w:r>
    </w:p>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5. Fill Rate and Completion</w:t>
      </w:r>
    </w:p>
    <w:p>
      <w:pPr>
        <w:spacing w:after="60" w:before="60"/>
      </w:pPr>
      <w:r>
        <w:rPr>
          <w:rFonts w:ascii="Arial" w:cs="Arial" w:eastAsia="Arial" w:hAnsi="Arial"/>
          <w:color w:val="595959"/>
          <w:sz w:val="22"/>
          <w:szCs w:val="22"/>
        </w:rPr>
        <w:t xml:space="preserve">All 20 PSFG opportunities show Filled: No and TotalNumberOfApplicants: 0 in the OTG platform. This is a structural limitation, not a measure of actual uptake.</w:t>
      </w:r>
    </w:p>
    <w:p>
      <w:pPr>
        <w:spacing w:after="80" w:before="80"/>
      </w:pPr>
      <w:r>
        <w:t xml:space="preserve"/>
      </w:r>
    </w:p>
    <w:p>
      <w:pPr>
        <w:spacing w:after="60" w:before="60"/>
      </w:pPr>
      <w:r>
        <w:rPr>
          <w:rFonts w:ascii="Arial" w:cs="Arial" w:eastAsia="Arial" w:hAnsi="Arial"/>
          <w:color w:val="595959"/>
          <w:sz w:val="22"/>
          <w:szCs w:val="22"/>
        </w:rPr>
        <w:t xml:space="preserve">PSFG sign-ups happen via external FormSG links embedded in the opportunity description. Applications bypass the OTG platform entirely, so:</w:t>
      </w:r>
    </w:p>
    <w:p>
      <w:pPr>
        <w:pStyle w:val="ListParagraph"/>
        <w:numPr>
          <w:ilvl w:val="0"/>
          <w:numId w:val="2"/>
        </w:numPr>
        <w:spacing w:after="40" w:before="40"/>
      </w:pPr>
      <w:r>
        <w:rPr>
          <w:rFonts w:ascii="Arial" w:cs="Arial" w:eastAsia="Arial" w:hAnsi="Arial"/>
          <w:color w:val="595959"/>
          <w:sz w:val="22"/>
          <w:szCs w:val="22"/>
        </w:rPr>
        <w:t xml:space="preserve">The Filled field will always read No regardless of actual uptake</w:t>
      </w:r>
    </w:p>
    <w:p>
      <w:pPr>
        <w:pStyle w:val="ListParagraph"/>
        <w:numPr>
          <w:ilvl w:val="0"/>
          <w:numId w:val="2"/>
        </w:numPr>
        <w:spacing w:after="40" w:before="40"/>
      </w:pPr>
      <w:r>
        <w:rPr>
          <w:rFonts w:ascii="Arial" w:cs="Arial" w:eastAsia="Arial" w:hAnsi="Arial"/>
          <w:color w:val="595959"/>
          <w:sz w:val="22"/>
          <w:szCs w:val="22"/>
        </w:rPr>
        <w:t xml:space="preserve">TotalNumberOfApplicants will always be 0 for PSFG opportunities</w:t>
      </w:r>
    </w:p>
    <w:p>
      <w:pPr>
        <w:pStyle w:val="ListParagraph"/>
        <w:numPr>
          <w:ilvl w:val="0"/>
          <w:numId w:val="2"/>
        </w:numPr>
        <w:spacing w:after="40" w:before="40"/>
      </w:pPr>
      <w:r>
        <w:rPr>
          <w:rFonts w:ascii="Arial" w:cs="Arial" w:eastAsia="Arial" w:hAnsi="Arial"/>
          <w:color w:val="595959"/>
          <w:sz w:val="22"/>
          <w:szCs w:val="22"/>
        </w:rPr>
        <w:t xml:space="preserve">Application rate and fill rate cannot be derived from this dataset</w:t>
      </w:r>
    </w:p>
    <w:p>
      <w:pPr>
        <w:spacing w:after="80" w:before="80"/>
      </w:pPr>
      <w:r>
        <w:t xml:space="preserve"/>
      </w:r>
    </w:p>
    <w:p>
      <w:pPr>
        <w:spacing w:after="60" w:before="60"/>
      </w:pPr>
      <w:r>
        <w:rPr>
          <w:rFonts w:ascii="Arial" w:cs="Arial" w:eastAsia="Arial" w:hAnsi="Arial"/>
          <w:color w:val="595959"/>
          <w:sz w:val="22"/>
          <w:szCs w:val="22"/>
        </w:rPr>
        <w:t xml:space="preserve">To measure actual demand, FormSG response counts would need to be retrieved directly. 10 of 20 opportunities have an extractable FormSG link in their description; the remaining 10 do not.</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6. Data Quality Assessment</w:t>
      </w:r>
    </w:p>
    <w:p>
      <w:pPr>
        <w:spacing w:after="60" w:before="60"/>
      </w:pPr>
      <w:r>
        <w:rPr>
          <w:rFonts w:ascii="Arial" w:cs="Arial" w:eastAsia="Arial" w:hAnsi="Arial"/>
          <w:color w:val="595959"/>
          <w:sz w:val="22"/>
          <w:szCs w:val="22"/>
        </w:rPr>
        <w:t xml:space="preserve">PSFG data has several notable gaps that would affect ingestion and downstream reporting: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c>
          <w:tcPr>
            <w:tcW w:type="dxa" w:w="374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28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744"/>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0"/>
                <w:szCs w:val="20"/>
              </w:rPr>
              <w:t xml:space="preserve">Agency (LocationName)</w:t>
            </w:r>
          </w:p>
        </w:tc>
        <w:tc>
          <w:tcPr>
            <w:tcW w:type="dxa" w:w="2808"/>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0"/>
                <w:szCs w:val="20"/>
              </w:rPr>
              <w:t xml:space="preserve">6 / 20 missing (30%)</w:t>
            </w:r>
          </w:p>
        </w:tc>
        <w:tc>
          <w:tcPr>
            <w:tcW w:type="dxa" w:w="2808"/>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0"/>
                <w:szCs w:val="20"/>
              </w:rPr>
              <w:t xml:space="preserve">Cannot attribute to host agency</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FormSG link</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10 / 20 missing (50%)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Cannot retrieve application data</w:t>
            </w:r>
          </w:p>
        </w:tc>
      </w:tr>
      <w:tr>
        <w:tc>
          <w:tcPr>
            <w:tcW w:type="dxa" w:w="3744"/>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0"/>
                <w:szCs w:val="20"/>
              </w:rPr>
              <w:t xml:space="preserve">GigStart / GigEnd</w:t>
            </w:r>
          </w:p>
        </w:tc>
        <w:tc>
          <w:tcPr>
            <w:tcW w:type="dxa" w:w="2808"/>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0"/>
                <w:szCs w:val="20"/>
              </w:rPr>
              <w:t xml:space="preserve">1 / 20 missing each</w:t>
            </w:r>
          </w:p>
        </w:tc>
        <w:tc>
          <w:tcPr>
            <w:tcW w:type="dxa" w:w="2808"/>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0"/>
                <w:szCs w:val="20"/>
              </w:rPr>
              <w:t xml:space="preserve">Low impact; most have dates</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Competencies (Talents)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20 / 20 marked N/A</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No competency signal for matching</w:t>
            </w:r>
          </w:p>
        </w:tc>
      </w:tr>
      <w:tr>
        <w:tc>
          <w:tcPr>
            <w:tcW w:type="dxa" w:w="3744"/>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0"/>
                <w:szCs w:val="20"/>
              </w:rPr>
              <w:t xml:space="preserve">BusinessUnit</w:t>
            </w:r>
          </w:p>
        </w:tc>
        <w:tc>
          <w:tcPr>
            <w:tcW w:type="dxa" w:w="2808"/>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0"/>
                <w:szCs w:val="20"/>
              </w:rPr>
              <w:t xml:space="preserve">11 / 20 missing (55%)</w:t>
            </w:r>
          </w:p>
        </w:tc>
        <w:tc>
          <w:tcPr>
            <w:tcW w:type="dxa" w:w="2808"/>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0"/>
                <w:szCs w:val="20"/>
              </w:rPr>
              <w:t xml:space="preserve">Cannot categorise by sector</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Prefix standardisation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 variants in use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Inconsistent filtering needed</w:t>
            </w:r>
          </w:p>
        </w:tc>
      </w:tr>
    </w:tbl>
    <w:p>
      <w:pPr>
        <w:spacing w:after="80" w:before="80"/>
      </w:pPr>
      <w:r>
        <w:t xml:space="preserve"/>
      </w:r>
    </w:p>
    <w:p>
      <w:pPr>
        <w:spacing w:after="60" w:before="60"/>
      </w:pPr>
      <w:r>
        <w:rPr>
          <w:rFonts w:ascii="Arial" w:cs="Arial" w:eastAsia="Arial" w:hAnsi="Arial"/>
          <w:color w:val="595959"/>
          <w:sz w:val="22"/>
          <w:szCs w:val="22"/>
        </w:rPr>
        <w:t xml:space="preserve">The most impactful gaps are Agency (30% missing) and FormSG link (50% missing). Both should be resolved before ingestion into a downstream system.</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7. Competency Tagging</w:t>
      </w:r>
    </w:p>
    <w:p>
      <w:pPr>
        <w:spacing w:after="60" w:before="60"/>
      </w:pPr>
      <w:r>
        <w:rPr>
          <w:rFonts w:ascii="Arial" w:cs="Arial" w:eastAsia="Arial" w:hAnsi="Arial"/>
          <w:color w:val="595959"/>
          <w:sz w:val="22"/>
          <w:szCs w:val="22"/>
        </w:rPr>
        <w:t xml:space="preserve">Every PSFG opportunity carries Not Applicable (N/A) in the Talents field. This contrasts with regular Gig opportunities, which carry detailed competency tags such as Agile Methodologies, Data Collection, and Service Design.</w:t>
      </w:r>
    </w:p>
    <w:p>
      <w:pPr>
        <w:spacing w:after="80" w:before="80"/>
      </w:pPr>
      <w:r>
        <w:t xml:space="preserve"/>
      </w:r>
    </w:p>
    <w:p>
      <w:pPr>
        <w:spacing w:after="60" w:before="60"/>
      </w:pPr>
      <w:r>
        <w:rPr>
          <w:rFonts w:ascii="Arial" w:cs="Arial" w:eastAsia="Arial" w:hAnsi="Arial"/>
          <w:color w:val="595959"/>
          <w:sz w:val="22"/>
          <w:szCs w:val="22"/>
        </w:rPr>
        <w:t xml:space="preserve">This appears to be an intentional design choice: PSFG is framed as values-driven volunteering rather than skills development, so competency matching is not applied. However, this creates a gap for officers who may seek professional development through community engagement.</w:t>
      </w:r>
    </w:p>
    <w:p>
      <w:pPr>
        <w:spacing w:after="80" w:before="80"/>
      </w:pPr>
      <w:r>
        <w:t xml:space="preserve"/>
      </w:r>
    </w:p>
    <w:p>
      <w:pPr>
        <w:spacing w:after="60" w:before="60"/>
      </w:pPr>
      <w:r>
        <w:rPr>
          <w:rFonts w:ascii="Arial" w:cs="Arial" w:eastAsia="Arial" w:hAnsi="Arial"/>
          <w:color w:val="595959"/>
          <w:sz w:val="22"/>
          <w:szCs w:val="22"/>
        </w:rPr>
        <w:t xml:space="preserve">Questions for the programme team:</w:t>
      </w:r>
    </w:p>
    <w:p>
      <w:pPr>
        <w:pStyle w:val="ListParagraph"/>
        <w:numPr>
          <w:ilvl w:val="0"/>
          <w:numId w:val="2"/>
        </w:numPr>
        <w:spacing w:after="40" w:before="40"/>
      </w:pPr>
      <w:r>
        <w:rPr>
          <w:rFonts w:ascii="Arial" w:cs="Arial" w:eastAsia="Arial" w:hAnsi="Arial"/>
          <w:color w:val="595959"/>
          <w:sz w:val="22"/>
          <w:szCs w:val="22"/>
        </w:rPr>
        <w:t xml:space="preserve">Should soft competencies (empathy, community engagement, stakeholder communication) be tagged retroactively?</w:t>
      </w:r>
    </w:p>
    <w:p>
      <w:pPr>
        <w:pStyle w:val="ListParagraph"/>
        <w:numPr>
          <w:ilvl w:val="0"/>
          <w:numId w:val="2"/>
        </w:numPr>
        <w:spacing w:after="40" w:before="40"/>
      </w:pPr>
      <w:r>
        <w:rPr>
          <w:rFonts w:ascii="Arial" w:cs="Arial" w:eastAsia="Arial" w:hAnsi="Arial"/>
          <w:color w:val="595959"/>
          <w:sz w:val="22"/>
          <w:szCs w:val="22"/>
        </w:rPr>
        <w:t xml:space="preserve">Would tagging improve discoverability for officers searching by skill area?</w:t>
      </w:r>
    </w:p>
    <w:p>
      <w:pPr>
        <w:pStyle w:val="ListParagraph"/>
        <w:numPr>
          <w:ilvl w:val="0"/>
          <w:numId w:val="2"/>
        </w:numPr>
        <w:spacing w:after="40" w:before="40"/>
      </w:pPr>
      <w:r>
        <w:rPr>
          <w:rFonts w:ascii="Arial" w:cs="Arial" w:eastAsia="Arial" w:hAnsi="Arial"/>
          <w:color w:val="595959"/>
          <w:sz w:val="22"/>
          <w:szCs w:val="22"/>
        </w:rPr>
        <w:t xml:space="preserve">Is N/A a platform constraint or an explicit policy choice?</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8. Open Questions for Discovery</w:t>
      </w:r>
    </w:p>
    <w:p>
      <w:pPr>
        <w:spacing w:after="60" w:before="60"/>
      </w:pPr>
      <w:r>
        <w:rPr>
          <w:rFonts w:ascii="Arial" w:cs="Arial" w:eastAsia="Arial" w:hAnsi="Arial"/>
          <w:color w:val="595959"/>
          <w:sz w:val="22"/>
          <w:szCs w:val="22"/>
        </w:rPr>
        <w:t xml:space="preserve">Based on this analysis, the following questions remain open and would benefit from stakeholder interviews or additional data sources:</w:t>
      </w:r>
    </w:p>
    <w:p>
      <w:pPr>
        <w:spacing w:after="80" w:before="80"/>
      </w:pPr>
      <w:r>
        <w:t xml:space="preserve"/>
      </w:r>
    </w:p>
    <w:p>
      <w:pPr>
        <w:pStyle w:val="ListParagraph"/>
        <w:numPr>
          <w:ilvl w:val="0"/>
          <w:numId w:val="2"/>
        </w:numPr>
        <w:spacing w:after="40" w:before="40"/>
      </w:pPr>
      <w:r>
        <w:rPr>
          <w:rFonts w:ascii="Arial" w:cs="Arial" w:eastAsia="Arial" w:hAnsi="Arial"/>
          <w:color w:val="595959"/>
          <w:sz w:val="22"/>
          <w:szCs w:val="22"/>
        </w:rPr>
        <w:t xml:space="preserve">What is the actual uptake of PSFG opportunities? FormSG response data is needed.</w:t>
      </w:r>
    </w:p>
    <w:p>
      <w:pPr>
        <w:pStyle w:val="ListParagraph"/>
        <w:numPr>
          <w:ilvl w:val="0"/>
          <w:numId w:val="2"/>
        </w:numPr>
        <w:spacing w:after="40" w:before="40"/>
      </w:pPr>
      <w:r>
        <w:rPr>
          <w:rFonts w:ascii="Arial" w:cs="Arial" w:eastAsia="Arial" w:hAnsi="Arial"/>
          <w:color w:val="595959"/>
          <w:sz w:val="22"/>
          <w:szCs w:val="22"/>
        </w:rPr>
        <w:t xml:space="preserve">Why do 6 opportunities have no agency recorded — data entry gap or by design?</w:t>
      </w:r>
    </w:p>
    <w:p>
      <w:pPr>
        <w:pStyle w:val="ListParagraph"/>
        <w:numPr>
          <w:ilvl w:val="0"/>
          <w:numId w:val="2"/>
        </w:numPr>
        <w:spacing w:after="40" w:before="40"/>
      </w:pPr>
      <w:r>
        <w:rPr>
          <w:rFonts w:ascii="Arial" w:cs="Arial" w:eastAsia="Arial" w:hAnsi="Arial"/>
          <w:color w:val="595959"/>
          <w:sz w:val="22"/>
          <w:szCs w:val="22"/>
        </w:rPr>
        <w:t xml:space="preserve">Are recurring programmes tracked as separate editions or a single continuous programme?</w:t>
      </w:r>
    </w:p>
    <w:p>
      <w:pPr>
        <w:pStyle w:val="ListParagraph"/>
        <w:numPr>
          <w:ilvl w:val="0"/>
          <w:numId w:val="2"/>
        </w:numPr>
        <w:spacing w:after="40" w:before="40"/>
      </w:pPr>
      <w:r>
        <w:rPr>
          <w:rFonts w:ascii="Arial" w:cs="Arial" w:eastAsia="Arial" w:hAnsi="Arial"/>
          <w:color w:val="595959"/>
          <w:sz w:val="22"/>
          <w:szCs w:val="22"/>
        </w:rPr>
        <w:t xml:space="preserve">Is the 1 day/week time commitment a default value or accurate?</w:t>
      </w:r>
    </w:p>
    <w:p>
      <w:pPr>
        <w:pStyle w:val="ListParagraph"/>
        <w:numPr>
          <w:ilvl w:val="0"/>
          <w:numId w:val="2"/>
        </w:numPr>
        <w:spacing w:after="40" w:before="40"/>
      </w:pPr>
      <w:r>
        <w:rPr>
          <w:rFonts w:ascii="Arial" w:cs="Arial" w:eastAsia="Arial" w:hAnsi="Arial"/>
          <w:color w:val="595959"/>
          <w:sz w:val="22"/>
          <w:szCs w:val="22"/>
        </w:rPr>
        <w:t xml:space="preserve">Should PSFG be ingested into the same pipeline as Gigs and SJRs, or treated as a separate stream?</w:t>
      </w:r>
    </w:p>
    <w:p>
      <w:pPr>
        <w:pStyle w:val="ListParagraph"/>
        <w:numPr>
          <w:ilvl w:val="0"/>
          <w:numId w:val="2"/>
        </w:numPr>
        <w:spacing w:after="40" w:before="40"/>
      </w:pPr>
      <w:r>
        <w:rPr>
          <w:rFonts w:ascii="Arial" w:cs="Arial" w:eastAsia="Arial" w:hAnsi="Arial"/>
          <w:color w:val="595959"/>
          <w:sz w:val="22"/>
          <w:szCs w:val="22"/>
        </w:rPr>
        <w:t xml:space="preserve">Who owns PSFG data quality — the OTG team or the host agencies?</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9. Summary</w:t>
      </w:r>
    </w:p>
    <w:p>
      <w:pPr>
        <w:spacing w:after="60" w:before="60"/>
      </w:pPr>
      <w:r>
        <w:rPr>
          <w:rFonts w:ascii="Arial" w:cs="Arial" w:eastAsia="Arial" w:hAnsi="Arial"/>
          <w:color w:val="595959"/>
          <w:sz w:val="22"/>
          <w:szCs w:val="22"/>
        </w:rPr>
        <w:t xml:space="preserve">PSFG opportunities are a distinct and growing category on the OTG platform, representing community volunteer roles rather than professional gigs. They differ structurally from regular Gigs in three key ways: sign-ups happen off-platform via FormSG, competencies are not tagged, and fill and applicant data is not captured in the system. The programme has grown from 2 opportunities in 2023 to 11 in 2025, with Agency for Integrated Care and MSF as the most active hosts. Significant data quality gaps exist in Agency, FormSG link, BusinessUnit, and prefix standardisation — all of which should be resolved before ingestion into a downstream reporting 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999999"/>
        <w:sz w:val="16"/>
        <w:szCs w:val="16"/>
      </w:rPr>
      <w:t xml:space="preserve">Confidential — Internal Use Only</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color w:val="999999"/>
        <w:sz w:val="18"/>
        <w:szCs w:val="18"/>
      </w:rPr>
      <w:t xml:space="preserve">PSFG Opportunities — Discovery Brief</w:t>
    </w:r>
    <w:r>
      <w:rPr>
        <w:rFonts w:ascii="Arial" w:cs="Arial" w:eastAsia="Arial" w:hAnsi="Arial"/>
        <w:color w:val="999999"/>
        <w:sz w:val="18"/>
        <w:szCs w:val="18"/>
      </w:rPr>
      <w:t xml:space="preserve">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2026-06-16T06:52:22.330Z</dcterms:created>
  <dcterms:modified xsi:type="dcterms:W3CDTF">2026-06-16T06:52:22.330Z</dcterms:modified>
</cp:coreProperties>
</file>

<file path=docProps/custom.xml><?xml version="1.0" encoding="utf-8"?>
<Properties xmlns="http://schemas.openxmlformats.org/officeDocument/2006/custom-properties" xmlns:vt="http://schemas.openxmlformats.org/officeDocument/2006/docPropsVTypes"/>
</file>