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pPr>
      <w:r>
        <w:rPr>
          <w:rFonts w:ascii="Aptos Display" w:hAnsi="Aptos Display"/>
          <w:b/>
          <w:color w:val="057D79"/>
          <w:sz w:val="66"/>
        </w:rPr>
        <w:t>FORJA DE DADOS</w:t>
      </w:r>
    </w:p>
    <w:p>
      <w:pPr>
        <w:spacing w:before="320"/>
      </w:pPr>
      <w:r>
        <w:rPr>
          <w:b/>
          <w:color w:val="142439"/>
          <w:sz w:val="52"/>
        </w:rPr>
        <w:t>Arquitetura de Engenharia</w:t>
        <w:br/>
        <w:t>de Dados Ponta a Ponta</w:t>
      </w:r>
    </w:p>
    <w:p>
      <w:pPr>
        <w:spacing w:before="280"/>
      </w:pPr>
      <w:r>
        <w:rPr>
          <w:color w:val="5F7180"/>
          <w:sz w:val="26"/>
        </w:rPr>
        <w:t>Arquitetura de referência, contratos, ingestão, governança, modelagem, qualidade, quarentenas e reprocessamento.</w:t>
      </w:r>
    </w:p>
    <w:p>
      <w:pPr>
        <w:spacing w:before="800"/>
      </w:pPr>
    </w:p>
    <w:tbl>
      <w:tblPr>
        <w:tblW w:type="auto" w:w="0"/>
        <w:tblLook w:firstColumn="1" w:firstRow="1" w:lastColumn="0" w:lastRow="0" w:noHBand="0" w:noVBand="1" w:val="04A0"/>
      </w:tblPr>
      <w:tblGrid>
        <w:gridCol w:w="9553"/>
      </w:tblGrid>
      <w:tr>
        <w:tc>
          <w:tcPr>
            <w:tcW w:type="dxa" w:w="9553"/>
            <w:shd w:fill="142439"/>
            <w:tcMar>
              <w:top w:w="260" w:type="dxa"/>
              <w:start w:w="280" w:type="dxa"/>
              <w:bottom w:w="250" w:type="dxa"/>
              <w:end w:w="280" w:type="dxa"/>
            </w:tcMar>
          </w:tcPr>
          <w:p>
            <w:r>
              <w:rPr>
                <w:b/>
                <w:color w:val="8BE0D1"/>
                <w:sz w:val="18"/>
              </w:rPr>
              <w:t>PRINCÍPIO CENTRAL</w:t>
            </w:r>
          </w:p>
          <w:p>
            <w:r>
              <w:rPr>
                <w:color w:val="FFFFFF"/>
                <w:sz w:val="26"/>
              </w:rPr>
              <w:t>Todo dado é identificado, validado, rastreado e recuperável.</w:t>
              <w:br/>
              <w:t>Nenhuma publicação depende de sorte ou de execução manual improvisada.</w:t>
            </w:r>
          </w:p>
        </w:tc>
      </w:tr>
    </w:tbl>
    <w:p>
      <w:pPr>
        <w:spacing w:before="1200"/>
      </w:pPr>
      <w:r>
        <w:rPr>
          <w:b/>
          <w:color w:val="057D79"/>
          <w:sz w:val="20"/>
        </w:rPr>
        <w:t>VERSÃO 1.0  •  31 DE OUTUBRO DE 2026</w:t>
      </w:r>
    </w:p>
    <w:p>
      <w:pPr/>
      <w:r>
        <w:rPr>
          <w:b/>
        </w:rPr>
        <w:t>Projeto técnico independente</w:t>
      </w:r>
      <w:r>
        <w:t xml:space="preserve"> • conceitos portáveis • implementação de referência em Databricks e Google Cloud</w:t>
      </w:r>
    </w:p>
    <w:p>
      <w:r>
        <w:br w:type="page"/>
      </w:r>
    </w:p>
    <w:p>
      <w:pPr>
        <w:pStyle w:val="Heading1"/>
      </w:pPr>
      <w:r>
        <w:t>Controle do documento</w:t>
      </w:r>
    </w:p>
    <w:tbl>
      <w:tblPr>
        <w:tblW w:type="auto" w:w="0"/>
        <w:jc w:val="center"/>
        <w:tblLayout w:type="fixed"/>
        <w:tblLook w:firstColumn="1" w:firstRow="1" w:lastColumn="0" w:lastRow="0" w:noHBand="0" w:noVBand="1" w:val="04A0"/>
      </w:tblPr>
      <w:tblGrid>
        <w:gridCol w:w="2041"/>
        <w:gridCol w:w="6293"/>
      </w:tblGrid>
      <w:tr>
        <w:trPr>
          <w:tblHeader w:val="true"/>
          <w:cantSplit/>
        </w:trPr>
        <w:tc>
          <w:tcPr>
            <w:tcW w:type="dxa" w:w="4776"/>
            <w:shd w:fill="142439"/>
            <w:tcMar>
              <w:top w:w="95" w:type="dxa"/>
              <w:start w:w="100" w:type="dxa"/>
              <w:bottom w:w="95" w:type="dxa"/>
              <w:end w:w="100" w:type="dxa"/>
            </w:tcMar>
          </w:tcPr>
          <w:p>
            <w:pPr>
              <w:spacing w:after="0"/>
            </w:pPr>
            <w:r>
              <w:rPr>
                <w:b/>
                <w:color w:val="FFFFFF"/>
                <w:sz w:val="16"/>
              </w:rPr>
              <w:t>Campo</w:t>
            </w:r>
          </w:p>
        </w:tc>
        <w:tc>
          <w:tcPr>
            <w:tcW w:type="dxa" w:w="4776"/>
            <w:shd w:fill="142439"/>
            <w:tcMar>
              <w:top w:w="95" w:type="dxa"/>
              <w:start w:w="100" w:type="dxa"/>
              <w:bottom w:w="95" w:type="dxa"/>
              <w:end w:w="100" w:type="dxa"/>
            </w:tcMar>
          </w:tcPr>
          <w:p>
            <w:pPr>
              <w:spacing w:after="0"/>
            </w:pPr>
            <w:r>
              <w:rPr>
                <w:b/>
                <w:color w:val="FFFFFF"/>
                <w:sz w:val="16"/>
              </w:rPr>
              <w:t>Definição</w:t>
            </w:r>
          </w:p>
        </w:tc>
      </w:tr>
      <w:tr>
        <w:trPr>
          <w:cantSplit/>
        </w:trPr>
        <w:tc>
          <w:tcPr>
            <w:tcW w:type="dxa" w:w="2041"/>
            <w:vAlign w:val="center"/>
            <w:tcMar>
              <w:top w:w="90" w:type="dxa"/>
              <w:start w:w="100" w:type="dxa"/>
              <w:bottom w:w="90" w:type="dxa"/>
              <w:end w:w="100" w:type="dxa"/>
            </w:tcMar>
            <w:tcBorders>
              <w:bottom w:val="single" w:sz="4" w:color="D9E1E6"/>
            </w:tcBorders>
          </w:tcPr>
          <w:p>
            <w:pPr>
              <w:spacing w:after="0" w:line="257" w:lineRule="auto"/>
            </w:pPr>
            <w:r>
              <w:rPr>
                <w:sz w:val="16"/>
              </w:rPr>
              <w:t>Título</w:t>
            </w:r>
          </w:p>
        </w:tc>
        <w:tc>
          <w:tcPr>
            <w:tcW w:type="dxa" w:w="6293"/>
            <w:vAlign w:val="center"/>
            <w:tcMar>
              <w:top w:w="90" w:type="dxa"/>
              <w:start w:w="100" w:type="dxa"/>
              <w:bottom w:w="90" w:type="dxa"/>
              <w:end w:w="100" w:type="dxa"/>
            </w:tcMar>
            <w:tcBorders>
              <w:bottom w:val="single" w:sz="4" w:color="D9E1E6"/>
            </w:tcBorders>
          </w:tcPr>
          <w:p>
            <w:pPr>
              <w:spacing w:after="0" w:line="257" w:lineRule="auto"/>
            </w:pPr>
            <w:r>
              <w:rPr>
                <w:sz w:val="16"/>
              </w:rPr>
              <w:t>Forja de Dados — Arquitetura de Engenharia de Dados Ponta a Ponta</w:t>
            </w:r>
          </w:p>
        </w:tc>
      </w:tr>
      <w:tr>
        <w:trPr>
          <w:cantSplit/>
        </w:trPr>
        <w:tc>
          <w:tcPr>
            <w:tcW w:type="dxa" w:w="2041"/>
            <w:vAlign w:val="center"/>
            <w:tcMar>
              <w:top w:w="90" w:type="dxa"/>
              <w:start w:w="100" w:type="dxa"/>
              <w:bottom w:w="90" w:type="dxa"/>
              <w:end w:w="100" w:type="dxa"/>
            </w:tcMar>
            <w:shd w:fill="F3F6F8"/>
            <w:tcBorders>
              <w:bottom w:val="single" w:sz="4" w:color="D9E1E6"/>
            </w:tcBorders>
          </w:tcPr>
          <w:p>
            <w:pPr>
              <w:spacing w:after="0" w:line="257" w:lineRule="auto"/>
            </w:pPr>
            <w:r>
              <w:rPr>
                <w:sz w:val="16"/>
              </w:rPr>
              <w:t>Natureza</w:t>
            </w:r>
          </w:p>
        </w:tc>
        <w:tc>
          <w:tcPr>
            <w:tcW w:type="dxa" w:w="6293"/>
            <w:vAlign w:val="center"/>
            <w:tcMar>
              <w:top w:w="90" w:type="dxa"/>
              <w:start w:w="100" w:type="dxa"/>
              <w:bottom w:w="90" w:type="dxa"/>
              <w:end w:w="100" w:type="dxa"/>
            </w:tcMar>
            <w:shd w:fill="F3F6F8"/>
            <w:tcBorders>
              <w:bottom w:val="single" w:sz="4" w:color="D9E1E6"/>
            </w:tcBorders>
          </w:tcPr>
          <w:p>
            <w:pPr>
              <w:spacing w:after="0" w:line="257" w:lineRule="auto"/>
            </w:pPr>
            <w:r>
              <w:rPr>
                <w:sz w:val="16"/>
              </w:rPr>
              <w:t>Especificação arquitetural de referência e guia para laboratório prático</w:t>
            </w:r>
          </w:p>
        </w:tc>
      </w:tr>
      <w:tr>
        <w:trPr>
          <w:cantSplit/>
        </w:trPr>
        <w:tc>
          <w:tcPr>
            <w:tcW w:type="dxa" w:w="2041"/>
            <w:vAlign w:val="center"/>
            <w:tcMar>
              <w:top w:w="90" w:type="dxa"/>
              <w:start w:w="100" w:type="dxa"/>
              <w:bottom w:w="90" w:type="dxa"/>
              <w:end w:w="100" w:type="dxa"/>
            </w:tcMar>
            <w:tcBorders>
              <w:bottom w:val="single" w:sz="4" w:color="D9E1E6"/>
            </w:tcBorders>
          </w:tcPr>
          <w:p>
            <w:pPr>
              <w:spacing w:after="0" w:line="257" w:lineRule="auto"/>
            </w:pPr>
            <w:r>
              <w:rPr>
                <w:sz w:val="16"/>
              </w:rPr>
              <w:t>Versão e data</w:t>
            </w:r>
          </w:p>
        </w:tc>
        <w:tc>
          <w:tcPr>
            <w:tcW w:type="dxa" w:w="6293"/>
            <w:vAlign w:val="center"/>
            <w:tcMar>
              <w:top w:w="90" w:type="dxa"/>
              <w:start w:w="100" w:type="dxa"/>
              <w:bottom w:w="90" w:type="dxa"/>
              <w:end w:w="100" w:type="dxa"/>
            </w:tcMar>
            <w:tcBorders>
              <w:bottom w:val="single" w:sz="4" w:color="D9E1E6"/>
            </w:tcBorders>
          </w:tcPr>
          <w:p>
            <w:pPr>
              <w:spacing w:after="0" w:line="257" w:lineRule="auto"/>
            </w:pPr>
            <w:r>
              <w:rPr>
                <w:sz w:val="16"/>
              </w:rPr>
              <w:t>1.0 — 31/10/2026</w:t>
            </w:r>
          </w:p>
        </w:tc>
      </w:tr>
      <w:tr>
        <w:trPr>
          <w:cantSplit/>
        </w:trPr>
        <w:tc>
          <w:tcPr>
            <w:tcW w:type="dxa" w:w="2041"/>
            <w:vAlign w:val="center"/>
            <w:tcMar>
              <w:top w:w="90" w:type="dxa"/>
              <w:start w:w="100" w:type="dxa"/>
              <w:bottom w:w="90" w:type="dxa"/>
              <w:end w:w="100" w:type="dxa"/>
            </w:tcMar>
            <w:shd w:fill="F3F6F8"/>
            <w:tcBorders>
              <w:bottom w:val="single" w:sz="4" w:color="D9E1E6"/>
            </w:tcBorders>
          </w:tcPr>
          <w:p>
            <w:pPr>
              <w:spacing w:after="0" w:line="257" w:lineRule="auto"/>
            </w:pPr>
            <w:r>
              <w:rPr>
                <w:sz w:val="16"/>
              </w:rPr>
              <w:t>Público</w:t>
            </w:r>
          </w:p>
        </w:tc>
        <w:tc>
          <w:tcPr>
            <w:tcW w:type="dxa" w:w="6293"/>
            <w:vAlign w:val="center"/>
            <w:tcMar>
              <w:top w:w="90" w:type="dxa"/>
              <w:start w:w="100" w:type="dxa"/>
              <w:bottom w:w="90" w:type="dxa"/>
              <w:end w:w="100" w:type="dxa"/>
            </w:tcMar>
            <w:shd w:fill="F3F6F8"/>
            <w:tcBorders>
              <w:bottom w:val="single" w:sz="4" w:color="D9E1E6"/>
            </w:tcBorders>
          </w:tcPr>
          <w:p>
            <w:pPr>
              <w:spacing w:after="0" w:line="257" w:lineRule="auto"/>
            </w:pPr>
            <w:r>
              <w:rPr>
                <w:sz w:val="16"/>
              </w:rPr>
              <w:t>Arquitetos, engenheiros de dados, equipes de plataforma, governança e operações</w:t>
            </w:r>
          </w:p>
        </w:tc>
      </w:tr>
      <w:tr>
        <w:trPr>
          <w:cantSplit/>
        </w:trPr>
        <w:tc>
          <w:tcPr>
            <w:tcW w:type="dxa" w:w="2041"/>
            <w:vAlign w:val="center"/>
            <w:tcMar>
              <w:top w:w="90" w:type="dxa"/>
              <w:start w:w="100" w:type="dxa"/>
              <w:bottom w:w="90" w:type="dxa"/>
              <w:end w:w="100" w:type="dxa"/>
            </w:tcMar>
            <w:tcBorders>
              <w:bottom w:val="single" w:sz="4" w:color="D9E1E6"/>
            </w:tcBorders>
          </w:tcPr>
          <w:p>
            <w:pPr>
              <w:spacing w:after="0" w:line="257" w:lineRule="auto"/>
            </w:pPr>
            <w:r>
              <w:rPr>
                <w:sz w:val="16"/>
              </w:rPr>
              <w:t>Independência</w:t>
            </w:r>
          </w:p>
        </w:tc>
        <w:tc>
          <w:tcPr>
            <w:tcW w:type="dxa" w:w="6293"/>
            <w:vAlign w:val="center"/>
            <w:tcMar>
              <w:top w:w="90" w:type="dxa"/>
              <w:start w:w="100" w:type="dxa"/>
              <w:bottom w:w="90" w:type="dxa"/>
              <w:end w:w="100" w:type="dxa"/>
            </w:tcMar>
            <w:tcBorders>
              <w:bottom w:val="single" w:sz="4" w:color="D9E1E6"/>
            </w:tcBorders>
          </w:tcPr>
          <w:p>
            <w:pPr>
              <w:spacing w:after="0" w:line="257" w:lineRule="auto"/>
            </w:pPr>
            <w:r>
              <w:rPr>
                <w:sz w:val="16"/>
              </w:rPr>
              <w:t>Sem dependências de ambientes, nomes de empresas, sistemas internos ou dados proprietários</w:t>
            </w:r>
          </w:p>
        </w:tc>
      </w:tr>
      <w:tr>
        <w:trPr>
          <w:cantSplit/>
        </w:trPr>
        <w:tc>
          <w:tcPr>
            <w:tcW w:type="dxa" w:w="2041"/>
            <w:vAlign w:val="center"/>
            <w:tcMar>
              <w:top w:w="90" w:type="dxa"/>
              <w:start w:w="100" w:type="dxa"/>
              <w:bottom w:w="90" w:type="dxa"/>
              <w:end w:w="100" w:type="dxa"/>
            </w:tcMar>
            <w:shd w:fill="F3F6F8"/>
            <w:tcBorders>
              <w:bottom w:val="single" w:sz="4" w:color="D9E1E6"/>
            </w:tcBorders>
          </w:tcPr>
          <w:p>
            <w:pPr>
              <w:spacing w:after="0" w:line="257" w:lineRule="auto"/>
            </w:pPr>
            <w:r>
              <w:rPr>
                <w:sz w:val="16"/>
              </w:rPr>
              <w:t>Stack de laboratório</w:t>
            </w:r>
          </w:p>
        </w:tc>
        <w:tc>
          <w:tcPr>
            <w:tcW w:type="dxa" w:w="6293"/>
            <w:vAlign w:val="center"/>
            <w:tcMar>
              <w:top w:w="90" w:type="dxa"/>
              <w:start w:w="100" w:type="dxa"/>
              <w:bottom w:w="90" w:type="dxa"/>
              <w:end w:w="100" w:type="dxa"/>
            </w:tcMar>
            <w:shd w:fill="F3F6F8"/>
            <w:tcBorders>
              <w:bottom w:val="single" w:sz="4" w:color="D9E1E6"/>
            </w:tcBorders>
          </w:tcPr>
          <w:p>
            <w:pPr>
              <w:spacing w:after="0" w:line="257" w:lineRule="auto"/>
            </w:pPr>
            <w:r>
              <w:rPr>
                <w:sz w:val="16"/>
              </w:rPr>
              <w:t>Databricks sobre Google Cloud Platform; recursos sujeitos à disponibilidade e permissões</w:t>
            </w:r>
          </w:p>
        </w:tc>
      </w:tr>
      <w:tr>
        <w:trPr>
          <w:cantSplit/>
        </w:trPr>
        <w:tc>
          <w:tcPr>
            <w:tcW w:type="dxa" w:w="2041"/>
            <w:vAlign w:val="center"/>
            <w:tcMar>
              <w:top w:w="90" w:type="dxa"/>
              <w:start w:w="100" w:type="dxa"/>
              <w:bottom w:w="90" w:type="dxa"/>
              <w:end w:w="100" w:type="dxa"/>
            </w:tcMar>
            <w:tcBorders>
              <w:bottom w:val="single" w:sz="4" w:color="D9E1E6"/>
            </w:tcBorders>
          </w:tcPr>
          <w:p>
            <w:pPr>
              <w:spacing w:after="0" w:line="257" w:lineRule="auto"/>
            </w:pPr>
            <w:r>
              <w:rPr>
                <w:sz w:val="16"/>
              </w:rPr>
              <w:t>Fonte de decisão</w:t>
            </w:r>
          </w:p>
        </w:tc>
        <w:tc>
          <w:tcPr>
            <w:tcW w:type="dxa" w:w="6293"/>
            <w:vAlign w:val="center"/>
            <w:tcMar>
              <w:top w:w="90" w:type="dxa"/>
              <w:start w:w="100" w:type="dxa"/>
              <w:bottom w:w="90" w:type="dxa"/>
              <w:end w:w="100" w:type="dxa"/>
            </w:tcMar>
            <w:tcBorders>
              <w:bottom w:val="single" w:sz="4" w:color="D9E1E6"/>
            </w:tcBorders>
          </w:tcPr>
          <w:p>
            <w:pPr>
              <w:spacing w:after="0" w:line="257" w:lineRule="auto"/>
            </w:pPr>
            <w:r>
              <w:rPr>
                <w:sz w:val="16"/>
              </w:rPr>
              <w:t>Requisitos, contratos, cenários verificáveis e registros de decisão arquitetural (ADR)</w:t>
            </w:r>
          </w:p>
        </w:tc>
      </w:tr>
    </w:tbl>
    <w:p>
      <w:pPr>
        <w:spacing w:after="0"/>
      </w:pPr>
    </w:p>
    <w:p>
      <w:pPr>
        <w:pStyle w:val="Heading2"/>
      </w:pPr>
      <w:r>
        <w:t>Como utilizar este documento</w:t>
      </w:r>
    </w:p>
    <w:p>
      <w:pPr/>
      <w:r>
        <w:t>O texto está organizado em duas perspectivas. A parte conceitual descreve princípios que sobrevivem à troca de ferramentas; a parte de implementação traduz esses princípios para recursos do Databricks e do Google Cloud. Sempre que um serviço específico não estiver disponível, a arquitetura exige uma alternativa com comportamento equivalente.</w:t>
      </w:r>
    </w:p>
    <w:p>
      <w:pPr/>
      <w:r>
        <w:t>Decisões com impacto em custo, segurança, escala ou conformidade não serão tratadas como verdades universais: devem ser testadas no laboratório e posteriormente verificadas em cada organização.</w:t>
      </w:r>
    </w:p>
    <w:p>
      <w:pPr>
        <w:pStyle w:val="Heading2"/>
      </w:pPr>
      <w:r>
        <w:t>Sumário de conteúdo</w:t>
      </w:r>
    </w:p>
    <w:tbl>
      <w:tblPr>
        <w:tblW w:type="auto" w:w="0"/>
        <w:jc w:val="center"/>
        <w:tblLayout w:type="fixed"/>
        <w:tblLook w:firstColumn="1" w:firstRow="1" w:lastColumn="0" w:lastRow="0" w:noHBand="0" w:noVBand="1" w:val="04A0"/>
      </w:tblPr>
      <w:tblGrid>
        <w:gridCol w:w="2098"/>
        <w:gridCol w:w="6236"/>
      </w:tblGrid>
      <w:tr>
        <w:trPr>
          <w:tblHeader w:val="true"/>
          <w:cantSplit/>
        </w:trPr>
        <w:tc>
          <w:tcPr>
            <w:tcW w:type="dxa" w:w="4776"/>
            <w:shd w:fill="142439"/>
            <w:tcMar>
              <w:top w:w="95" w:type="dxa"/>
              <w:start w:w="100" w:type="dxa"/>
              <w:bottom w:w="95" w:type="dxa"/>
              <w:end w:w="100" w:type="dxa"/>
            </w:tcMar>
          </w:tcPr>
          <w:p>
            <w:pPr>
              <w:spacing w:after="0"/>
            </w:pPr>
            <w:r>
              <w:rPr>
                <w:b/>
                <w:color w:val="FFFFFF"/>
                <w:sz w:val="16"/>
              </w:rPr>
              <w:t>Parte</w:t>
            </w:r>
          </w:p>
        </w:tc>
        <w:tc>
          <w:tcPr>
            <w:tcW w:type="dxa" w:w="4776"/>
            <w:shd w:fill="142439"/>
            <w:tcMar>
              <w:top w:w="95" w:type="dxa"/>
              <w:start w:w="100" w:type="dxa"/>
              <w:bottom w:w="95" w:type="dxa"/>
              <w:end w:w="100" w:type="dxa"/>
            </w:tcMar>
          </w:tcPr>
          <w:p>
            <w:pPr>
              <w:spacing w:after="0"/>
            </w:pPr>
            <w:r>
              <w:rPr>
                <w:b/>
                <w:color w:val="FFFFFF"/>
                <w:sz w:val="16"/>
              </w:rPr>
              <w:t>Conteúdo</w:t>
            </w:r>
          </w:p>
        </w:tc>
      </w:tr>
      <w:tr>
        <w:trPr>
          <w:cantSplit/>
        </w:trPr>
        <w:tc>
          <w:tcPr>
            <w:tcW w:type="dxa" w:w="2098"/>
            <w:vAlign w:val="center"/>
            <w:tcMar>
              <w:top w:w="90" w:type="dxa"/>
              <w:start w:w="100" w:type="dxa"/>
              <w:bottom w:w="90" w:type="dxa"/>
              <w:end w:w="100" w:type="dxa"/>
            </w:tcMar>
            <w:tcBorders>
              <w:bottom w:val="single" w:sz="4" w:color="D9E1E6"/>
            </w:tcBorders>
          </w:tcPr>
          <w:p>
            <w:pPr>
              <w:spacing w:after="0" w:line="257" w:lineRule="auto"/>
            </w:pPr>
            <w:r>
              <w:rPr>
                <w:sz w:val="16"/>
              </w:rPr>
              <w:t>I — Fundamentos</w:t>
            </w:r>
          </w:p>
        </w:tc>
        <w:tc>
          <w:tcPr>
            <w:tcW w:type="dxa" w:w="6236"/>
            <w:vAlign w:val="center"/>
            <w:tcMar>
              <w:top w:w="90" w:type="dxa"/>
              <w:start w:w="100" w:type="dxa"/>
              <w:bottom w:w="90" w:type="dxa"/>
              <w:end w:w="100" w:type="dxa"/>
            </w:tcMar>
            <w:tcBorders>
              <w:bottom w:val="single" w:sz="4" w:color="D9E1E6"/>
            </w:tcBorders>
          </w:tcPr>
          <w:p>
            <w:pPr>
              <w:spacing w:after="0" w:line="257" w:lineRule="auto"/>
            </w:pPr>
            <w:r>
              <w:rPr>
                <w:sz w:val="16"/>
              </w:rPr>
              <w:t>Objetivo, princípios, arquitetura em três planos, fluxo de dados e decisões</w:t>
            </w:r>
          </w:p>
        </w:tc>
      </w:tr>
      <w:tr>
        <w:trPr>
          <w:cantSplit/>
        </w:trPr>
        <w:tc>
          <w:tcPr>
            <w:tcW w:type="dxa" w:w="2098"/>
            <w:vAlign w:val="center"/>
            <w:tcMar>
              <w:top w:w="90" w:type="dxa"/>
              <w:start w:w="100" w:type="dxa"/>
              <w:bottom w:w="90" w:type="dxa"/>
              <w:end w:w="100" w:type="dxa"/>
            </w:tcMar>
            <w:shd w:fill="F3F6F8"/>
            <w:tcBorders>
              <w:bottom w:val="single" w:sz="4" w:color="D9E1E6"/>
            </w:tcBorders>
          </w:tcPr>
          <w:p>
            <w:pPr>
              <w:spacing w:after="0" w:line="257" w:lineRule="auto"/>
            </w:pPr>
            <w:r>
              <w:rPr>
                <w:sz w:val="16"/>
              </w:rPr>
              <w:t>II — Captura e persistência</w:t>
            </w:r>
          </w:p>
        </w:tc>
        <w:tc>
          <w:tcPr>
            <w:tcW w:type="dxa" w:w="6236"/>
            <w:vAlign w:val="center"/>
            <w:tcMar>
              <w:top w:w="90" w:type="dxa"/>
              <w:start w:w="100" w:type="dxa"/>
              <w:bottom w:w="90" w:type="dxa"/>
              <w:end w:w="100" w:type="dxa"/>
            </w:tcMar>
            <w:shd w:fill="F3F6F8"/>
            <w:tcBorders>
              <w:bottom w:val="single" w:sz="4" w:color="D9E1E6"/>
            </w:tcBorders>
          </w:tcPr>
          <w:p>
            <w:pPr>
              <w:spacing w:after="0" w:line="257" w:lineRule="auto"/>
            </w:pPr>
            <w:r>
              <w:rPr>
                <w:sz w:val="16"/>
              </w:rPr>
              <w:t>Hub multicanal, ingestão por origem, CDC, Landing, Bronze e retenção</w:t>
            </w:r>
          </w:p>
        </w:tc>
      </w:tr>
      <w:tr>
        <w:trPr>
          <w:cantSplit/>
        </w:trPr>
        <w:tc>
          <w:tcPr>
            <w:tcW w:type="dxa" w:w="2098"/>
            <w:vAlign w:val="center"/>
            <w:tcMar>
              <w:top w:w="90" w:type="dxa"/>
              <w:start w:w="100" w:type="dxa"/>
              <w:bottom w:w="90" w:type="dxa"/>
              <w:end w:w="100" w:type="dxa"/>
            </w:tcMar>
            <w:tcBorders>
              <w:bottom w:val="single" w:sz="4" w:color="D9E1E6"/>
            </w:tcBorders>
          </w:tcPr>
          <w:p>
            <w:pPr>
              <w:spacing w:after="0" w:line="257" w:lineRule="auto"/>
            </w:pPr>
            <w:r>
              <w:rPr>
                <w:sz w:val="16"/>
              </w:rPr>
              <w:t>III — Engenharia e modelagem</w:t>
            </w:r>
          </w:p>
        </w:tc>
        <w:tc>
          <w:tcPr>
            <w:tcW w:type="dxa" w:w="6236"/>
            <w:vAlign w:val="center"/>
            <w:tcMar>
              <w:top w:w="90" w:type="dxa"/>
              <w:start w:w="100" w:type="dxa"/>
              <w:bottom w:w="90" w:type="dxa"/>
              <w:end w:w="100" w:type="dxa"/>
            </w:tcMar>
            <w:tcBorders>
              <w:bottom w:val="single" w:sz="4" w:color="D9E1E6"/>
            </w:tcBorders>
          </w:tcPr>
          <w:p>
            <w:pPr>
              <w:spacing w:after="0" w:line="257" w:lineRule="auto"/>
            </w:pPr>
            <w:r>
              <w:rPr>
                <w:sz w:val="16"/>
              </w:rPr>
              <w:t>Silver Técnica, Silver Analítica, Gold, histórico e chaves</w:t>
            </w:r>
          </w:p>
        </w:tc>
      </w:tr>
      <w:tr>
        <w:trPr>
          <w:cantSplit/>
        </w:trPr>
        <w:tc>
          <w:tcPr>
            <w:tcW w:type="dxa" w:w="2098"/>
            <w:vAlign w:val="center"/>
            <w:tcMar>
              <w:top w:w="90" w:type="dxa"/>
              <w:start w:w="100" w:type="dxa"/>
              <w:bottom w:w="90" w:type="dxa"/>
              <w:end w:w="100" w:type="dxa"/>
            </w:tcMar>
            <w:shd w:fill="F3F6F8"/>
            <w:tcBorders>
              <w:bottom w:val="single" w:sz="4" w:color="D9E1E6"/>
            </w:tcBorders>
          </w:tcPr>
          <w:p>
            <w:pPr>
              <w:spacing w:after="0" w:line="257" w:lineRule="auto"/>
            </w:pPr>
            <w:r>
              <w:rPr>
                <w:sz w:val="16"/>
              </w:rPr>
              <w:t>IV — Confiabilidade</w:t>
            </w:r>
          </w:p>
        </w:tc>
        <w:tc>
          <w:tcPr>
            <w:tcW w:type="dxa" w:w="6236"/>
            <w:vAlign w:val="center"/>
            <w:tcMar>
              <w:top w:w="90" w:type="dxa"/>
              <w:start w:w="100" w:type="dxa"/>
              <w:bottom w:w="90" w:type="dxa"/>
              <w:end w:w="100" w:type="dxa"/>
            </w:tcMar>
            <w:shd w:fill="F3F6F8"/>
            <w:tcBorders>
              <w:bottom w:val="single" w:sz="4" w:color="D9E1E6"/>
            </w:tcBorders>
          </w:tcPr>
          <w:p>
            <w:pPr>
              <w:spacing w:after="0" w:line="257" w:lineRule="auto"/>
            </w:pPr>
            <w:r>
              <w:rPr>
                <w:sz w:val="16"/>
              </w:rPr>
              <w:t>Contratos, testes, quarentenas, publicação, reprocessamento, orquestração</w:t>
            </w:r>
          </w:p>
        </w:tc>
      </w:tr>
      <w:tr>
        <w:trPr>
          <w:cantSplit/>
        </w:trPr>
        <w:tc>
          <w:tcPr>
            <w:tcW w:type="dxa" w:w="2098"/>
            <w:vAlign w:val="center"/>
            <w:tcMar>
              <w:top w:w="90" w:type="dxa"/>
              <w:start w:w="100" w:type="dxa"/>
              <w:bottom w:w="90" w:type="dxa"/>
              <w:end w:w="100" w:type="dxa"/>
            </w:tcMar>
            <w:tcBorders>
              <w:bottom w:val="single" w:sz="4" w:color="D9E1E6"/>
            </w:tcBorders>
          </w:tcPr>
          <w:p>
            <w:pPr>
              <w:spacing w:after="0" w:line="257" w:lineRule="auto"/>
            </w:pPr>
            <w:r>
              <w:rPr>
                <w:sz w:val="16"/>
              </w:rPr>
              <w:t>V — Operação e implementação</w:t>
            </w:r>
          </w:p>
        </w:tc>
        <w:tc>
          <w:tcPr>
            <w:tcW w:type="dxa" w:w="6236"/>
            <w:vAlign w:val="center"/>
            <w:tcMar>
              <w:top w:w="90" w:type="dxa"/>
              <w:start w:w="100" w:type="dxa"/>
              <w:bottom w:w="90" w:type="dxa"/>
              <w:end w:w="100" w:type="dxa"/>
            </w:tcMar>
            <w:tcBorders>
              <w:bottom w:val="single" w:sz="4" w:color="D9E1E6"/>
            </w:tcBorders>
          </w:tcPr>
          <w:p>
            <w:pPr>
              <w:spacing w:after="0" w:line="257" w:lineRule="auto"/>
            </w:pPr>
            <w:r>
              <w:rPr>
                <w:sz w:val="16"/>
              </w:rPr>
              <w:t>Governança, observabilidade, segurança, CI/CD, stack Databricks/GCP</w:t>
            </w:r>
          </w:p>
        </w:tc>
      </w:tr>
      <w:tr>
        <w:trPr>
          <w:cantSplit/>
        </w:trPr>
        <w:tc>
          <w:tcPr>
            <w:tcW w:type="dxa" w:w="2098"/>
            <w:vAlign w:val="center"/>
            <w:tcMar>
              <w:top w:w="90" w:type="dxa"/>
              <w:start w:w="100" w:type="dxa"/>
              <w:bottom w:w="90" w:type="dxa"/>
              <w:end w:w="100" w:type="dxa"/>
            </w:tcMar>
            <w:shd w:fill="F3F6F8"/>
            <w:tcBorders>
              <w:bottom w:val="single" w:sz="4" w:color="D9E1E6"/>
            </w:tcBorders>
          </w:tcPr>
          <w:p>
            <w:pPr>
              <w:spacing w:after="0" w:line="257" w:lineRule="auto"/>
            </w:pPr>
            <w:r>
              <w:rPr>
                <w:sz w:val="16"/>
              </w:rPr>
              <w:t>VI — Validação</w:t>
            </w:r>
          </w:p>
        </w:tc>
        <w:tc>
          <w:tcPr>
            <w:tcW w:type="dxa" w:w="6236"/>
            <w:vAlign w:val="center"/>
            <w:tcMar>
              <w:top w:w="90" w:type="dxa"/>
              <w:start w:w="100" w:type="dxa"/>
              <w:bottom w:w="90" w:type="dxa"/>
              <w:end w:w="100" w:type="dxa"/>
            </w:tcMar>
            <w:shd w:fill="F3F6F8"/>
            <w:tcBorders>
              <w:bottom w:val="single" w:sz="4" w:color="D9E1E6"/>
            </w:tcBorders>
          </w:tcPr>
          <w:p>
            <w:pPr>
              <w:spacing w:after="0" w:line="257" w:lineRule="auto"/>
            </w:pPr>
            <w:r>
              <w:rPr>
                <w:sz w:val="16"/>
              </w:rPr>
              <w:t>Cenários práticos, arquitetura de laboratório, critérios de aceite e ADRs</w:t>
            </w:r>
          </w:p>
        </w:tc>
      </w:tr>
      <w:tr>
        <w:trPr>
          <w:cantSplit/>
        </w:trPr>
        <w:tc>
          <w:tcPr>
            <w:tcW w:type="dxa" w:w="2098"/>
            <w:vAlign w:val="center"/>
            <w:tcMar>
              <w:top w:w="90" w:type="dxa"/>
              <w:start w:w="100" w:type="dxa"/>
              <w:bottom w:w="90" w:type="dxa"/>
              <w:end w:w="100" w:type="dxa"/>
            </w:tcMar>
            <w:tcBorders>
              <w:bottom w:val="single" w:sz="4" w:color="D9E1E6"/>
            </w:tcBorders>
          </w:tcPr>
          <w:p>
            <w:pPr>
              <w:spacing w:after="0" w:line="257" w:lineRule="auto"/>
            </w:pPr>
            <w:r>
              <w:rPr>
                <w:sz w:val="16"/>
              </w:rPr>
              <w:t>Anexos</w:t>
            </w:r>
          </w:p>
        </w:tc>
        <w:tc>
          <w:tcPr>
            <w:tcW w:type="dxa" w:w="6236"/>
            <w:vAlign w:val="center"/>
            <w:tcMar>
              <w:top w:w="90" w:type="dxa"/>
              <w:start w:w="100" w:type="dxa"/>
              <w:bottom w:w="90" w:type="dxa"/>
              <w:end w:w="100" w:type="dxa"/>
            </w:tcMar>
            <w:tcBorders>
              <w:bottom w:val="single" w:sz="4" w:color="D9E1E6"/>
            </w:tcBorders>
          </w:tcPr>
          <w:p>
            <w:pPr>
              <w:spacing w:after="0" w:line="257" w:lineRule="auto"/>
            </w:pPr>
            <w:r>
              <w:rPr>
                <w:sz w:val="16"/>
              </w:rPr>
              <w:t>Contrato de exemplo, controllers, matriz de testes, checklist, glossário e referências</w:t>
            </w:r>
          </w:p>
        </w:tc>
      </w:tr>
    </w:tbl>
    <w:p>
      <w:pPr>
        <w:spacing w:after="0"/>
      </w:pPr>
    </w:p>
    <w:tbl>
      <w:tblPr>
        <w:tblW w:type="auto" w:w="0"/>
        <w:tblLook w:firstColumn="1" w:firstRow="1" w:lastColumn="0" w:lastRow="0" w:noHBand="0" w:noVBand="1" w:val="04A0"/>
      </w:tblPr>
      <w:tblGrid>
        <w:gridCol w:w="9553"/>
      </w:tblGrid>
      <w:tr>
        <w:tc>
          <w:tcPr>
            <w:tcW w:type="dxa" w:w="9553"/>
            <w:shd w:fill="EBF5F3"/>
            <w:tcMar>
              <w:top w:w="160" w:type="dxa"/>
              <w:start w:w="220" w:type="dxa"/>
              <w:bottom w:w="160" w:type="dxa"/>
              <w:end w:w="220" w:type="dxa"/>
            </w:tcMar>
          </w:tcPr>
          <w:p>
            <w:r>
              <w:rPr>
                <w:b/>
                <w:color w:val="057D79"/>
              </w:rPr>
              <w:t>Escopo deliberadamente genérico</w:t>
            </w:r>
          </w:p>
          <w:p>
            <w:pPr>
              <w:spacing w:after="0"/>
            </w:pPr>
            <w:r>
              <w:rPr>
                <w:sz w:val="18"/>
              </w:rPr>
              <w:t>Os exemplos usam fornecedores fictícios, entidades abstratas e datasets sintéticos. O objetivo é ensinar decisões de arquitetura e os mecanismos para comprová-las, não replicar a infraestrutura de qualquer empresa.</w:t>
            </w:r>
          </w:p>
        </w:tc>
      </w:tr>
    </w:tbl>
    <w:p>
      <w:pPr>
        <w:spacing w:after="0"/>
      </w:pPr>
    </w:p>
    <w:p>
      <w:pPr>
        <w:pStyle w:val="Heading1"/>
      </w:pPr>
      <w:r>
        <w:t>1. Visão executiva e critérios de sucesso</w:t>
      </w:r>
    </w:p>
    <w:p>
      <w:pPr/>
      <w:r>
        <w:t>Uma plataforma confiável de dados não se define pelo número de serviços utilizados nem pela existência de tabelas Bronze, Silver e Gold. Ela se define por sua capacidade de receber dados heterogêneos, identificar mudanças, preservar evidências, aplicar contratos, isolar anomalias, disponibilizar modelos consistentes e recuperar o processamento sem perdas silenciosas.</w:t>
      </w:r>
    </w:p>
    <w:p>
      <w:pPr/>
      <w:r>
        <w:t>O projeto Forja de Dados adota uma arquitetura Medallion estendida, acrescida de plano de controle e plano de governança/observabilidade. As camadas são responsabilidades lógicas, não uma imposição de catálogos, ferramentas ou produtos comerciais.</w:t>
      </w:r>
    </w:p>
    <w:p>
      <w:pPr>
        <w:pStyle w:val="Heading2"/>
      </w:pPr>
      <w:r>
        <w:t>1.1 Resultados observáveis</w:t>
      </w:r>
    </w:p>
    <w:p>
      <w:pPr>
        <w:pStyle w:val="ListBullet"/>
      </w:pPr>
      <w:r>
        <w:t>Toda entrega gera identificação única, manifesto, resultado de validação e histórico de decisões.</w:t>
      </w:r>
    </w:p>
    <w:p>
      <w:pPr>
        <w:pStyle w:val="ListBullet"/>
      </w:pPr>
      <w:r>
        <w:t>Um arquivo reenviado não duplica registros; um arquivo corrigido gera nova versão rastreável.</w:t>
      </w:r>
    </w:p>
    <w:p>
      <w:pPr>
        <w:pStyle w:val="ListBullet"/>
      </w:pPr>
      <w:r>
        <w:t>Uma alteração de esquema incompatível não altera silenciosamente as tabelas de destino.</w:t>
      </w:r>
    </w:p>
    <w:p>
      <w:pPr>
        <w:pStyle w:val="ListBullet"/>
      </w:pPr>
      <w:r>
        <w:t>Eventos de update/delete são capturados quando a fonte permite; quando não permite, a lacuna de observação é explicitada.</w:t>
      </w:r>
    </w:p>
    <w:p>
      <w:pPr>
        <w:pStyle w:val="ListBullet"/>
      </w:pPr>
      <w:r>
        <w:t>A Silver Técnica pode ser reproduzida a partir das evidências retidas, respeitados os limites declarados.</w:t>
      </w:r>
    </w:p>
    <w:p>
      <w:pPr>
        <w:pStyle w:val="ListBullet"/>
      </w:pPr>
      <w:r>
        <w:t>A Gold só se torna visível quando os controles críticos do lote e do conjunto publicado forem aprovados.</w:t>
      </w:r>
    </w:p>
    <w:p>
      <w:pPr>
        <w:pStyle w:val="ListBullet"/>
      </w:pPr>
      <w:r>
        <w:t>Um incidente possui responsável, diagnóstico, escopo de recuperação, execução e comprovação de fechamento.</w:t>
      </w:r>
    </w:p>
    <w:p>
      <w:pPr>
        <w:pStyle w:val="Heading2"/>
      </w:pPr>
      <w:r>
        <w:t>1.2 Não objetivos</w:t>
      </w:r>
    </w:p>
    <w:p>
      <w:pPr/>
      <w:r>
        <w:t>Não padronizar uma única ferramenta para todas as integrações, não exigir CDC de todas as fontes, não impor SCD2 a toda entidade, não presumir atomicidade de múltiplas tabelas e não usar histórico de time travel/CDF como substituto de arquivo bruto permanente. O documento também não estabelece SLA universal nem política regulatória de retenção.</w:t>
      </w:r>
    </w:p>
    <w:p>
      <w:pPr>
        <w:pStyle w:val="Heading1"/>
      </w:pPr>
      <w:r>
        <w:t>2. Princípios arquiteturais</w:t>
      </w:r>
    </w:p>
    <w:tbl>
      <w:tblPr>
        <w:tblW w:type="auto" w:w="0"/>
        <w:jc w:val="center"/>
        <w:tblLayout w:type="fixed"/>
        <w:tblLook w:firstColumn="1" w:firstRow="1" w:lastColumn="0" w:lastRow="0" w:noHBand="0" w:noVBand="1" w:val="04A0"/>
      </w:tblPr>
      <w:tblGrid>
        <w:gridCol w:w="1928"/>
        <w:gridCol w:w="6406"/>
      </w:tblGrid>
      <w:tr>
        <w:trPr>
          <w:tblHeader w:val="true"/>
          <w:cantSplit/>
        </w:trPr>
        <w:tc>
          <w:tcPr>
            <w:tcW w:type="dxa" w:w="4776"/>
            <w:shd w:fill="142439"/>
            <w:tcMar>
              <w:top w:w="95" w:type="dxa"/>
              <w:start w:w="100" w:type="dxa"/>
              <w:bottom w:w="95" w:type="dxa"/>
              <w:end w:w="100" w:type="dxa"/>
            </w:tcMar>
          </w:tcPr>
          <w:p>
            <w:pPr>
              <w:spacing w:after="0"/>
            </w:pPr>
            <w:r>
              <w:rPr>
                <w:b/>
                <w:color w:val="FFFFFF"/>
                <w:sz w:val="16"/>
              </w:rPr>
              <w:t>Princípio</w:t>
            </w:r>
          </w:p>
        </w:tc>
        <w:tc>
          <w:tcPr>
            <w:tcW w:type="dxa" w:w="4776"/>
            <w:shd w:fill="142439"/>
            <w:tcMar>
              <w:top w:w="95" w:type="dxa"/>
              <w:start w:w="100" w:type="dxa"/>
              <w:bottom w:w="95" w:type="dxa"/>
              <w:end w:w="100" w:type="dxa"/>
            </w:tcMar>
          </w:tcPr>
          <w:p>
            <w:pPr>
              <w:spacing w:after="0"/>
            </w:pPr>
            <w:r>
              <w:rPr>
                <w:b/>
                <w:color w:val="FFFFFF"/>
                <w:sz w:val="16"/>
              </w:rPr>
              <w:t>Implicação de projeto</w:t>
            </w:r>
          </w:p>
        </w:tc>
      </w:tr>
      <w:tr>
        <w:trPr>
          <w:cantSplit/>
        </w:trPr>
        <w:tc>
          <w:tcPr>
            <w:tcW w:type="dxa" w:w="1928"/>
            <w:vAlign w:val="center"/>
            <w:tcMar>
              <w:top w:w="90" w:type="dxa"/>
              <w:start w:w="100" w:type="dxa"/>
              <w:bottom w:w="90" w:type="dxa"/>
              <w:end w:w="100" w:type="dxa"/>
            </w:tcMar>
            <w:tcBorders>
              <w:bottom w:val="single" w:sz="4" w:color="D9E1E6"/>
            </w:tcBorders>
          </w:tcPr>
          <w:p>
            <w:pPr>
              <w:spacing w:after="0" w:line="257" w:lineRule="auto"/>
            </w:pPr>
            <w:r>
              <w:rPr>
                <w:sz w:val="16"/>
              </w:rPr>
              <w:t>Portabilidade conceitual</w:t>
            </w:r>
          </w:p>
        </w:tc>
        <w:tc>
          <w:tcPr>
            <w:tcW w:type="dxa" w:w="6406"/>
            <w:vAlign w:val="center"/>
            <w:tcMar>
              <w:top w:w="90" w:type="dxa"/>
              <w:start w:w="100" w:type="dxa"/>
              <w:bottom w:w="90" w:type="dxa"/>
              <w:end w:w="100" w:type="dxa"/>
            </w:tcMar>
            <w:tcBorders>
              <w:bottom w:val="single" w:sz="4" w:color="D9E1E6"/>
            </w:tcBorders>
          </w:tcPr>
          <w:p>
            <w:pPr>
              <w:spacing w:after="0" w:line="257" w:lineRule="auto"/>
            </w:pPr>
            <w:r>
              <w:rPr>
                <w:sz w:val="16"/>
              </w:rPr>
              <w:t>Contratos, idempotência, reentrada, rastreio e modelo permanecem válidos em qualquer nuvem.</w:t>
            </w:r>
          </w:p>
        </w:tc>
      </w:tr>
      <w:tr>
        <w:trPr>
          <w:cantSplit/>
        </w:trPr>
        <w:tc>
          <w:tcPr>
            <w:tcW w:type="dxa" w:w="1928"/>
            <w:vAlign w:val="center"/>
            <w:tcMar>
              <w:top w:w="90" w:type="dxa"/>
              <w:start w:w="100" w:type="dxa"/>
              <w:bottom w:w="90" w:type="dxa"/>
              <w:end w:w="100" w:type="dxa"/>
            </w:tcMar>
            <w:shd w:fill="F3F6F8"/>
            <w:tcBorders>
              <w:bottom w:val="single" w:sz="4" w:color="D9E1E6"/>
            </w:tcBorders>
          </w:tcPr>
          <w:p>
            <w:pPr>
              <w:spacing w:after="0" w:line="257" w:lineRule="auto"/>
            </w:pPr>
            <w:r>
              <w:rPr>
                <w:sz w:val="16"/>
              </w:rPr>
              <w:t>Raw sem adulteração</w:t>
            </w:r>
          </w:p>
        </w:tc>
        <w:tc>
          <w:tcPr>
            <w:tcW w:type="dxa" w:w="6406"/>
            <w:vAlign w:val="center"/>
            <w:tcMar>
              <w:top w:w="90" w:type="dxa"/>
              <w:start w:w="100" w:type="dxa"/>
              <w:bottom w:w="90" w:type="dxa"/>
              <w:end w:w="100" w:type="dxa"/>
            </w:tcMar>
            <w:shd w:fill="F3F6F8"/>
            <w:tcBorders>
              <w:bottom w:val="single" w:sz="4" w:color="D9E1E6"/>
            </w:tcBorders>
          </w:tcPr>
          <w:p>
            <w:pPr>
              <w:spacing w:after="0" w:line="257" w:lineRule="auto"/>
            </w:pPr>
            <w:r>
              <w:rPr>
                <w:sz w:val="16"/>
              </w:rPr>
              <w:t>Preservar a captura original e a identidade da entrega antes de interpretação de negócio.</w:t>
            </w:r>
          </w:p>
        </w:tc>
      </w:tr>
      <w:tr>
        <w:trPr>
          <w:cantSplit/>
        </w:trPr>
        <w:tc>
          <w:tcPr>
            <w:tcW w:type="dxa" w:w="1928"/>
            <w:vAlign w:val="center"/>
            <w:tcMar>
              <w:top w:w="90" w:type="dxa"/>
              <w:start w:w="100" w:type="dxa"/>
              <w:bottom w:w="90" w:type="dxa"/>
              <w:end w:w="100" w:type="dxa"/>
            </w:tcMar>
            <w:tcBorders>
              <w:bottom w:val="single" w:sz="4" w:color="D9E1E6"/>
            </w:tcBorders>
          </w:tcPr>
          <w:p>
            <w:pPr>
              <w:spacing w:after="0" w:line="257" w:lineRule="auto"/>
            </w:pPr>
            <w:r>
              <w:rPr>
                <w:sz w:val="16"/>
              </w:rPr>
              <w:t>Responsabilidade única</w:t>
            </w:r>
          </w:p>
        </w:tc>
        <w:tc>
          <w:tcPr>
            <w:tcW w:type="dxa" w:w="6406"/>
            <w:vAlign w:val="center"/>
            <w:tcMar>
              <w:top w:w="90" w:type="dxa"/>
              <w:start w:w="100" w:type="dxa"/>
              <w:bottom w:w="90" w:type="dxa"/>
              <w:end w:w="100" w:type="dxa"/>
            </w:tcMar>
            <w:tcBorders>
              <w:bottom w:val="single" w:sz="4" w:color="D9E1E6"/>
            </w:tcBorders>
          </w:tcPr>
          <w:p>
            <w:pPr>
              <w:spacing w:after="0" w:line="257" w:lineRule="auto"/>
            </w:pPr>
            <w:r>
              <w:rPr>
                <w:sz w:val="16"/>
              </w:rPr>
              <w:t>Cada camada tem um conjunto explícito de transformações permitidas e proibidas.</w:t>
            </w:r>
          </w:p>
        </w:tc>
      </w:tr>
      <w:tr>
        <w:trPr>
          <w:cantSplit/>
        </w:trPr>
        <w:tc>
          <w:tcPr>
            <w:tcW w:type="dxa" w:w="1928"/>
            <w:vAlign w:val="center"/>
            <w:tcMar>
              <w:top w:w="90" w:type="dxa"/>
              <w:start w:w="100" w:type="dxa"/>
              <w:bottom w:w="90" w:type="dxa"/>
              <w:end w:w="100" w:type="dxa"/>
            </w:tcMar>
            <w:shd w:fill="F3F6F8"/>
            <w:tcBorders>
              <w:bottom w:val="single" w:sz="4" w:color="D9E1E6"/>
            </w:tcBorders>
          </w:tcPr>
          <w:p>
            <w:pPr>
              <w:spacing w:after="0" w:line="257" w:lineRule="auto"/>
            </w:pPr>
            <w:r>
              <w:rPr>
                <w:sz w:val="16"/>
              </w:rPr>
              <w:t>Qualidade progressiva</w:t>
            </w:r>
          </w:p>
        </w:tc>
        <w:tc>
          <w:tcPr>
            <w:tcW w:type="dxa" w:w="6406"/>
            <w:vAlign w:val="center"/>
            <w:tcMar>
              <w:top w:w="90" w:type="dxa"/>
              <w:start w:w="100" w:type="dxa"/>
              <w:bottom w:w="90" w:type="dxa"/>
              <w:end w:w="100" w:type="dxa"/>
            </w:tcMar>
            <w:shd w:fill="F3F6F8"/>
            <w:tcBorders>
              <w:bottom w:val="single" w:sz="4" w:color="D9E1E6"/>
            </w:tcBorders>
          </w:tcPr>
          <w:p>
            <w:pPr>
              <w:spacing w:after="0" w:line="257" w:lineRule="auto"/>
            </w:pPr>
            <w:r>
              <w:rPr>
                <w:sz w:val="16"/>
              </w:rPr>
              <w:t>Quanto mais próximo do consumo, mais estritos são os compromissos semânticos e de integridade.</w:t>
            </w:r>
          </w:p>
        </w:tc>
      </w:tr>
      <w:tr>
        <w:trPr>
          <w:cantSplit/>
        </w:trPr>
        <w:tc>
          <w:tcPr>
            <w:tcW w:type="dxa" w:w="1928"/>
            <w:vAlign w:val="center"/>
            <w:tcMar>
              <w:top w:w="90" w:type="dxa"/>
              <w:start w:w="100" w:type="dxa"/>
              <w:bottom w:w="90" w:type="dxa"/>
              <w:end w:w="100" w:type="dxa"/>
            </w:tcMar>
            <w:tcBorders>
              <w:bottom w:val="single" w:sz="4" w:color="D9E1E6"/>
            </w:tcBorders>
          </w:tcPr>
          <w:p>
            <w:pPr>
              <w:spacing w:after="0" w:line="257" w:lineRule="auto"/>
            </w:pPr>
            <w:r>
              <w:rPr>
                <w:sz w:val="16"/>
              </w:rPr>
              <w:t>Histórico intencional</w:t>
            </w:r>
          </w:p>
        </w:tc>
        <w:tc>
          <w:tcPr>
            <w:tcW w:type="dxa" w:w="6406"/>
            <w:vAlign w:val="center"/>
            <w:tcMar>
              <w:top w:w="90" w:type="dxa"/>
              <w:start w:w="100" w:type="dxa"/>
              <w:bottom w:w="90" w:type="dxa"/>
              <w:end w:w="100" w:type="dxa"/>
            </w:tcMar>
            <w:tcBorders>
              <w:bottom w:val="single" w:sz="4" w:color="D9E1E6"/>
            </w:tcBorders>
          </w:tcPr>
          <w:p>
            <w:pPr>
              <w:spacing w:after="0" w:line="257" w:lineRule="auto"/>
            </w:pPr>
            <w:r>
              <w:rPr>
                <w:sz w:val="16"/>
              </w:rPr>
              <w:t>Distinguir arquivo recebido, estado observado, mudança real, vigência e versão publicada.</w:t>
            </w:r>
          </w:p>
        </w:tc>
      </w:tr>
      <w:tr>
        <w:trPr>
          <w:cantSplit/>
        </w:trPr>
        <w:tc>
          <w:tcPr>
            <w:tcW w:type="dxa" w:w="1928"/>
            <w:vAlign w:val="center"/>
            <w:tcMar>
              <w:top w:w="90" w:type="dxa"/>
              <w:start w:w="100" w:type="dxa"/>
              <w:bottom w:w="90" w:type="dxa"/>
              <w:end w:w="100" w:type="dxa"/>
            </w:tcMar>
            <w:shd w:fill="F3F6F8"/>
            <w:tcBorders>
              <w:bottom w:val="single" w:sz="4" w:color="D9E1E6"/>
            </w:tcBorders>
          </w:tcPr>
          <w:p>
            <w:pPr>
              <w:spacing w:after="0" w:line="257" w:lineRule="auto"/>
            </w:pPr>
            <w:r>
              <w:rPr>
                <w:sz w:val="16"/>
              </w:rPr>
              <w:t>Idempotência ponta a ponta</w:t>
            </w:r>
          </w:p>
        </w:tc>
        <w:tc>
          <w:tcPr>
            <w:tcW w:type="dxa" w:w="6406"/>
            <w:vAlign w:val="center"/>
            <w:tcMar>
              <w:top w:w="90" w:type="dxa"/>
              <w:start w:w="100" w:type="dxa"/>
              <w:bottom w:w="90" w:type="dxa"/>
              <w:end w:w="100" w:type="dxa"/>
            </w:tcMar>
            <w:shd w:fill="F3F6F8"/>
            <w:tcBorders>
              <w:bottom w:val="single" w:sz="4" w:color="D9E1E6"/>
            </w:tcBorders>
          </w:tcPr>
          <w:p>
            <w:pPr>
              <w:spacing w:after="0" w:line="257" w:lineRule="auto"/>
            </w:pPr>
            <w:r>
              <w:rPr>
                <w:sz w:val="16"/>
              </w:rPr>
              <w:t>Repetir uma mesma unidade de processamento não altera o resultado publicado indevidamente.</w:t>
            </w:r>
          </w:p>
        </w:tc>
      </w:tr>
      <w:tr>
        <w:trPr>
          <w:cantSplit/>
        </w:trPr>
        <w:tc>
          <w:tcPr>
            <w:tcW w:type="dxa" w:w="1928"/>
            <w:vAlign w:val="center"/>
            <w:tcMar>
              <w:top w:w="90" w:type="dxa"/>
              <w:start w:w="100" w:type="dxa"/>
              <w:bottom w:w="90" w:type="dxa"/>
              <w:end w:w="100" w:type="dxa"/>
            </w:tcMar>
            <w:tcBorders>
              <w:bottom w:val="single" w:sz="4" w:color="D9E1E6"/>
            </w:tcBorders>
          </w:tcPr>
          <w:p>
            <w:pPr>
              <w:spacing w:after="0" w:line="257" w:lineRule="auto"/>
            </w:pPr>
            <w:r>
              <w:rPr>
                <w:sz w:val="16"/>
              </w:rPr>
              <w:t>Falha observável</w:t>
            </w:r>
          </w:p>
        </w:tc>
        <w:tc>
          <w:tcPr>
            <w:tcW w:type="dxa" w:w="6406"/>
            <w:vAlign w:val="center"/>
            <w:tcMar>
              <w:top w:w="90" w:type="dxa"/>
              <w:start w:w="100" w:type="dxa"/>
              <w:bottom w:w="90" w:type="dxa"/>
              <w:end w:w="100" w:type="dxa"/>
            </w:tcMar>
            <w:tcBorders>
              <w:bottom w:val="single" w:sz="4" w:color="D9E1E6"/>
            </w:tcBorders>
          </w:tcPr>
          <w:p>
            <w:pPr>
              <w:spacing w:after="0" w:line="257" w:lineRule="auto"/>
            </w:pPr>
            <w:r>
              <w:rPr>
                <w:sz w:val="16"/>
              </w:rPr>
              <w:t>A ausência de arquivo, queda da origem e perda de janela CDC são incidentes de dados.</w:t>
            </w:r>
          </w:p>
        </w:tc>
      </w:tr>
      <w:tr>
        <w:trPr>
          <w:cantSplit/>
        </w:trPr>
        <w:tc>
          <w:tcPr>
            <w:tcW w:type="dxa" w:w="1928"/>
            <w:vAlign w:val="center"/>
            <w:tcMar>
              <w:top w:w="90" w:type="dxa"/>
              <w:start w:w="100" w:type="dxa"/>
              <w:bottom w:w="90" w:type="dxa"/>
              <w:end w:w="100" w:type="dxa"/>
            </w:tcMar>
            <w:shd w:fill="F3F6F8"/>
            <w:tcBorders>
              <w:bottom w:val="single" w:sz="4" w:color="D9E1E6"/>
            </w:tcBorders>
          </w:tcPr>
          <w:p>
            <w:pPr>
              <w:spacing w:after="0" w:line="257" w:lineRule="auto"/>
            </w:pPr>
            <w:r>
              <w:rPr>
                <w:sz w:val="16"/>
              </w:rPr>
              <w:t>Governança por design</w:t>
            </w:r>
          </w:p>
        </w:tc>
        <w:tc>
          <w:tcPr>
            <w:tcW w:type="dxa" w:w="6406"/>
            <w:vAlign w:val="center"/>
            <w:tcMar>
              <w:top w:w="90" w:type="dxa"/>
              <w:start w:w="100" w:type="dxa"/>
              <w:bottom w:w="90" w:type="dxa"/>
              <w:end w:w="100" w:type="dxa"/>
            </w:tcMar>
            <w:shd w:fill="F3F6F8"/>
            <w:tcBorders>
              <w:bottom w:val="single" w:sz="4" w:color="D9E1E6"/>
            </w:tcBorders>
          </w:tcPr>
          <w:p>
            <w:pPr>
              <w:spacing w:after="0" w:line="257" w:lineRule="auto"/>
            </w:pPr>
            <w:r>
              <w:rPr>
                <w:sz w:val="16"/>
              </w:rPr>
              <w:t>Dono, classificação, retenção, permissões e linhagem fazem parte do contrato.</w:t>
            </w:r>
          </w:p>
        </w:tc>
      </w:tr>
      <w:tr>
        <w:trPr>
          <w:cantSplit/>
        </w:trPr>
        <w:tc>
          <w:tcPr>
            <w:tcW w:type="dxa" w:w="1928"/>
            <w:vAlign w:val="center"/>
            <w:tcMar>
              <w:top w:w="90" w:type="dxa"/>
              <w:start w:w="100" w:type="dxa"/>
              <w:bottom w:w="90" w:type="dxa"/>
              <w:end w:w="100" w:type="dxa"/>
            </w:tcMar>
            <w:tcBorders>
              <w:bottom w:val="single" w:sz="4" w:color="D9E1E6"/>
            </w:tcBorders>
          </w:tcPr>
          <w:p>
            <w:pPr>
              <w:spacing w:after="0" w:line="257" w:lineRule="auto"/>
            </w:pPr>
            <w:r>
              <w:rPr>
                <w:sz w:val="16"/>
              </w:rPr>
              <w:t>Publicação explícita</w:t>
            </w:r>
          </w:p>
        </w:tc>
        <w:tc>
          <w:tcPr>
            <w:tcW w:type="dxa" w:w="6406"/>
            <w:vAlign w:val="center"/>
            <w:tcMar>
              <w:top w:w="90" w:type="dxa"/>
              <w:start w:w="100" w:type="dxa"/>
              <w:bottom w:w="90" w:type="dxa"/>
              <w:end w:w="100" w:type="dxa"/>
            </w:tcMar>
            <w:tcBorders>
              <w:bottom w:val="single" w:sz="4" w:color="D9E1E6"/>
            </w:tcBorders>
          </w:tcPr>
          <w:p>
            <w:pPr>
              <w:spacing w:after="0" w:line="257" w:lineRule="auto"/>
            </w:pPr>
            <w:r>
              <w:rPr>
                <w:sz w:val="16"/>
              </w:rPr>
              <w:t>Resultado processado não significa automaticamente resultado liberado.</w:t>
            </w:r>
          </w:p>
        </w:tc>
      </w:tr>
      <w:tr>
        <w:trPr>
          <w:cantSplit/>
        </w:trPr>
        <w:tc>
          <w:tcPr>
            <w:tcW w:type="dxa" w:w="1928"/>
            <w:vAlign w:val="center"/>
            <w:tcMar>
              <w:top w:w="90" w:type="dxa"/>
              <w:start w:w="100" w:type="dxa"/>
              <w:bottom w:w="90" w:type="dxa"/>
              <w:end w:w="100" w:type="dxa"/>
            </w:tcMar>
            <w:shd w:fill="F3F6F8"/>
            <w:tcBorders>
              <w:bottom w:val="single" w:sz="4" w:color="D9E1E6"/>
            </w:tcBorders>
          </w:tcPr>
          <w:p>
            <w:pPr>
              <w:spacing w:after="0" w:line="257" w:lineRule="auto"/>
            </w:pPr>
            <w:r>
              <w:rPr>
                <w:sz w:val="16"/>
              </w:rPr>
              <w:t>Custo consciente</w:t>
            </w:r>
          </w:p>
        </w:tc>
        <w:tc>
          <w:tcPr>
            <w:tcW w:type="dxa" w:w="6406"/>
            <w:vAlign w:val="center"/>
            <w:tcMar>
              <w:top w:w="90" w:type="dxa"/>
              <w:start w:w="100" w:type="dxa"/>
              <w:bottom w:w="90" w:type="dxa"/>
              <w:end w:w="100" w:type="dxa"/>
            </w:tcMar>
            <w:shd w:fill="F3F6F8"/>
            <w:tcBorders>
              <w:bottom w:val="single" w:sz="4" w:color="D9E1E6"/>
            </w:tcBorders>
          </w:tcPr>
          <w:p>
            <w:pPr>
              <w:spacing w:after="0" w:line="257" w:lineRule="auto"/>
            </w:pPr>
            <w:r>
              <w:rPr>
                <w:sz w:val="16"/>
              </w:rPr>
              <w:t>Medir custo por entrega, fluxo e dataset; comparar alternativas com indicadores objetivos.</w:t>
            </w:r>
          </w:p>
        </w:tc>
      </w:tr>
    </w:tbl>
    <w:p>
      <w:pPr>
        <w:spacing w:after="0"/>
      </w:pPr>
    </w:p>
    <w:p>
      <w:pPr>
        <w:pStyle w:val="Heading2"/>
      </w:pPr>
      <w:r>
        <w:t>2.1 Anti-padrões que a arquitetura combate</w:t>
      </w:r>
    </w:p>
    <w:p>
      <w:pPr>
        <w:pStyle w:val="ListBullet"/>
      </w:pPr>
      <w:r>
        <w:t>Um notebook por fornecedor, com regras operacionais copiadas e divergentes.</w:t>
      </w:r>
    </w:p>
    <w:p>
      <w:pPr>
        <w:pStyle w:val="ListBullet"/>
      </w:pPr>
      <w:r>
        <w:t>Ingestão por janela de modificação do arquivo sem registro persistente do que já foi processado.</w:t>
      </w:r>
    </w:p>
    <w:p>
      <w:pPr>
        <w:pStyle w:val="ListBullet"/>
      </w:pPr>
      <w:r>
        <w:t>Processos downstream agendados por horário fixo, sem dependência de sucesso ou evidência de lote pronto.</w:t>
      </w:r>
    </w:p>
    <w:p>
      <w:pPr>
        <w:pStyle w:val="ListBullet"/>
      </w:pPr>
      <w:r>
        <w:t>Bronze sobrescrita a cada carga e incapaz de explicar a história da origem.</w:t>
      </w:r>
    </w:p>
    <w:p>
      <w:pPr>
        <w:pStyle w:val="ListBullet"/>
      </w:pPr>
      <w:r>
        <w:t>Silver Técnica implementada só como view sobre milhões de eventos brutos.</w:t>
      </w:r>
    </w:p>
    <w:p>
      <w:pPr>
        <w:pStyle w:val="ListBullet"/>
      </w:pPr>
      <w:r>
        <w:t>Filtros específicos de relatório embutidos em entidades técnicas compartilhadas.</w:t>
      </w:r>
    </w:p>
    <w:p>
      <w:pPr>
        <w:pStyle w:val="ListBullet"/>
      </w:pPr>
      <w:r>
        <w:t>Chaves substitutas criadas a partir de atributos mutáveis ou sem tratamento de colisão.</w:t>
      </w:r>
    </w:p>
    <w:p>
      <w:pPr>
        <w:pStyle w:val="ListBullet"/>
      </w:pPr>
      <w:r>
        <w:t>Testes que detectam erro somente depois de expor uma tabela inválida.</w:t>
      </w:r>
    </w:p>
    <w:p>
      <w:pPr>
        <w:pStyle w:val="ListBullet"/>
      </w:pPr>
      <w:r>
        <w:t>Retry cego que duplica eventos; full refresh que destrói uma janela histórica não restaurável.</w:t>
      </w:r>
    </w:p>
    <w:p>
      <w:pPr>
        <w:pStyle w:val="Heading1"/>
      </w:pPr>
      <w:r>
        <w:t>3. Organização em três planos</w:t>
      </w:r>
    </w:p>
    <w:tbl>
      <w:tblPr>
        <w:tblW w:type="auto" w:w="0"/>
        <w:jc w:val="center"/>
        <w:tblLayout w:type="fixed"/>
        <w:tblLook w:firstColumn="1" w:firstRow="1" w:lastColumn="0" w:lastRow="0" w:noHBand="0" w:noVBand="1" w:val="04A0"/>
      </w:tblPr>
      <w:tblGrid>
        <w:gridCol w:w="1644"/>
        <w:gridCol w:w="3798"/>
        <w:gridCol w:w="2891"/>
      </w:tblGrid>
      <w:tr>
        <w:trPr>
          <w:tblHeader w:val="true"/>
          <w:cantSplit/>
        </w:trPr>
        <w:tc>
          <w:tcPr>
            <w:tcW w:type="dxa" w:w="3184"/>
            <w:shd w:fill="142439"/>
            <w:tcMar>
              <w:top w:w="95" w:type="dxa"/>
              <w:start w:w="100" w:type="dxa"/>
              <w:bottom w:w="95" w:type="dxa"/>
              <w:end w:w="100" w:type="dxa"/>
            </w:tcMar>
          </w:tcPr>
          <w:p>
            <w:pPr>
              <w:spacing w:after="0"/>
            </w:pPr>
            <w:r>
              <w:rPr>
                <w:b/>
                <w:color w:val="FFFFFF"/>
                <w:sz w:val="16"/>
              </w:rPr>
              <w:t>Plano</w:t>
            </w:r>
          </w:p>
        </w:tc>
        <w:tc>
          <w:tcPr>
            <w:tcW w:type="dxa" w:w="3184"/>
            <w:shd w:fill="142439"/>
            <w:tcMar>
              <w:top w:w="95" w:type="dxa"/>
              <w:start w:w="100" w:type="dxa"/>
              <w:bottom w:w="95" w:type="dxa"/>
              <w:end w:w="100" w:type="dxa"/>
            </w:tcMar>
          </w:tcPr>
          <w:p>
            <w:pPr>
              <w:spacing w:after="0"/>
            </w:pPr>
            <w:r>
              <w:rPr>
                <w:b/>
                <w:color w:val="FFFFFF"/>
                <w:sz w:val="16"/>
              </w:rPr>
              <w:t>Responsabilidades</w:t>
            </w:r>
          </w:p>
        </w:tc>
        <w:tc>
          <w:tcPr>
            <w:tcW w:type="dxa" w:w="3184"/>
            <w:shd w:fill="142439"/>
            <w:tcMar>
              <w:top w:w="95" w:type="dxa"/>
              <w:start w:w="100" w:type="dxa"/>
              <w:bottom w:w="95" w:type="dxa"/>
              <w:end w:w="100" w:type="dxa"/>
            </w:tcMar>
          </w:tcPr>
          <w:p>
            <w:pPr>
              <w:spacing w:after="0"/>
            </w:pPr>
            <w:r>
              <w:rPr>
                <w:b/>
                <w:color w:val="FFFFFF"/>
                <w:sz w:val="16"/>
              </w:rPr>
              <w:t>Resultado esperado</w:t>
            </w:r>
          </w:p>
        </w:tc>
      </w:tr>
      <w:tr>
        <w:trPr>
          <w:cantSplit/>
        </w:trPr>
        <w:tc>
          <w:tcPr>
            <w:tcW w:type="dxa" w:w="1644"/>
            <w:vAlign w:val="center"/>
            <w:tcMar>
              <w:top w:w="90" w:type="dxa"/>
              <w:start w:w="100" w:type="dxa"/>
              <w:bottom w:w="90" w:type="dxa"/>
              <w:end w:w="100" w:type="dxa"/>
            </w:tcMar>
            <w:tcBorders>
              <w:bottom w:val="single" w:sz="4" w:color="D9E1E6"/>
            </w:tcBorders>
          </w:tcPr>
          <w:p>
            <w:pPr>
              <w:spacing w:after="0" w:line="257" w:lineRule="auto"/>
            </w:pPr>
            <w:r>
              <w:rPr>
                <w:sz w:val="16"/>
              </w:rPr>
              <w:t>Dados</w:t>
            </w:r>
          </w:p>
        </w:tc>
        <w:tc>
          <w:tcPr>
            <w:tcW w:type="dxa" w:w="3798"/>
            <w:vAlign w:val="center"/>
            <w:tcMar>
              <w:top w:w="90" w:type="dxa"/>
              <w:start w:w="100" w:type="dxa"/>
              <w:bottom w:w="90" w:type="dxa"/>
              <w:end w:w="100" w:type="dxa"/>
            </w:tcMar>
            <w:tcBorders>
              <w:bottom w:val="single" w:sz="4" w:color="D9E1E6"/>
            </w:tcBorders>
          </w:tcPr>
          <w:p>
            <w:pPr>
              <w:spacing w:after="0" w:line="257" w:lineRule="auto"/>
            </w:pPr>
            <w:r>
              <w:rPr>
                <w:sz w:val="16"/>
              </w:rPr>
              <w:t>Recepção → Landing → Bronze → Silver Técnica → Silver Analítica → Gold → Consumo</w:t>
            </w:r>
          </w:p>
        </w:tc>
        <w:tc>
          <w:tcPr>
            <w:tcW w:type="dxa" w:w="2891"/>
            <w:vAlign w:val="center"/>
            <w:tcMar>
              <w:top w:w="90" w:type="dxa"/>
              <w:start w:w="100" w:type="dxa"/>
              <w:bottom w:w="90" w:type="dxa"/>
              <w:end w:w="100" w:type="dxa"/>
            </w:tcMar>
            <w:tcBorders>
              <w:bottom w:val="single" w:sz="4" w:color="D9E1E6"/>
            </w:tcBorders>
          </w:tcPr>
          <w:p>
            <w:pPr>
              <w:spacing w:after="0" w:line="257" w:lineRule="auto"/>
            </w:pPr>
            <w:r>
              <w:rPr>
                <w:sz w:val="16"/>
              </w:rPr>
              <w:t>Registros progressivamente qualificados e produtos de dados</w:t>
            </w:r>
          </w:p>
        </w:tc>
      </w:tr>
      <w:tr>
        <w:trPr>
          <w:cantSplit/>
        </w:trPr>
        <w:tc>
          <w:tcPr>
            <w:tcW w:type="dxa" w:w="1644"/>
            <w:vAlign w:val="center"/>
            <w:tcMar>
              <w:top w:w="90" w:type="dxa"/>
              <w:start w:w="100" w:type="dxa"/>
              <w:bottom w:w="90" w:type="dxa"/>
              <w:end w:w="100" w:type="dxa"/>
            </w:tcMar>
            <w:shd w:fill="F3F6F8"/>
            <w:tcBorders>
              <w:bottom w:val="single" w:sz="4" w:color="D9E1E6"/>
            </w:tcBorders>
          </w:tcPr>
          <w:p>
            <w:pPr>
              <w:spacing w:after="0" w:line="257" w:lineRule="auto"/>
            </w:pPr>
            <w:r>
              <w:rPr>
                <w:sz w:val="16"/>
              </w:rPr>
              <w:t>Controle</w:t>
            </w:r>
          </w:p>
        </w:tc>
        <w:tc>
          <w:tcPr>
            <w:tcW w:type="dxa" w:w="3798"/>
            <w:vAlign w:val="center"/>
            <w:tcMar>
              <w:top w:w="90" w:type="dxa"/>
              <w:start w:w="100" w:type="dxa"/>
              <w:bottom w:w="90" w:type="dxa"/>
              <w:end w:w="100" w:type="dxa"/>
            </w:tcMar>
            <w:shd w:fill="F3F6F8"/>
            <w:tcBorders>
              <w:bottom w:val="single" w:sz="4" w:color="D9E1E6"/>
            </w:tcBorders>
          </w:tcPr>
          <w:p>
            <w:pPr>
              <w:spacing w:after="0" w:line="257" w:lineRule="auto"/>
            </w:pPr>
            <w:r>
              <w:rPr>
                <w:sz w:val="16"/>
              </w:rPr>
              <w:t>Contratos, manifesto, controllers, execução, gates, quarentena, reprocessamento e publicação</w:t>
            </w:r>
          </w:p>
        </w:tc>
        <w:tc>
          <w:tcPr>
            <w:tcW w:type="dxa" w:w="2891"/>
            <w:vAlign w:val="center"/>
            <w:tcMar>
              <w:top w:w="90" w:type="dxa"/>
              <w:start w:w="100" w:type="dxa"/>
              <w:bottom w:w="90" w:type="dxa"/>
              <w:end w:w="100" w:type="dxa"/>
            </w:tcMar>
            <w:shd w:fill="F3F6F8"/>
            <w:tcBorders>
              <w:bottom w:val="single" w:sz="4" w:color="D9E1E6"/>
            </w:tcBorders>
          </w:tcPr>
          <w:p>
            <w:pPr>
              <w:spacing w:after="0" w:line="257" w:lineRule="auto"/>
            </w:pPr>
            <w:r>
              <w:rPr>
                <w:sz w:val="16"/>
              </w:rPr>
              <w:t>Comportamento previsível e decisões auditáveis</w:t>
            </w:r>
          </w:p>
        </w:tc>
      </w:tr>
      <w:tr>
        <w:trPr>
          <w:cantSplit/>
        </w:trPr>
        <w:tc>
          <w:tcPr>
            <w:tcW w:type="dxa" w:w="1644"/>
            <w:vAlign w:val="center"/>
            <w:tcMar>
              <w:top w:w="90" w:type="dxa"/>
              <w:start w:w="100" w:type="dxa"/>
              <w:bottom w:w="90" w:type="dxa"/>
              <w:end w:w="100" w:type="dxa"/>
            </w:tcMar>
            <w:tcBorders>
              <w:bottom w:val="single" w:sz="4" w:color="D9E1E6"/>
            </w:tcBorders>
          </w:tcPr>
          <w:p>
            <w:pPr>
              <w:spacing w:after="0" w:line="257" w:lineRule="auto"/>
            </w:pPr>
            <w:r>
              <w:rPr>
                <w:sz w:val="16"/>
              </w:rPr>
              <w:t>Governança e observabilidade</w:t>
            </w:r>
          </w:p>
        </w:tc>
        <w:tc>
          <w:tcPr>
            <w:tcW w:type="dxa" w:w="3798"/>
            <w:vAlign w:val="center"/>
            <w:tcMar>
              <w:top w:w="90" w:type="dxa"/>
              <w:start w:w="100" w:type="dxa"/>
              <w:bottom w:w="90" w:type="dxa"/>
              <w:end w:w="100" w:type="dxa"/>
            </w:tcMar>
            <w:tcBorders>
              <w:bottom w:val="single" w:sz="4" w:color="D9E1E6"/>
            </w:tcBorders>
          </w:tcPr>
          <w:p>
            <w:pPr>
              <w:spacing w:after="0" w:line="257" w:lineRule="auto"/>
            </w:pPr>
            <w:r>
              <w:rPr>
                <w:sz w:val="16"/>
              </w:rPr>
              <w:t>Identidade, políticas, lineage, catálogo, monitoramento, custos, classificação e auditoria</w:t>
            </w:r>
          </w:p>
        </w:tc>
        <w:tc>
          <w:tcPr>
            <w:tcW w:type="dxa" w:w="2891"/>
            <w:vAlign w:val="center"/>
            <w:tcMar>
              <w:top w:w="90" w:type="dxa"/>
              <w:start w:w="100" w:type="dxa"/>
              <w:bottom w:w="90" w:type="dxa"/>
              <w:end w:w="100" w:type="dxa"/>
            </w:tcMar>
            <w:tcBorders>
              <w:bottom w:val="single" w:sz="4" w:color="D9E1E6"/>
            </w:tcBorders>
          </w:tcPr>
          <w:p>
            <w:pPr>
              <w:spacing w:after="0" w:line="257" w:lineRule="auto"/>
            </w:pPr>
            <w:r>
              <w:rPr>
                <w:sz w:val="16"/>
              </w:rPr>
              <w:t>Segurança, confiabilidade e sustentabilidade operacional</w:t>
            </w:r>
          </w:p>
        </w:tc>
      </w:tr>
    </w:tbl>
    <w:p>
      <w:pPr>
        <w:spacing w:after="0"/>
      </w:pPr>
    </w:p>
    <w:p>
      <w:pPr>
        <w:pStyle w:val="Heading2"/>
      </w:pPr>
      <w:r>
        <w:t>3.1 Fluxo lógico por responsabilidade</w:t>
      </w:r>
    </w:p>
    <w:tbl>
      <w:tblPr>
        <w:tblW w:type="auto" w:w="0"/>
        <w:tblLook w:firstColumn="1" w:firstRow="1" w:lastColumn="0" w:lastRow="0" w:noHBand="0" w:noVBand="1" w:val="04A0"/>
      </w:tblPr>
      <w:tblGrid>
        <w:gridCol w:w="9553"/>
      </w:tblGrid>
      <w:tr>
        <w:tc>
          <w:tcPr>
            <w:tcW w:type="dxa" w:w="9553"/>
            <w:shd w:fill="F3F6F8"/>
            <w:tcMar>
              <w:top w:w="140" w:type="dxa"/>
              <w:start w:w="170" w:type="dxa"/>
              <w:bottom w:w="140" w:type="dxa"/>
              <w:end w:w="170" w:type="dxa"/>
            </w:tcMar>
          </w:tcPr>
          <w:p>
            <w:pPr>
              <w:pStyle w:val="MonoBlock"/>
            </w:pPr>
            <w:r>
              <w:t>FONTES → RECEPÇÃO → LANDING → BRONZE → SILVER TÉCNICA</w:t>
            </w:r>
          </w:p>
          <w:p>
            <w:pPr>
              <w:pStyle w:val="MonoBlock"/>
            </w:pPr>
            <w:r>
              <w:t xml:space="preserve">                                   ↓</w:t>
            </w:r>
          </w:p>
          <w:p>
            <w:pPr>
              <w:pStyle w:val="MonoBlock"/>
            </w:pPr>
            <w:r>
              <w:t xml:space="preserve">                         SILVER ANALÍTICA → GOLD → CONSUMO</w:t>
            </w:r>
          </w:p>
          <w:p>
            <w:pPr>
              <w:pStyle w:val="MonoBlock"/>
            </w:pPr>
            <w:r>
              <w:t xml:space="preserve">  CONTROLE: contratos + gates + manifesto + reprocessamento + publicação</w:t>
            </w:r>
          </w:p>
          <w:p>
            <w:pPr>
              <w:pStyle w:val="MonoBlock"/>
            </w:pPr>
            <w:r>
              <w:t xml:space="preserve">  TRANSVERSAL: segurança + catálogo + lineage + observabilidade + FinOps</w:t>
            </w:r>
          </w:p>
        </w:tc>
      </w:tr>
    </w:tbl>
    <w:p>
      <w:pPr>
        <w:spacing w:after="0"/>
      </w:pPr>
    </w:p>
    <w:p>
      <w:pPr/>
      <w:r>
        <w:t>Os portões de entrada e validação não devem impedir a preservação de evidências. Quando o arquivo não é aceito, o original e o laudo permanecem no armazenamento de quarentena pelo prazo previsto; quando um registro é rejeitado, sua representação e origem são persistidas antes de sua exclusão do conjunto aprovado.</w:t>
      </w:r>
    </w:p>
    <w:p>
      <w:pPr>
        <w:pStyle w:val="Heading2"/>
      </w:pPr>
      <w:r>
        <w:t>3.2 Fronteiras de acoplamento</w:t>
      </w:r>
    </w:p>
    <w:p>
      <w:pPr/>
      <w:r>
        <w:t>O hub entrega objetos íntegros e identificados; a Bronze não depende de regras de negócio; a Silver Técnica não deve depender do modo de consumo; a Silver Analítica publica entidades compartilhadas; a Gold define a granularidade consumível; o registro de publicação determina qual revisão está visível.</w:t>
      </w:r>
    </w:p>
    <w:p>
      <w:pPr>
        <w:pStyle w:val="Heading1"/>
      </w:pPr>
      <w:r>
        <w:t>4. Catálogo de fontes e estratégia de ingestão</w:t>
      </w:r>
    </w:p>
    <w:tbl>
      <w:tblPr>
        <w:tblW w:type="auto" w:w="0"/>
        <w:jc w:val="center"/>
        <w:tblLayout w:type="fixed"/>
        <w:tblLook w:firstColumn="1" w:firstRow="1" w:lastColumn="0" w:lastRow="0" w:noHBand="0" w:noVBand="1" w:val="04A0"/>
      </w:tblPr>
      <w:tblGrid>
        <w:gridCol w:w="1701"/>
        <w:gridCol w:w="3175"/>
        <w:gridCol w:w="3458"/>
      </w:tblGrid>
      <w:tr>
        <w:trPr>
          <w:tblHeader w:val="true"/>
          <w:cantSplit/>
        </w:trPr>
        <w:tc>
          <w:tcPr>
            <w:tcW w:type="dxa" w:w="3184"/>
            <w:shd w:fill="142439"/>
            <w:tcMar>
              <w:top w:w="95" w:type="dxa"/>
              <w:start w:w="100" w:type="dxa"/>
              <w:bottom w:w="95" w:type="dxa"/>
              <w:end w:w="100" w:type="dxa"/>
            </w:tcMar>
          </w:tcPr>
          <w:p>
            <w:pPr>
              <w:spacing w:after="0"/>
            </w:pPr>
            <w:r>
              <w:rPr>
                <w:b/>
                <w:color w:val="FFFFFF"/>
                <w:sz w:val="16"/>
              </w:rPr>
              <w:t>Fonte</w:t>
            </w:r>
          </w:p>
        </w:tc>
        <w:tc>
          <w:tcPr>
            <w:tcW w:type="dxa" w:w="3184"/>
            <w:shd w:fill="142439"/>
            <w:tcMar>
              <w:top w:w="95" w:type="dxa"/>
              <w:start w:w="100" w:type="dxa"/>
              <w:bottom w:w="95" w:type="dxa"/>
              <w:end w:w="100" w:type="dxa"/>
            </w:tcMar>
          </w:tcPr>
          <w:p>
            <w:pPr>
              <w:spacing w:after="0"/>
            </w:pPr>
            <w:r>
              <w:rPr>
                <w:b/>
                <w:color w:val="FFFFFF"/>
                <w:sz w:val="16"/>
              </w:rPr>
              <w:t>Estratégia preferencial</w:t>
            </w:r>
          </w:p>
        </w:tc>
        <w:tc>
          <w:tcPr>
            <w:tcW w:type="dxa" w:w="3184"/>
            <w:shd w:fill="142439"/>
            <w:tcMar>
              <w:top w:w="95" w:type="dxa"/>
              <w:start w:w="100" w:type="dxa"/>
              <w:bottom w:w="95" w:type="dxa"/>
              <w:end w:w="100" w:type="dxa"/>
            </w:tcMar>
          </w:tcPr>
          <w:p>
            <w:pPr>
              <w:spacing w:after="0"/>
            </w:pPr>
            <w:r>
              <w:rPr>
                <w:b/>
                <w:color w:val="FFFFFF"/>
                <w:sz w:val="16"/>
              </w:rPr>
              <w:t>Fallback/risco</w:t>
            </w:r>
          </w:p>
        </w:tc>
      </w:tr>
      <w:tr>
        <w:trPr>
          <w:cantSplit/>
        </w:trPr>
        <w:tc>
          <w:tcPr>
            <w:tcW w:type="dxa" w:w="1701"/>
            <w:vAlign w:val="center"/>
            <w:tcMar>
              <w:top w:w="90" w:type="dxa"/>
              <w:start w:w="100" w:type="dxa"/>
              <w:bottom w:w="90" w:type="dxa"/>
              <w:end w:w="100" w:type="dxa"/>
            </w:tcMar>
            <w:tcBorders>
              <w:bottom w:val="single" w:sz="4" w:color="D9E1E6"/>
            </w:tcBorders>
          </w:tcPr>
          <w:p>
            <w:pPr>
              <w:spacing w:after="0" w:line="257" w:lineRule="auto"/>
            </w:pPr>
            <w:r>
              <w:rPr>
                <w:sz w:val="16"/>
              </w:rPr>
              <w:t>SGBD com log transacional</w:t>
            </w:r>
          </w:p>
        </w:tc>
        <w:tc>
          <w:tcPr>
            <w:tcW w:type="dxa" w:w="3175"/>
            <w:vAlign w:val="center"/>
            <w:tcMar>
              <w:top w:w="90" w:type="dxa"/>
              <w:start w:w="100" w:type="dxa"/>
              <w:bottom w:w="90" w:type="dxa"/>
              <w:end w:w="100" w:type="dxa"/>
            </w:tcMar>
            <w:tcBorders>
              <w:bottom w:val="single" w:sz="4" w:color="D9E1E6"/>
            </w:tcBorders>
          </w:tcPr>
          <w:p>
            <w:pPr>
              <w:spacing w:after="0" w:line="257" w:lineRule="auto"/>
            </w:pPr>
            <w:r>
              <w:rPr>
                <w:sz w:val="16"/>
              </w:rPr>
              <w:t>Conector CDC gerenciado e snapshot inicial consistente</w:t>
            </w:r>
          </w:p>
        </w:tc>
        <w:tc>
          <w:tcPr>
            <w:tcW w:type="dxa" w:w="3458"/>
            <w:vAlign w:val="center"/>
            <w:tcMar>
              <w:top w:w="90" w:type="dxa"/>
              <w:start w:w="100" w:type="dxa"/>
              <w:bottom w:w="90" w:type="dxa"/>
              <w:end w:w="100" w:type="dxa"/>
            </w:tcMar>
            <w:tcBorders>
              <w:bottom w:val="single" w:sz="4" w:color="D9E1E6"/>
            </w:tcBorders>
          </w:tcPr>
          <w:p>
            <w:pPr>
              <w:spacing w:after="0" w:line="257" w:lineRule="auto"/>
            </w:pPr>
            <w:r>
              <w:rPr>
                <w:sz w:val="16"/>
              </w:rPr>
              <w:t>Verificar permissões, posição do log, deletes, compatibilidade, custo e retenção.</w:t>
            </w:r>
          </w:p>
        </w:tc>
      </w:tr>
      <w:tr>
        <w:trPr>
          <w:cantSplit/>
        </w:trPr>
        <w:tc>
          <w:tcPr>
            <w:tcW w:type="dxa" w:w="1701"/>
            <w:vAlign w:val="center"/>
            <w:tcMar>
              <w:top w:w="90" w:type="dxa"/>
              <w:start w:w="100" w:type="dxa"/>
              <w:bottom w:w="90" w:type="dxa"/>
              <w:end w:w="100" w:type="dxa"/>
            </w:tcMar>
            <w:shd w:fill="F3F6F8"/>
            <w:tcBorders>
              <w:bottom w:val="single" w:sz="4" w:color="D9E1E6"/>
            </w:tcBorders>
          </w:tcPr>
          <w:p>
            <w:pPr>
              <w:spacing w:after="0" w:line="257" w:lineRule="auto"/>
            </w:pPr>
            <w:r>
              <w:rPr>
                <w:sz w:val="16"/>
              </w:rPr>
              <w:t>SGBD sem CDC</w:t>
            </w:r>
          </w:p>
        </w:tc>
        <w:tc>
          <w:tcPr>
            <w:tcW w:type="dxa" w:w="3175"/>
            <w:vAlign w:val="center"/>
            <w:tcMar>
              <w:top w:w="90" w:type="dxa"/>
              <w:start w:w="100" w:type="dxa"/>
              <w:bottom w:w="90" w:type="dxa"/>
              <w:end w:w="100" w:type="dxa"/>
            </w:tcMar>
            <w:shd w:fill="F3F6F8"/>
            <w:tcBorders>
              <w:bottom w:val="single" w:sz="4" w:color="D9E1E6"/>
            </w:tcBorders>
          </w:tcPr>
          <w:p>
            <w:pPr>
              <w:spacing w:after="0" w:line="257" w:lineRule="auto"/>
            </w:pPr>
            <w:r>
              <w:rPr>
                <w:sz w:val="16"/>
              </w:rPr>
              <w:t>Full inicial; watermark + reconciliação periódica ou snapshots completos</w:t>
            </w:r>
          </w:p>
        </w:tc>
        <w:tc>
          <w:tcPr>
            <w:tcW w:type="dxa" w:w="3458"/>
            <w:vAlign w:val="center"/>
            <w:tcMar>
              <w:top w:w="90" w:type="dxa"/>
              <w:start w:w="100" w:type="dxa"/>
              <w:bottom w:w="90" w:type="dxa"/>
              <w:end w:w="100" w:type="dxa"/>
            </w:tcMar>
            <w:shd w:fill="F3F6F8"/>
            <w:tcBorders>
              <w:bottom w:val="single" w:sz="4" w:color="D9E1E6"/>
            </w:tcBorders>
          </w:tcPr>
          <w:p>
            <w:pPr>
              <w:spacing w:after="0" w:line="257" w:lineRule="auto"/>
            </w:pPr>
            <w:r>
              <w:rPr>
                <w:sz w:val="16"/>
              </w:rPr>
              <w:t>Watermark puro não captura hard deletes; snapshots não recuperam mudanças intermediárias.</w:t>
            </w:r>
          </w:p>
        </w:tc>
      </w:tr>
      <w:tr>
        <w:trPr>
          <w:cantSplit/>
        </w:trPr>
        <w:tc>
          <w:tcPr>
            <w:tcW w:type="dxa" w:w="1701"/>
            <w:vAlign w:val="center"/>
            <w:tcMar>
              <w:top w:w="90" w:type="dxa"/>
              <w:start w:w="100" w:type="dxa"/>
              <w:bottom w:w="90" w:type="dxa"/>
              <w:end w:w="100" w:type="dxa"/>
            </w:tcMar>
            <w:tcBorders>
              <w:bottom w:val="single" w:sz="4" w:color="D9E1E6"/>
            </w:tcBorders>
          </w:tcPr>
          <w:p>
            <w:pPr>
              <w:spacing w:after="0" w:line="257" w:lineRule="auto"/>
            </w:pPr>
            <w:r>
              <w:rPr>
                <w:sz w:val="16"/>
              </w:rPr>
              <w:t>Arquivos externos</w:t>
            </w:r>
          </w:p>
        </w:tc>
        <w:tc>
          <w:tcPr>
            <w:tcW w:type="dxa" w:w="3175"/>
            <w:vAlign w:val="center"/>
            <w:tcMar>
              <w:top w:w="90" w:type="dxa"/>
              <w:start w:w="100" w:type="dxa"/>
              <w:bottom w:w="90" w:type="dxa"/>
              <w:end w:w="100" w:type="dxa"/>
            </w:tcMar>
            <w:tcBorders>
              <w:bottom w:val="single" w:sz="4" w:color="D9E1E6"/>
            </w:tcBorders>
          </w:tcPr>
          <w:p>
            <w:pPr>
              <w:spacing w:after="0" w:line="257" w:lineRule="auto"/>
            </w:pPr>
            <w:r>
              <w:rPr>
                <w:sz w:val="16"/>
              </w:rPr>
              <w:t>Hub multicanal, entrega íntegra, manifesto e Auto Loader</w:t>
            </w:r>
          </w:p>
        </w:tc>
        <w:tc>
          <w:tcPr>
            <w:tcW w:type="dxa" w:w="3458"/>
            <w:vAlign w:val="center"/>
            <w:tcMar>
              <w:top w:w="90" w:type="dxa"/>
              <w:start w:w="100" w:type="dxa"/>
              <w:bottom w:w="90" w:type="dxa"/>
              <w:end w:w="100" w:type="dxa"/>
            </w:tcMar>
            <w:tcBorders>
              <w:bottom w:val="single" w:sz="4" w:color="D9E1E6"/>
            </w:tcBorders>
          </w:tcPr>
          <w:p>
            <w:pPr>
              <w:spacing w:after="0" w:line="257" w:lineRule="auto"/>
            </w:pPr>
            <w:r>
              <w:rPr>
                <w:sz w:val="16"/>
              </w:rPr>
              <w:t>Conectores legados entram no mesmo hub enquanto durar a migração.</w:t>
            </w:r>
          </w:p>
        </w:tc>
      </w:tr>
      <w:tr>
        <w:trPr>
          <w:cantSplit/>
        </w:trPr>
        <w:tc>
          <w:tcPr>
            <w:tcW w:type="dxa" w:w="1701"/>
            <w:vAlign w:val="center"/>
            <w:tcMar>
              <w:top w:w="90" w:type="dxa"/>
              <w:start w:w="100" w:type="dxa"/>
              <w:bottom w:w="90" w:type="dxa"/>
              <w:end w:w="100" w:type="dxa"/>
            </w:tcMar>
            <w:shd w:fill="F3F6F8"/>
            <w:tcBorders>
              <w:bottom w:val="single" w:sz="4" w:color="D9E1E6"/>
            </w:tcBorders>
          </w:tcPr>
          <w:p>
            <w:pPr>
              <w:spacing w:after="0" w:line="257" w:lineRule="auto"/>
            </w:pPr>
            <w:r>
              <w:rPr>
                <w:sz w:val="16"/>
              </w:rPr>
              <w:t>SFTP de terceiros</w:t>
            </w:r>
          </w:p>
        </w:tc>
        <w:tc>
          <w:tcPr>
            <w:tcW w:type="dxa" w:w="3175"/>
            <w:vAlign w:val="center"/>
            <w:tcMar>
              <w:top w:w="90" w:type="dxa"/>
              <w:start w:w="100" w:type="dxa"/>
              <w:bottom w:w="90" w:type="dxa"/>
              <w:end w:w="100" w:type="dxa"/>
            </w:tcMar>
            <w:shd w:fill="F3F6F8"/>
            <w:tcBorders>
              <w:bottom w:val="single" w:sz="4" w:color="D9E1E6"/>
            </w:tcBorders>
          </w:tcPr>
          <w:p>
            <w:pPr>
              <w:spacing w:after="0" w:line="257" w:lineRule="auto"/>
            </w:pPr>
            <w:r>
              <w:rPr>
                <w:sz w:val="16"/>
              </w:rPr>
              <w:t>Conector gerenciado direto, quando adequado, ou gateway para o hub</w:t>
            </w:r>
          </w:p>
        </w:tc>
        <w:tc>
          <w:tcPr>
            <w:tcW w:type="dxa" w:w="3458"/>
            <w:vAlign w:val="center"/>
            <w:tcMar>
              <w:top w:w="90" w:type="dxa"/>
              <w:start w:w="100" w:type="dxa"/>
              <w:bottom w:w="90" w:type="dxa"/>
              <w:end w:w="100" w:type="dxa"/>
            </w:tcMar>
            <w:shd w:fill="F3F6F8"/>
            <w:tcBorders>
              <w:bottom w:val="single" w:sz="4" w:color="D9E1E6"/>
            </w:tcBorders>
          </w:tcPr>
          <w:p>
            <w:pPr>
              <w:spacing w:after="0" w:line="257" w:lineRule="auto"/>
            </w:pPr>
            <w:r>
              <w:rPr>
                <w:sz w:val="16"/>
              </w:rPr>
              <w:t>Distinguir captura ativa em SFTP externo de SFTP como endpoint receptor.</w:t>
            </w:r>
          </w:p>
        </w:tc>
      </w:tr>
      <w:tr>
        <w:trPr>
          <w:cantSplit/>
        </w:trPr>
        <w:tc>
          <w:tcPr>
            <w:tcW w:type="dxa" w:w="1701"/>
            <w:vAlign w:val="center"/>
            <w:tcMar>
              <w:top w:w="90" w:type="dxa"/>
              <w:start w:w="100" w:type="dxa"/>
              <w:bottom w:w="90" w:type="dxa"/>
              <w:end w:w="100" w:type="dxa"/>
            </w:tcMar>
            <w:tcBorders>
              <w:bottom w:val="single" w:sz="4" w:color="D9E1E6"/>
            </w:tcBorders>
          </w:tcPr>
          <w:p>
            <w:pPr>
              <w:spacing w:after="0" w:line="257" w:lineRule="auto"/>
            </w:pPr>
            <w:r>
              <w:rPr>
                <w:sz w:val="16"/>
              </w:rPr>
              <w:t>APIs REST/GraphQL</w:t>
            </w:r>
          </w:p>
        </w:tc>
        <w:tc>
          <w:tcPr>
            <w:tcW w:type="dxa" w:w="3175"/>
            <w:vAlign w:val="center"/>
            <w:tcMar>
              <w:top w:w="90" w:type="dxa"/>
              <w:start w:w="100" w:type="dxa"/>
              <w:bottom w:w="90" w:type="dxa"/>
              <w:end w:w="100" w:type="dxa"/>
            </w:tcMar>
            <w:tcBorders>
              <w:bottom w:val="single" w:sz="4" w:color="D9E1E6"/>
            </w:tcBorders>
          </w:tcPr>
          <w:p>
            <w:pPr>
              <w:spacing w:after="0" w:line="257" w:lineRule="auto"/>
            </w:pPr>
            <w:r>
              <w:rPr>
                <w:sz w:val="16"/>
              </w:rPr>
              <w:t>Extrator parametrizado com paginação, cursor, rate limit e checkpoint</w:t>
            </w:r>
          </w:p>
        </w:tc>
        <w:tc>
          <w:tcPr>
            <w:tcW w:type="dxa" w:w="3458"/>
            <w:vAlign w:val="center"/>
            <w:tcMar>
              <w:top w:w="90" w:type="dxa"/>
              <w:start w:w="100" w:type="dxa"/>
              <w:bottom w:w="90" w:type="dxa"/>
              <w:end w:w="100" w:type="dxa"/>
            </w:tcMar>
            <w:tcBorders>
              <w:bottom w:val="single" w:sz="4" w:color="D9E1E6"/>
            </w:tcBorders>
          </w:tcPr>
          <w:p>
            <w:pPr>
              <w:spacing w:after="0" w:line="257" w:lineRule="auto"/>
            </w:pPr>
            <w:r>
              <w:rPr>
                <w:sz w:val="16"/>
              </w:rPr>
              <w:t>Respostas mutáveis exigem snapshots ou endpoints de mudanças.</w:t>
            </w:r>
          </w:p>
        </w:tc>
      </w:tr>
      <w:tr>
        <w:trPr>
          <w:cantSplit/>
        </w:trPr>
        <w:tc>
          <w:tcPr>
            <w:tcW w:type="dxa" w:w="1701"/>
            <w:vAlign w:val="center"/>
            <w:tcMar>
              <w:top w:w="90" w:type="dxa"/>
              <w:start w:w="100" w:type="dxa"/>
              <w:bottom w:w="90" w:type="dxa"/>
              <w:end w:w="100" w:type="dxa"/>
            </w:tcMar>
            <w:shd w:fill="F3F6F8"/>
            <w:tcBorders>
              <w:bottom w:val="single" w:sz="4" w:color="D9E1E6"/>
            </w:tcBorders>
          </w:tcPr>
          <w:p>
            <w:pPr>
              <w:spacing w:after="0" w:line="257" w:lineRule="auto"/>
            </w:pPr>
            <w:r>
              <w:rPr>
                <w:sz w:val="16"/>
              </w:rPr>
              <w:t>Streams/eventos</w:t>
            </w:r>
          </w:p>
        </w:tc>
        <w:tc>
          <w:tcPr>
            <w:tcW w:type="dxa" w:w="3175"/>
            <w:vAlign w:val="center"/>
            <w:tcMar>
              <w:top w:w="90" w:type="dxa"/>
              <w:start w:w="100" w:type="dxa"/>
              <w:bottom w:w="90" w:type="dxa"/>
              <w:end w:w="100" w:type="dxa"/>
            </w:tcMar>
            <w:shd w:fill="F3F6F8"/>
            <w:tcBorders>
              <w:bottom w:val="single" w:sz="4" w:color="D9E1E6"/>
            </w:tcBorders>
          </w:tcPr>
          <w:p>
            <w:pPr>
              <w:spacing w:after="0" w:line="257" w:lineRule="auto"/>
            </w:pPr>
            <w:r>
              <w:rPr>
                <w:sz w:val="16"/>
              </w:rPr>
              <w:t>Captura por offset, identidade do evento, ordenação e retenção</w:t>
            </w:r>
          </w:p>
        </w:tc>
        <w:tc>
          <w:tcPr>
            <w:tcW w:type="dxa" w:w="3458"/>
            <w:vAlign w:val="center"/>
            <w:tcMar>
              <w:top w:w="90" w:type="dxa"/>
              <w:start w:w="100" w:type="dxa"/>
              <w:bottom w:w="90" w:type="dxa"/>
              <w:end w:w="100" w:type="dxa"/>
            </w:tcMar>
            <w:shd w:fill="F3F6F8"/>
            <w:tcBorders>
              <w:bottom w:val="single" w:sz="4" w:color="D9E1E6"/>
            </w:tcBorders>
          </w:tcPr>
          <w:p>
            <w:pPr>
              <w:spacing w:after="0" w:line="257" w:lineRule="auto"/>
            </w:pPr>
            <w:r>
              <w:rPr>
                <w:sz w:val="16"/>
              </w:rPr>
              <w:t>Sem offset recuperável não há garantia de replay histórico.</w:t>
            </w:r>
          </w:p>
        </w:tc>
      </w:tr>
      <w:tr>
        <w:trPr>
          <w:cantSplit/>
        </w:trPr>
        <w:tc>
          <w:tcPr>
            <w:tcW w:type="dxa" w:w="1701"/>
            <w:vAlign w:val="center"/>
            <w:tcMar>
              <w:top w:w="90" w:type="dxa"/>
              <w:start w:w="100" w:type="dxa"/>
              <w:bottom w:w="90" w:type="dxa"/>
              <w:end w:w="100" w:type="dxa"/>
            </w:tcMar>
            <w:tcBorders>
              <w:bottom w:val="single" w:sz="4" w:color="D9E1E6"/>
            </w:tcBorders>
          </w:tcPr>
          <w:p>
            <w:pPr>
              <w:spacing w:after="0" w:line="257" w:lineRule="auto"/>
            </w:pPr>
            <w:r>
              <w:rPr>
                <w:sz w:val="16"/>
              </w:rPr>
              <w:t>Dados não estruturados</w:t>
            </w:r>
          </w:p>
        </w:tc>
        <w:tc>
          <w:tcPr>
            <w:tcW w:type="dxa" w:w="3175"/>
            <w:vAlign w:val="center"/>
            <w:tcMar>
              <w:top w:w="90" w:type="dxa"/>
              <w:start w:w="100" w:type="dxa"/>
              <w:bottom w:w="90" w:type="dxa"/>
              <w:end w:w="100" w:type="dxa"/>
            </w:tcMar>
            <w:tcBorders>
              <w:bottom w:val="single" w:sz="4" w:color="D9E1E6"/>
            </w:tcBorders>
          </w:tcPr>
          <w:p>
            <w:pPr>
              <w:spacing w:after="0" w:line="257" w:lineRule="auto"/>
            </w:pPr>
            <w:r>
              <w:rPr>
                <w:sz w:val="16"/>
              </w:rPr>
              <w:t>Arquivo bruto + metadados de origem + extração versionada</w:t>
            </w:r>
          </w:p>
        </w:tc>
        <w:tc>
          <w:tcPr>
            <w:tcW w:type="dxa" w:w="3458"/>
            <w:vAlign w:val="center"/>
            <w:tcMar>
              <w:top w:w="90" w:type="dxa"/>
              <w:start w:w="100" w:type="dxa"/>
              <w:bottom w:w="90" w:type="dxa"/>
              <w:end w:w="100" w:type="dxa"/>
            </w:tcMar>
            <w:tcBorders>
              <w:bottom w:val="single" w:sz="4" w:color="D9E1E6"/>
            </w:tcBorders>
          </w:tcPr>
          <w:p>
            <w:pPr>
              <w:spacing w:after="0" w:line="257" w:lineRule="auto"/>
            </w:pPr>
            <w:r>
              <w:rPr>
                <w:sz w:val="16"/>
              </w:rPr>
              <w:t>OCR/parser não pode apagar o original nem disfarçar incerteza.</w:t>
            </w:r>
          </w:p>
        </w:tc>
      </w:tr>
    </w:tbl>
    <w:p>
      <w:pPr>
        <w:spacing w:after="0"/>
      </w:pPr>
    </w:p>
    <w:p>
      <w:pPr>
        <w:pStyle w:val="Heading2"/>
      </w:pPr>
      <w:r>
        <w:t>4.1 Contrato de captura</w:t>
      </w:r>
    </w:p>
    <w:p>
      <w:pPr/>
      <w:r>
        <w:t>Toda fonte terá source_id, dataset_id, canal, localização lógica, frequência esperada, tipo de extração, cursor/offset quando aplicável, chaves de comparação, política de esquema, limite de taxa, backoff, tolerância de atraso, responsável e regra de reconciliação. Credenciais jamais aparecem no contrato em texto puro; somente referências a cofres ou conexões protegidas.</w:t>
      </w:r>
    </w:p>
    <w:p>
      <w:pPr>
        <w:pStyle w:val="Heading2"/>
      </w:pPr>
      <w:r>
        <w:t>4.2 Primeira carga full</w:t>
      </w:r>
    </w:p>
    <w:p>
      <w:pPr/>
      <w:r>
        <w:t>A primeira captura constitui o baseline. Para SGBDs, precisa registrar o instante de consistência da fotografia e a posição do log quando houver CDC. Para APIs, deve percorrer todo o escopo declarado e registrar paginação e versão da resposta. Para arquivos, significa ingerir o conjunto histórico inicial identificado pelo contrato, não simplesmente selecionar os últimos N dias do diretório.</w:t>
      </w:r>
    </w:p>
    <w:p>
      <w:pPr>
        <w:pStyle w:val="Heading1"/>
      </w:pPr>
      <w:r>
        <w:t>5. Hub Multicanal de Recebimento</w:t>
      </w:r>
    </w:p>
    <w:p>
      <w:pPr/>
      <w:r>
        <w:t>O hub reduz a multiplicação de conexões específicas ao oferecer canais padronizados de entrega e um único processo de validação, aceite e promoção. A centralização é lógica: protocolos de transporte podem variar sem criar novos caminhos de negócio dentro da plataforma.</w:t>
      </w:r>
    </w:p>
    <w:p>
      <w:pPr>
        <w:pStyle w:val="Heading2"/>
      </w:pPr>
      <w:r>
        <w:t>5.1 Canais e isolamento</w:t>
      </w:r>
    </w:p>
    <w:tbl>
      <w:tblPr>
        <w:tblW w:type="auto" w:w="0"/>
        <w:jc w:val="center"/>
        <w:tblLayout w:type="fixed"/>
        <w:tblLook w:firstColumn="1" w:firstRow="1" w:lastColumn="0" w:lastRow="0" w:noHBand="0" w:noVBand="1" w:val="04A0"/>
      </w:tblPr>
      <w:tblGrid>
        <w:gridCol w:w="1757"/>
        <w:gridCol w:w="3005"/>
        <w:gridCol w:w="3572"/>
      </w:tblGrid>
      <w:tr>
        <w:trPr>
          <w:tblHeader w:val="true"/>
          <w:cantSplit/>
        </w:trPr>
        <w:tc>
          <w:tcPr>
            <w:tcW w:type="dxa" w:w="3184"/>
            <w:shd w:fill="142439"/>
            <w:tcMar>
              <w:top w:w="95" w:type="dxa"/>
              <w:start w:w="100" w:type="dxa"/>
              <w:bottom w:w="95" w:type="dxa"/>
              <w:end w:w="100" w:type="dxa"/>
            </w:tcMar>
          </w:tcPr>
          <w:p>
            <w:pPr>
              <w:spacing w:after="0"/>
            </w:pPr>
            <w:r>
              <w:rPr>
                <w:b/>
                <w:color w:val="FFFFFF"/>
                <w:sz w:val="16"/>
              </w:rPr>
              <w:t>Canal</w:t>
            </w:r>
          </w:p>
        </w:tc>
        <w:tc>
          <w:tcPr>
            <w:tcW w:type="dxa" w:w="3184"/>
            <w:shd w:fill="142439"/>
            <w:tcMar>
              <w:top w:w="95" w:type="dxa"/>
              <w:start w:w="100" w:type="dxa"/>
              <w:bottom w:w="95" w:type="dxa"/>
              <w:end w:w="100" w:type="dxa"/>
            </w:tcMar>
          </w:tcPr>
          <w:p>
            <w:pPr>
              <w:spacing w:after="0"/>
            </w:pPr>
            <w:r>
              <w:rPr>
                <w:b/>
                <w:color w:val="FFFFFF"/>
                <w:sz w:val="16"/>
              </w:rPr>
              <w:t>Papel</w:t>
            </w:r>
          </w:p>
        </w:tc>
        <w:tc>
          <w:tcPr>
            <w:tcW w:type="dxa" w:w="3184"/>
            <w:shd w:fill="142439"/>
            <w:tcMar>
              <w:top w:w="95" w:type="dxa"/>
              <w:start w:w="100" w:type="dxa"/>
              <w:bottom w:w="95" w:type="dxa"/>
              <w:end w:w="100" w:type="dxa"/>
            </w:tcMar>
          </w:tcPr>
          <w:p>
            <w:pPr>
              <w:spacing w:after="0"/>
            </w:pPr>
            <w:r>
              <w:rPr>
                <w:b/>
                <w:color w:val="FFFFFF"/>
                <w:sz w:val="16"/>
              </w:rPr>
              <w:t>Controle de segurança</w:t>
            </w:r>
          </w:p>
        </w:tc>
      </w:tr>
      <w:tr>
        <w:trPr>
          <w:cantSplit/>
        </w:trPr>
        <w:tc>
          <w:tcPr>
            <w:tcW w:type="dxa" w:w="1757"/>
            <w:vAlign w:val="center"/>
            <w:tcMar>
              <w:top w:w="90" w:type="dxa"/>
              <w:start w:w="100" w:type="dxa"/>
              <w:bottom w:w="90" w:type="dxa"/>
              <w:end w:w="100" w:type="dxa"/>
            </w:tcMar>
            <w:tcBorders>
              <w:bottom w:val="single" w:sz="4" w:color="D9E1E6"/>
            </w:tcBorders>
          </w:tcPr>
          <w:p>
            <w:pPr>
              <w:spacing w:after="0" w:line="257" w:lineRule="auto"/>
            </w:pPr>
            <w:r>
              <w:rPr>
                <w:sz w:val="16"/>
              </w:rPr>
              <w:t>HTTPS com upload controlado</w:t>
            </w:r>
          </w:p>
        </w:tc>
        <w:tc>
          <w:tcPr>
            <w:tcW w:type="dxa" w:w="3005"/>
            <w:vAlign w:val="center"/>
            <w:tcMar>
              <w:top w:w="90" w:type="dxa"/>
              <w:start w:w="100" w:type="dxa"/>
              <w:bottom w:w="90" w:type="dxa"/>
              <w:end w:w="100" w:type="dxa"/>
            </w:tcMar>
            <w:tcBorders>
              <w:bottom w:val="single" w:sz="4" w:color="D9E1E6"/>
            </w:tcBorders>
          </w:tcPr>
          <w:p>
            <w:pPr>
              <w:spacing w:after="0" w:line="257" w:lineRule="auto"/>
            </w:pPr>
            <w:r>
              <w:rPr>
                <w:sz w:val="16"/>
              </w:rPr>
              <w:t>Opção recomendada para parceiros que aceitam API ou portal</w:t>
            </w:r>
          </w:p>
        </w:tc>
        <w:tc>
          <w:tcPr>
            <w:tcW w:type="dxa" w:w="3572"/>
            <w:vAlign w:val="center"/>
            <w:tcMar>
              <w:top w:w="90" w:type="dxa"/>
              <w:start w:w="100" w:type="dxa"/>
              <w:bottom w:w="90" w:type="dxa"/>
              <w:end w:w="100" w:type="dxa"/>
            </w:tcMar>
            <w:tcBorders>
              <w:bottom w:val="single" w:sz="4" w:color="D9E1E6"/>
            </w:tcBorders>
          </w:tcPr>
          <w:p>
            <w:pPr>
              <w:spacing w:after="0" w:line="257" w:lineRule="auto"/>
            </w:pPr>
            <w:r>
              <w:rPr>
                <w:sz w:val="16"/>
              </w:rPr>
              <w:t>URL de curta duração, escopo mínimo, identidade de fornecedor e validação após upload.</w:t>
            </w:r>
          </w:p>
        </w:tc>
      </w:tr>
      <w:tr>
        <w:trPr>
          <w:cantSplit/>
        </w:trPr>
        <w:tc>
          <w:tcPr>
            <w:tcW w:type="dxa" w:w="1757"/>
            <w:vAlign w:val="center"/>
            <w:tcMar>
              <w:top w:w="90" w:type="dxa"/>
              <w:start w:w="100" w:type="dxa"/>
              <w:bottom w:w="90" w:type="dxa"/>
              <w:end w:w="100" w:type="dxa"/>
            </w:tcMar>
            <w:shd w:fill="F3F6F8"/>
            <w:tcBorders>
              <w:bottom w:val="single" w:sz="4" w:color="D9E1E6"/>
            </w:tcBorders>
          </w:tcPr>
          <w:p>
            <w:pPr>
              <w:spacing w:after="0" w:line="257" w:lineRule="auto"/>
            </w:pPr>
            <w:r>
              <w:rPr>
                <w:sz w:val="16"/>
              </w:rPr>
              <w:t>SFTP receptor</w:t>
            </w:r>
          </w:p>
        </w:tc>
        <w:tc>
          <w:tcPr>
            <w:tcW w:type="dxa" w:w="3005"/>
            <w:vAlign w:val="center"/>
            <w:tcMar>
              <w:top w:w="90" w:type="dxa"/>
              <w:start w:w="100" w:type="dxa"/>
              <w:bottom w:w="90" w:type="dxa"/>
              <w:end w:w="100" w:type="dxa"/>
            </w:tcMar>
            <w:shd w:fill="F3F6F8"/>
            <w:tcBorders>
              <w:bottom w:val="single" w:sz="4" w:color="D9E1E6"/>
            </w:tcBorders>
          </w:tcPr>
          <w:p>
            <w:pPr>
              <w:spacing w:after="0" w:line="257" w:lineRule="auto"/>
            </w:pPr>
            <w:r>
              <w:rPr>
                <w:sz w:val="16"/>
              </w:rPr>
              <w:t>Opção para automação tradicional</w:t>
            </w:r>
          </w:p>
        </w:tc>
        <w:tc>
          <w:tcPr>
            <w:tcW w:type="dxa" w:w="3572"/>
            <w:vAlign w:val="center"/>
            <w:tcMar>
              <w:top w:w="90" w:type="dxa"/>
              <w:start w:w="100" w:type="dxa"/>
              <w:bottom w:w="90" w:type="dxa"/>
              <w:end w:w="100" w:type="dxa"/>
            </w:tcMar>
            <w:shd w:fill="F3F6F8"/>
            <w:tcBorders>
              <w:bottom w:val="single" w:sz="4" w:color="D9E1E6"/>
            </w:tcBorders>
          </w:tcPr>
          <w:p>
            <w:pPr>
              <w:spacing w:after="0" w:line="257" w:lineRule="auto"/>
            </w:pPr>
            <w:r>
              <w:rPr>
                <w:sz w:val="16"/>
              </w:rPr>
              <w:t>Conta ou diretório isolado; chaves SSH; limitação de acesso, expiração e auditoria.</w:t>
            </w:r>
          </w:p>
        </w:tc>
      </w:tr>
      <w:tr>
        <w:trPr>
          <w:cantSplit/>
        </w:trPr>
        <w:tc>
          <w:tcPr>
            <w:tcW w:type="dxa" w:w="1757"/>
            <w:vAlign w:val="center"/>
            <w:tcMar>
              <w:top w:w="90" w:type="dxa"/>
              <w:start w:w="100" w:type="dxa"/>
              <w:bottom w:w="90" w:type="dxa"/>
              <w:end w:w="100" w:type="dxa"/>
            </w:tcMar>
            <w:tcBorders>
              <w:bottom w:val="single" w:sz="4" w:color="D9E1E6"/>
            </w:tcBorders>
          </w:tcPr>
          <w:p>
            <w:pPr>
              <w:spacing w:after="0" w:line="257" w:lineRule="auto"/>
            </w:pPr>
            <w:r>
              <w:rPr>
                <w:sz w:val="16"/>
              </w:rPr>
              <w:t>Portal web</w:t>
            </w:r>
          </w:p>
        </w:tc>
        <w:tc>
          <w:tcPr>
            <w:tcW w:type="dxa" w:w="3005"/>
            <w:vAlign w:val="center"/>
            <w:tcMar>
              <w:top w:w="90" w:type="dxa"/>
              <w:start w:w="100" w:type="dxa"/>
              <w:bottom w:w="90" w:type="dxa"/>
              <w:end w:w="100" w:type="dxa"/>
            </w:tcMar>
            <w:tcBorders>
              <w:bottom w:val="single" w:sz="4" w:color="D9E1E6"/>
            </w:tcBorders>
          </w:tcPr>
          <w:p>
            <w:pPr>
              <w:spacing w:after="0" w:line="257" w:lineRule="auto"/>
            </w:pPr>
            <w:r>
              <w:rPr>
                <w:sz w:val="16"/>
              </w:rPr>
              <w:t>Opção manual para equipes não técnicas</w:t>
            </w:r>
          </w:p>
        </w:tc>
        <w:tc>
          <w:tcPr>
            <w:tcW w:type="dxa" w:w="3572"/>
            <w:vAlign w:val="center"/>
            <w:tcMar>
              <w:top w:w="90" w:type="dxa"/>
              <w:start w:w="100" w:type="dxa"/>
              <w:bottom w:w="90" w:type="dxa"/>
              <w:end w:w="100" w:type="dxa"/>
            </w:tcMar>
            <w:tcBorders>
              <w:bottom w:val="single" w:sz="4" w:color="D9E1E6"/>
            </w:tcBorders>
          </w:tcPr>
          <w:p>
            <w:pPr>
              <w:spacing w:after="0" w:line="257" w:lineRule="auto"/>
            </w:pPr>
            <w:r>
              <w:rPr>
                <w:sz w:val="16"/>
              </w:rPr>
              <w:t>Autenticação, autorização por fornecedor, tamanho máximo e confirmação explícita.</w:t>
            </w:r>
          </w:p>
        </w:tc>
      </w:tr>
      <w:tr>
        <w:trPr>
          <w:cantSplit/>
        </w:trPr>
        <w:tc>
          <w:tcPr>
            <w:tcW w:type="dxa" w:w="1757"/>
            <w:vAlign w:val="center"/>
            <w:tcMar>
              <w:top w:w="90" w:type="dxa"/>
              <w:start w:w="100" w:type="dxa"/>
              <w:bottom w:w="90" w:type="dxa"/>
              <w:end w:w="100" w:type="dxa"/>
            </w:tcMar>
            <w:shd w:fill="F3F6F8"/>
            <w:tcBorders>
              <w:bottom w:val="single" w:sz="4" w:color="D9E1E6"/>
            </w:tcBorders>
          </w:tcPr>
          <w:p>
            <w:pPr>
              <w:spacing w:after="0" w:line="257" w:lineRule="auto"/>
            </w:pPr>
            <w:r>
              <w:rPr>
                <w:sz w:val="16"/>
              </w:rPr>
              <w:t>SharePoint/Drive</w:t>
            </w:r>
          </w:p>
        </w:tc>
        <w:tc>
          <w:tcPr>
            <w:tcW w:type="dxa" w:w="3005"/>
            <w:vAlign w:val="center"/>
            <w:tcMar>
              <w:top w:w="90" w:type="dxa"/>
              <w:start w:w="100" w:type="dxa"/>
              <w:bottom w:w="90" w:type="dxa"/>
              <w:end w:w="100" w:type="dxa"/>
            </w:tcMar>
            <w:shd w:fill="F3F6F8"/>
            <w:tcBorders>
              <w:bottom w:val="single" w:sz="4" w:color="D9E1E6"/>
            </w:tcBorders>
          </w:tcPr>
          <w:p>
            <w:pPr>
              <w:spacing w:after="0" w:line="257" w:lineRule="auto"/>
            </w:pPr>
            <w:r>
              <w:rPr>
                <w:sz w:val="16"/>
              </w:rPr>
              <w:t>Exceção ou preferência do fornecedor</w:t>
            </w:r>
          </w:p>
        </w:tc>
        <w:tc>
          <w:tcPr>
            <w:tcW w:type="dxa" w:w="3572"/>
            <w:vAlign w:val="center"/>
            <w:tcMar>
              <w:top w:w="90" w:type="dxa"/>
              <w:start w:w="100" w:type="dxa"/>
              <w:bottom w:w="90" w:type="dxa"/>
              <w:end w:w="100" w:type="dxa"/>
            </w:tcMar>
            <w:shd w:fill="F3F6F8"/>
            <w:tcBorders>
              <w:bottom w:val="single" w:sz="4" w:color="D9E1E6"/>
            </w:tcBorders>
          </w:tcPr>
          <w:p>
            <w:pPr>
              <w:spacing w:after="0" w:line="257" w:lineRule="auto"/>
            </w:pPr>
            <w:r>
              <w:rPr>
                <w:sz w:val="16"/>
              </w:rPr>
              <w:t>Acesso restrito ao recurso necessário e conector que escreva na recepção.</w:t>
            </w:r>
          </w:p>
        </w:tc>
      </w:tr>
      <w:tr>
        <w:trPr>
          <w:cantSplit/>
        </w:trPr>
        <w:tc>
          <w:tcPr>
            <w:tcW w:type="dxa" w:w="1757"/>
            <w:vAlign w:val="center"/>
            <w:tcMar>
              <w:top w:w="90" w:type="dxa"/>
              <w:start w:w="100" w:type="dxa"/>
              <w:bottom w:w="90" w:type="dxa"/>
              <w:end w:w="100" w:type="dxa"/>
            </w:tcMar>
            <w:tcBorders>
              <w:bottom w:val="single" w:sz="4" w:color="D9E1E6"/>
            </w:tcBorders>
          </w:tcPr>
          <w:p>
            <w:pPr>
              <w:spacing w:after="0" w:line="257" w:lineRule="auto"/>
            </w:pPr>
            <w:r>
              <w:rPr>
                <w:sz w:val="16"/>
              </w:rPr>
              <w:t>Coletor legado</w:t>
            </w:r>
          </w:p>
        </w:tc>
        <w:tc>
          <w:tcPr>
            <w:tcW w:type="dxa" w:w="3005"/>
            <w:vAlign w:val="center"/>
            <w:tcMar>
              <w:top w:w="90" w:type="dxa"/>
              <w:start w:w="100" w:type="dxa"/>
              <w:bottom w:w="90" w:type="dxa"/>
              <w:end w:w="100" w:type="dxa"/>
            </w:tcMar>
            <w:tcBorders>
              <w:bottom w:val="single" w:sz="4" w:color="D9E1E6"/>
            </w:tcBorders>
          </w:tcPr>
          <w:p>
            <w:pPr>
              <w:spacing w:after="0" w:line="257" w:lineRule="auto"/>
            </w:pPr>
            <w:r>
              <w:rPr>
                <w:sz w:val="16"/>
              </w:rPr>
              <w:t>Transição ou exceção contratual</w:t>
            </w:r>
          </w:p>
        </w:tc>
        <w:tc>
          <w:tcPr>
            <w:tcW w:type="dxa" w:w="3572"/>
            <w:vAlign w:val="center"/>
            <w:tcMar>
              <w:top w:w="90" w:type="dxa"/>
              <w:start w:w="100" w:type="dxa"/>
              <w:bottom w:w="90" w:type="dxa"/>
              <w:end w:w="100" w:type="dxa"/>
            </w:tcMar>
            <w:tcBorders>
              <w:bottom w:val="single" w:sz="4" w:color="D9E1E6"/>
            </w:tcBorders>
          </w:tcPr>
          <w:p>
            <w:pPr>
              <w:spacing w:after="0" w:line="257" w:lineRule="auto"/>
            </w:pPr>
            <w:r>
              <w:rPr>
                <w:sz w:val="16"/>
              </w:rPr>
              <w:t>Sempre publica no hub; evita bypass de qualidade.</w:t>
            </w:r>
          </w:p>
        </w:tc>
      </w:tr>
    </w:tbl>
    <w:p>
      <w:pPr>
        <w:spacing w:after="0"/>
      </w:pPr>
    </w:p>
    <w:p>
      <w:pPr/>
      <w:r>
        <w:t>No laboratório GCP, o Cloud Storage é o ponto de armazenamento de recepção. URLs assinadas podem atender a uploads HTTPS; Cloud Run e Eventarc podem materializar o evento de finalização. SFTP receptor não é assumido como funcionalidade nativa do Cloud Storage: requer gateway/serviço apropriado, com validação de custo e segurança.</w:t>
      </w:r>
    </w:p>
    <w:p>
      <w:pPr>
        <w:pStyle w:val="Heading2"/>
      </w:pPr>
      <w:r>
        <w:t>5.2 Protocolo de entrega</w:t>
      </w:r>
    </w:p>
    <w:p>
      <w:pPr>
        <w:spacing w:after="80"/>
        <w:ind w:left="329" w:hanging="329"/>
      </w:pPr>
      <w:r>
        <w:rPr>
          <w:b/>
          <w:color w:val="057D79"/>
        </w:rPr>
        <w:t xml:space="preserve">1.  </w:t>
      </w:r>
      <w:r>
        <w:t>O fornecedor recebe identidade e espaço isolados e publica os objetos com nome físico exclusivo.</w:t>
      </w:r>
    </w:p>
    <w:p>
      <w:pPr>
        <w:spacing w:after="80"/>
        <w:ind w:left="329" w:hanging="329"/>
      </w:pPr>
      <w:r>
        <w:rPr>
          <w:b/>
          <w:color w:val="057D79"/>
        </w:rPr>
        <w:t xml:space="preserve">2.  </w:t>
      </w:r>
      <w:r>
        <w:t>Um manifesto de lote ou evento inequívoco de finalização indica que o envio terminou.</w:t>
      </w:r>
    </w:p>
    <w:p>
      <w:pPr>
        <w:spacing w:after="80"/>
        <w:ind w:left="329" w:hanging="329"/>
      </w:pPr>
      <w:r>
        <w:rPr>
          <w:b/>
          <w:color w:val="057D79"/>
        </w:rPr>
        <w:t xml:space="preserve">3.  </w:t>
      </w:r>
      <w:r>
        <w:t>O hub valida tamanho, hash, tipo, malware quando configurado, contrato e completude do lote.</w:t>
      </w:r>
    </w:p>
    <w:p>
      <w:pPr>
        <w:spacing w:after="80"/>
        <w:ind w:left="329" w:hanging="329"/>
      </w:pPr>
      <w:r>
        <w:rPr>
          <w:b/>
          <w:color w:val="057D79"/>
        </w:rPr>
        <w:t xml:space="preserve">4.  </w:t>
      </w:r>
      <w:r>
        <w:t>O manifesto é registrado com estados RECEIVED, VALIDATING, ACCEPTED ou REJECTED.</w:t>
      </w:r>
    </w:p>
    <w:p>
      <w:pPr>
        <w:spacing w:after="80"/>
        <w:ind w:left="329" w:hanging="329"/>
      </w:pPr>
      <w:r>
        <w:rPr>
          <w:b/>
          <w:color w:val="057D79"/>
        </w:rPr>
        <w:t xml:space="preserve">5.  </w:t>
      </w:r>
      <w:r>
        <w:t>Uma entrega aceita é promovida para Landing com caminho e identificador imutáveis.</w:t>
      </w:r>
    </w:p>
    <w:p>
      <w:pPr>
        <w:spacing w:after="80"/>
        <w:ind w:left="329" w:hanging="329"/>
      </w:pPr>
      <w:r>
        <w:rPr>
          <w:b/>
          <w:color w:val="057D79"/>
        </w:rPr>
        <w:t xml:space="preserve">6.  </w:t>
      </w:r>
      <w:r>
        <w:t>O fornecedor recebe recibo de aceitação/rejeição; a plataforma inicia a sequência dependente.</w:t>
      </w:r>
    </w:p>
    <w:p>
      <w:pPr/>
      <w:r>
        <w:t>Um evento de objeto criado/finalizado indica conclusão da gravação daquele objeto, não necessariamente a completude do lote lógico. Quando o dataset for composto por vários arquivos, a plataforma precisa de manifesto final ou contrato de janela e de contagem para afirmar que o lote está completo.</w:t>
      </w:r>
    </w:p>
    <w:p>
      <w:pPr>
        <w:pStyle w:val="Heading2"/>
      </w:pPr>
      <w:r>
        <w:t>5.3 Nomes físicos e segurança contra colisões</w:t>
      </w:r>
    </w:p>
    <w:tbl>
      <w:tblPr>
        <w:tblW w:type="auto" w:w="0"/>
        <w:tblLook w:firstColumn="1" w:firstRow="1" w:lastColumn="0" w:lastRow="0" w:noHBand="0" w:noVBand="1" w:val="04A0"/>
      </w:tblPr>
      <w:tblGrid>
        <w:gridCol w:w="9553"/>
      </w:tblGrid>
      <w:tr>
        <w:tc>
          <w:tcPr>
            <w:tcW w:type="dxa" w:w="9553"/>
            <w:shd w:fill="F3F6F8"/>
            <w:tcMar>
              <w:top w:w="140" w:type="dxa"/>
              <w:start w:w="170" w:type="dxa"/>
              <w:bottom w:w="140" w:type="dxa"/>
              <w:end w:w="170" w:type="dxa"/>
            </w:tcMar>
          </w:tcPr>
          <w:p>
            <w:pPr>
              <w:pStyle w:val="MonoBlock"/>
            </w:pPr>
            <w:r>
              <w:t>recepcao/{canal}/{source_id}/{dataset_id}/{batch_id}/{file_id}_{nome_original}</w:t>
            </w:r>
          </w:p>
          <w:p>
            <w:pPr>
              <w:pStyle w:val="MonoBlock"/>
            </w:pPr>
            <w:r>
              <w:t>landing/canal={canal}/origem={source_id}/dominio={owner_domain}/</w:t>
            </w:r>
          </w:p>
          <w:p>
            <w:pPr>
              <w:pStyle w:val="MonoBlock"/>
            </w:pPr>
            <w:r>
              <w:t xml:space="preserve">        dataset={dataset_id}/ano={YYYY}/mes={MM}/dia={DD}/</w:t>
            </w:r>
          </w:p>
          <w:p>
            <w:pPr>
              <w:pStyle w:val="MonoBlock"/>
            </w:pPr>
            <w:r>
              <w:t xml:space="preserve">        lote={batch_id}/{file_id}_{nome_original}</w:t>
            </w:r>
          </w:p>
        </w:tc>
      </w:tr>
    </w:tbl>
    <w:p>
      <w:pPr>
        <w:spacing w:after="0"/>
      </w:pPr>
    </w:p>
    <w:p>
      <w:pPr/>
      <w:r>
        <w:t>O dataset_id é estável e independente de nomes de apresentação. owner_domain identifica quem responde pelo dado, não substitui source_id. Um fornecedor pode entregar datasets para vários domínios; dois fornecedores podem usar o mesmo nome de arquivo sem colidir. Competência, data do evento e data de recebimento são atributos distintos no manifesto.</w:t>
      </w:r>
    </w:p>
    <w:p>
      <w:pPr>
        <w:pStyle w:val="Heading2"/>
      </w:pPr>
      <w:r>
        <w:t>5.4 Confirmação de integridade e duplicidade</w:t>
      </w:r>
    </w:p>
    <w:p>
      <w:pPr/>
      <w:r>
        <w:t>Não confiar apenas no nome ou no tamanho do arquivo. Para identificar uma mesma entrega utilizar, conforme aplicável, source_id + dataset_id + batch_id + file_id e hash SHA-256 do conteúdo. O hash de um arquivo igual enviado em lote diferente não implica automaticamente rejeição: políticas de correção e replay podem exigir novo lote intencional.</w:t>
      </w:r>
    </w:p>
    <w:p>
      <w:pPr>
        <w:pStyle w:val="Heading1"/>
      </w:pPr>
      <w:r>
        <w:t>6. SGBD, CDC, snapshots e exclusões</w:t>
      </w:r>
    </w:p>
    <w:p>
      <w:pPr/>
      <w:r>
        <w:t>CDC verdadeiro captura alterações a partir de um log ou mecanismo equivalente. Quando o banco não o oferece, a estratégia pode reproduzir diferenças de estados observados, mas não comprovar todas as operações realizadas entre duas fotografias.</w:t>
      </w:r>
    </w:p>
    <w:p>
      <w:pPr>
        <w:pStyle w:val="Heading2"/>
      </w:pPr>
      <w:r>
        <w:t>6.1 Matriz de captura</w:t>
      </w:r>
    </w:p>
    <w:tbl>
      <w:tblPr>
        <w:tblW w:type="auto" w:w="0"/>
        <w:jc w:val="center"/>
        <w:tblLayout w:type="fixed"/>
        <w:tblLook w:firstColumn="1" w:firstRow="1" w:lastColumn="0" w:lastRow="0" w:noHBand="0" w:noVBand="1" w:val="04A0"/>
      </w:tblPr>
      <w:tblGrid>
        <w:gridCol w:w="1757"/>
        <w:gridCol w:w="1191"/>
        <w:gridCol w:w="1191"/>
        <w:gridCol w:w="1247"/>
        <w:gridCol w:w="2948"/>
      </w:tblGrid>
      <w:tr>
        <w:trPr>
          <w:tblHeader w:val="true"/>
          <w:cantSplit/>
        </w:trPr>
        <w:tc>
          <w:tcPr>
            <w:tcW w:type="dxa" w:w="1911"/>
            <w:shd w:fill="142439"/>
            <w:tcMar>
              <w:top w:w="95" w:type="dxa"/>
              <w:start w:w="100" w:type="dxa"/>
              <w:bottom w:w="95" w:type="dxa"/>
              <w:end w:w="100" w:type="dxa"/>
            </w:tcMar>
          </w:tcPr>
          <w:p>
            <w:pPr>
              <w:spacing w:after="0"/>
            </w:pPr>
            <w:r>
              <w:rPr>
                <w:b/>
                <w:color w:val="FFFFFF"/>
                <w:sz w:val="16"/>
              </w:rPr>
              <w:t>Modo</w:t>
            </w:r>
          </w:p>
        </w:tc>
        <w:tc>
          <w:tcPr>
            <w:tcW w:type="dxa" w:w="1911"/>
            <w:shd w:fill="142439"/>
            <w:tcMar>
              <w:top w:w="95" w:type="dxa"/>
              <w:start w:w="100" w:type="dxa"/>
              <w:bottom w:w="95" w:type="dxa"/>
              <w:end w:w="100" w:type="dxa"/>
            </w:tcMar>
          </w:tcPr>
          <w:p>
            <w:pPr>
              <w:spacing w:after="0"/>
            </w:pPr>
            <w:r>
              <w:rPr>
                <w:b/>
                <w:color w:val="FFFFFF"/>
                <w:sz w:val="16"/>
              </w:rPr>
              <w:t>Detecta inserts</w:t>
            </w:r>
          </w:p>
        </w:tc>
        <w:tc>
          <w:tcPr>
            <w:tcW w:type="dxa" w:w="1911"/>
            <w:shd w:fill="142439"/>
            <w:tcMar>
              <w:top w:w="95" w:type="dxa"/>
              <w:start w:w="100" w:type="dxa"/>
              <w:bottom w:w="95" w:type="dxa"/>
              <w:end w:w="100" w:type="dxa"/>
            </w:tcMar>
          </w:tcPr>
          <w:p>
            <w:pPr>
              <w:spacing w:after="0"/>
            </w:pPr>
            <w:r>
              <w:rPr>
                <w:b/>
                <w:color w:val="FFFFFF"/>
                <w:sz w:val="16"/>
              </w:rPr>
              <w:t>Detecta updates</w:t>
            </w:r>
          </w:p>
        </w:tc>
        <w:tc>
          <w:tcPr>
            <w:tcW w:type="dxa" w:w="1911"/>
            <w:shd w:fill="142439"/>
            <w:tcMar>
              <w:top w:w="95" w:type="dxa"/>
              <w:start w:w="100" w:type="dxa"/>
              <w:bottom w:w="95" w:type="dxa"/>
              <w:end w:w="100" w:type="dxa"/>
            </w:tcMar>
          </w:tcPr>
          <w:p>
            <w:pPr>
              <w:spacing w:after="0"/>
            </w:pPr>
            <w:r>
              <w:rPr>
                <w:b/>
                <w:color w:val="FFFFFF"/>
                <w:sz w:val="16"/>
              </w:rPr>
              <w:t>Detecta hard deletes</w:t>
            </w:r>
          </w:p>
        </w:tc>
        <w:tc>
          <w:tcPr>
            <w:tcW w:type="dxa" w:w="1911"/>
            <w:shd w:fill="142439"/>
            <w:tcMar>
              <w:top w:w="95" w:type="dxa"/>
              <w:start w:w="100" w:type="dxa"/>
              <w:bottom w:w="95" w:type="dxa"/>
              <w:end w:w="100" w:type="dxa"/>
            </w:tcMar>
          </w:tcPr>
          <w:p>
            <w:pPr>
              <w:spacing w:after="0"/>
            </w:pPr>
            <w:r>
              <w:rPr>
                <w:b/>
                <w:color w:val="FFFFFF"/>
                <w:sz w:val="16"/>
              </w:rPr>
              <w:t>Limite fundamental</w:t>
            </w:r>
          </w:p>
        </w:tc>
      </w:tr>
      <w:tr>
        <w:trPr>
          <w:cantSplit/>
        </w:trPr>
        <w:tc>
          <w:tcPr>
            <w:tcW w:type="dxa" w:w="1757"/>
            <w:vAlign w:val="center"/>
            <w:tcMar>
              <w:top w:w="90" w:type="dxa"/>
              <w:start w:w="100" w:type="dxa"/>
              <w:bottom w:w="90" w:type="dxa"/>
              <w:end w:w="100" w:type="dxa"/>
            </w:tcMar>
            <w:tcBorders>
              <w:bottom w:val="single" w:sz="4" w:color="D9E1E6"/>
            </w:tcBorders>
          </w:tcPr>
          <w:p>
            <w:pPr>
              <w:spacing w:after="0" w:line="257" w:lineRule="auto"/>
            </w:pPr>
            <w:r>
              <w:rPr>
                <w:sz w:val="16"/>
              </w:rPr>
              <w:t>CDC com log</w:t>
            </w:r>
          </w:p>
        </w:tc>
        <w:tc>
          <w:tcPr>
            <w:tcW w:type="dxa" w:w="1191"/>
            <w:vAlign w:val="center"/>
            <w:tcMar>
              <w:top w:w="90" w:type="dxa"/>
              <w:start w:w="100" w:type="dxa"/>
              <w:bottom w:w="90" w:type="dxa"/>
              <w:end w:w="100" w:type="dxa"/>
            </w:tcMar>
            <w:tcBorders>
              <w:bottom w:val="single" w:sz="4" w:color="D9E1E6"/>
            </w:tcBorders>
          </w:tcPr>
          <w:p>
            <w:pPr>
              <w:spacing w:after="0" w:line="257" w:lineRule="auto"/>
            </w:pPr>
            <w:r>
              <w:rPr>
                <w:sz w:val="16"/>
              </w:rPr>
              <w:t>Sim</w:t>
            </w:r>
          </w:p>
        </w:tc>
        <w:tc>
          <w:tcPr>
            <w:tcW w:type="dxa" w:w="1191"/>
            <w:vAlign w:val="center"/>
            <w:tcMar>
              <w:top w:w="90" w:type="dxa"/>
              <w:start w:w="100" w:type="dxa"/>
              <w:bottom w:w="90" w:type="dxa"/>
              <w:end w:w="100" w:type="dxa"/>
            </w:tcMar>
            <w:tcBorders>
              <w:bottom w:val="single" w:sz="4" w:color="D9E1E6"/>
            </w:tcBorders>
          </w:tcPr>
          <w:p>
            <w:pPr>
              <w:spacing w:after="0" w:line="257" w:lineRule="auto"/>
            </w:pPr>
            <w:r>
              <w:rPr>
                <w:sz w:val="16"/>
              </w:rPr>
              <w:t>Sim</w:t>
            </w:r>
          </w:p>
        </w:tc>
        <w:tc>
          <w:tcPr>
            <w:tcW w:type="dxa" w:w="1247"/>
            <w:vAlign w:val="center"/>
            <w:tcMar>
              <w:top w:w="90" w:type="dxa"/>
              <w:start w:w="100" w:type="dxa"/>
              <w:bottom w:w="90" w:type="dxa"/>
              <w:end w:w="100" w:type="dxa"/>
            </w:tcMar>
            <w:tcBorders>
              <w:bottom w:val="single" w:sz="4" w:color="D9E1E6"/>
            </w:tcBorders>
          </w:tcPr>
          <w:p>
            <w:pPr>
              <w:spacing w:after="0" w:line="257" w:lineRule="auto"/>
            </w:pPr>
            <w:r>
              <w:rPr>
                <w:sz w:val="16"/>
              </w:rPr>
              <w:t>Sim, se disponibilizados</w:t>
            </w:r>
          </w:p>
        </w:tc>
        <w:tc>
          <w:tcPr>
            <w:tcW w:type="dxa" w:w="2948"/>
            <w:vAlign w:val="center"/>
            <w:tcMar>
              <w:top w:w="90" w:type="dxa"/>
              <w:start w:w="100" w:type="dxa"/>
              <w:bottom w:w="90" w:type="dxa"/>
              <w:end w:w="100" w:type="dxa"/>
            </w:tcMar>
            <w:tcBorders>
              <w:bottom w:val="single" w:sz="4" w:color="D9E1E6"/>
            </w:tcBorders>
          </w:tcPr>
          <w:p>
            <w:pPr>
              <w:spacing w:after="0" w:line="257" w:lineRule="auto"/>
            </w:pPr>
            <w:r>
              <w:rPr>
                <w:sz w:val="16"/>
              </w:rPr>
              <w:t>Retenção do log, compatibilidade e semântica do conector.</w:t>
            </w:r>
          </w:p>
        </w:tc>
      </w:tr>
      <w:tr>
        <w:trPr>
          <w:cantSplit/>
        </w:trPr>
        <w:tc>
          <w:tcPr>
            <w:tcW w:type="dxa" w:w="1757"/>
            <w:vAlign w:val="center"/>
            <w:tcMar>
              <w:top w:w="90" w:type="dxa"/>
              <w:start w:w="100" w:type="dxa"/>
              <w:bottom w:w="90" w:type="dxa"/>
              <w:end w:w="100" w:type="dxa"/>
            </w:tcMar>
            <w:shd w:fill="F3F6F8"/>
            <w:tcBorders>
              <w:bottom w:val="single" w:sz="4" w:color="D9E1E6"/>
            </w:tcBorders>
          </w:tcPr>
          <w:p>
            <w:pPr>
              <w:spacing w:after="0" w:line="257" w:lineRule="auto"/>
            </w:pPr>
            <w:r>
              <w:rPr>
                <w:sz w:val="16"/>
              </w:rPr>
              <w:t>Watermark por atualização</w:t>
            </w:r>
          </w:p>
        </w:tc>
        <w:tc>
          <w:tcPr>
            <w:tcW w:type="dxa" w:w="1191"/>
            <w:vAlign w:val="center"/>
            <w:tcMar>
              <w:top w:w="90" w:type="dxa"/>
              <w:start w:w="100" w:type="dxa"/>
              <w:bottom w:w="90" w:type="dxa"/>
              <w:end w:w="100" w:type="dxa"/>
            </w:tcMar>
            <w:shd w:fill="F3F6F8"/>
            <w:tcBorders>
              <w:bottom w:val="single" w:sz="4" w:color="D9E1E6"/>
            </w:tcBorders>
          </w:tcPr>
          <w:p>
            <w:pPr>
              <w:spacing w:after="0" w:line="257" w:lineRule="auto"/>
            </w:pPr>
            <w:r>
              <w:rPr>
                <w:sz w:val="16"/>
              </w:rPr>
              <w:t>Sim</w:t>
            </w:r>
          </w:p>
        </w:tc>
        <w:tc>
          <w:tcPr>
            <w:tcW w:type="dxa" w:w="1191"/>
            <w:vAlign w:val="center"/>
            <w:tcMar>
              <w:top w:w="90" w:type="dxa"/>
              <w:start w:w="100" w:type="dxa"/>
              <w:bottom w:w="90" w:type="dxa"/>
              <w:end w:w="100" w:type="dxa"/>
            </w:tcMar>
            <w:shd w:fill="F3F6F8"/>
            <w:tcBorders>
              <w:bottom w:val="single" w:sz="4" w:color="D9E1E6"/>
            </w:tcBorders>
          </w:tcPr>
          <w:p>
            <w:pPr>
              <w:spacing w:after="0" w:line="257" w:lineRule="auto"/>
            </w:pPr>
            <w:r>
              <w:rPr>
                <w:sz w:val="16"/>
              </w:rPr>
              <w:t>Sim, quando coluna confiável</w:t>
            </w:r>
          </w:p>
        </w:tc>
        <w:tc>
          <w:tcPr>
            <w:tcW w:type="dxa" w:w="1247"/>
            <w:vAlign w:val="center"/>
            <w:tcMar>
              <w:top w:w="90" w:type="dxa"/>
              <w:start w:w="100" w:type="dxa"/>
              <w:bottom w:w="90" w:type="dxa"/>
              <w:end w:w="100" w:type="dxa"/>
            </w:tcMar>
            <w:shd w:fill="F3F6F8"/>
            <w:tcBorders>
              <w:bottom w:val="single" w:sz="4" w:color="D9E1E6"/>
            </w:tcBorders>
          </w:tcPr>
          <w:p>
            <w:pPr>
              <w:spacing w:after="0" w:line="257" w:lineRule="auto"/>
            </w:pPr>
            <w:r>
              <w:rPr>
                <w:sz w:val="16"/>
              </w:rPr>
              <w:t>Não</w:t>
            </w:r>
          </w:p>
        </w:tc>
        <w:tc>
          <w:tcPr>
            <w:tcW w:type="dxa" w:w="2948"/>
            <w:vAlign w:val="center"/>
            <w:tcMar>
              <w:top w:w="90" w:type="dxa"/>
              <w:start w:w="100" w:type="dxa"/>
              <w:bottom w:w="90" w:type="dxa"/>
              <w:end w:w="100" w:type="dxa"/>
            </w:tcMar>
            <w:shd w:fill="F3F6F8"/>
            <w:tcBorders>
              <w:bottom w:val="single" w:sz="4" w:color="D9E1E6"/>
            </w:tcBorders>
          </w:tcPr>
          <w:p>
            <w:pPr>
              <w:spacing w:after="0" w:line="257" w:lineRule="auto"/>
            </w:pPr>
            <w:r>
              <w:rPr>
                <w:sz w:val="16"/>
              </w:rPr>
              <w:t>Updates sem timestamp ou deletes não aparecem.</w:t>
            </w:r>
          </w:p>
        </w:tc>
      </w:tr>
      <w:tr>
        <w:trPr>
          <w:cantSplit/>
        </w:trPr>
        <w:tc>
          <w:tcPr>
            <w:tcW w:type="dxa" w:w="1757"/>
            <w:vAlign w:val="center"/>
            <w:tcMar>
              <w:top w:w="90" w:type="dxa"/>
              <w:start w:w="100" w:type="dxa"/>
              <w:bottom w:w="90" w:type="dxa"/>
              <w:end w:w="100" w:type="dxa"/>
            </w:tcMar>
            <w:tcBorders>
              <w:bottom w:val="single" w:sz="4" w:color="D9E1E6"/>
            </w:tcBorders>
          </w:tcPr>
          <w:p>
            <w:pPr>
              <w:spacing w:after="0" w:line="257" w:lineRule="auto"/>
            </w:pPr>
            <w:r>
              <w:rPr>
                <w:sz w:val="16"/>
              </w:rPr>
              <w:t>Snapshots completos + diff</w:t>
            </w:r>
          </w:p>
        </w:tc>
        <w:tc>
          <w:tcPr>
            <w:tcW w:type="dxa" w:w="1191"/>
            <w:vAlign w:val="center"/>
            <w:tcMar>
              <w:top w:w="90" w:type="dxa"/>
              <w:start w:w="100" w:type="dxa"/>
              <w:bottom w:w="90" w:type="dxa"/>
              <w:end w:w="100" w:type="dxa"/>
            </w:tcMar>
            <w:tcBorders>
              <w:bottom w:val="single" w:sz="4" w:color="D9E1E6"/>
            </w:tcBorders>
          </w:tcPr>
          <w:p>
            <w:pPr>
              <w:spacing w:after="0" w:line="257" w:lineRule="auto"/>
            </w:pPr>
            <w:r>
              <w:rPr>
                <w:sz w:val="16"/>
              </w:rPr>
              <w:t>Sim</w:t>
            </w:r>
          </w:p>
        </w:tc>
        <w:tc>
          <w:tcPr>
            <w:tcW w:type="dxa" w:w="1191"/>
            <w:vAlign w:val="center"/>
            <w:tcMar>
              <w:top w:w="90" w:type="dxa"/>
              <w:start w:w="100" w:type="dxa"/>
              <w:bottom w:w="90" w:type="dxa"/>
              <w:end w:w="100" w:type="dxa"/>
            </w:tcMar>
            <w:tcBorders>
              <w:bottom w:val="single" w:sz="4" w:color="D9E1E6"/>
            </w:tcBorders>
          </w:tcPr>
          <w:p>
            <w:pPr>
              <w:spacing w:after="0" w:line="257" w:lineRule="auto"/>
            </w:pPr>
            <w:r>
              <w:rPr>
                <w:sz w:val="16"/>
              </w:rPr>
              <w:t>Sim, entre fotos</w:t>
            </w:r>
          </w:p>
        </w:tc>
        <w:tc>
          <w:tcPr>
            <w:tcW w:type="dxa" w:w="1247"/>
            <w:vAlign w:val="center"/>
            <w:tcMar>
              <w:top w:w="90" w:type="dxa"/>
              <w:start w:w="100" w:type="dxa"/>
              <w:bottom w:w="90" w:type="dxa"/>
              <w:end w:w="100" w:type="dxa"/>
            </w:tcMar>
            <w:tcBorders>
              <w:bottom w:val="single" w:sz="4" w:color="D9E1E6"/>
            </w:tcBorders>
          </w:tcPr>
          <w:p>
            <w:pPr>
              <w:spacing w:after="0" w:line="257" w:lineRule="auto"/>
            </w:pPr>
            <w:r>
              <w:rPr>
                <w:sz w:val="16"/>
              </w:rPr>
              <w:t>Sim, por ausência de chave</w:t>
            </w:r>
          </w:p>
        </w:tc>
        <w:tc>
          <w:tcPr>
            <w:tcW w:type="dxa" w:w="2948"/>
            <w:vAlign w:val="center"/>
            <w:tcMar>
              <w:top w:w="90" w:type="dxa"/>
              <w:start w:w="100" w:type="dxa"/>
              <w:bottom w:w="90" w:type="dxa"/>
              <w:end w:w="100" w:type="dxa"/>
            </w:tcMar>
            <w:tcBorders>
              <w:bottom w:val="single" w:sz="4" w:color="D9E1E6"/>
            </w:tcBorders>
          </w:tcPr>
          <w:p>
            <w:pPr>
              <w:spacing w:after="0" w:line="257" w:lineRule="auto"/>
            </w:pPr>
            <w:r>
              <w:rPr>
                <w:sz w:val="16"/>
              </w:rPr>
              <w:t>Estados transitórios entre fotos não são observáveis.</w:t>
            </w:r>
          </w:p>
        </w:tc>
      </w:tr>
      <w:tr>
        <w:trPr>
          <w:cantSplit/>
        </w:trPr>
        <w:tc>
          <w:tcPr>
            <w:tcW w:type="dxa" w:w="1757"/>
            <w:vAlign w:val="center"/>
            <w:tcMar>
              <w:top w:w="90" w:type="dxa"/>
              <w:start w:w="100" w:type="dxa"/>
              <w:bottom w:w="90" w:type="dxa"/>
              <w:end w:w="100" w:type="dxa"/>
            </w:tcMar>
            <w:shd w:fill="F3F6F8"/>
            <w:tcBorders>
              <w:bottom w:val="single" w:sz="4" w:color="D9E1E6"/>
            </w:tcBorders>
          </w:tcPr>
          <w:p>
            <w:pPr>
              <w:spacing w:after="0" w:line="257" w:lineRule="auto"/>
            </w:pPr>
            <w:r>
              <w:rPr>
                <w:sz w:val="16"/>
              </w:rPr>
              <w:t>Watermark + snapshot de chaves</w:t>
            </w:r>
          </w:p>
        </w:tc>
        <w:tc>
          <w:tcPr>
            <w:tcW w:type="dxa" w:w="1191"/>
            <w:vAlign w:val="center"/>
            <w:tcMar>
              <w:top w:w="90" w:type="dxa"/>
              <w:start w:w="100" w:type="dxa"/>
              <w:bottom w:w="90" w:type="dxa"/>
              <w:end w:w="100" w:type="dxa"/>
            </w:tcMar>
            <w:shd w:fill="F3F6F8"/>
            <w:tcBorders>
              <w:bottom w:val="single" w:sz="4" w:color="D9E1E6"/>
            </w:tcBorders>
          </w:tcPr>
          <w:p>
            <w:pPr>
              <w:spacing w:after="0" w:line="257" w:lineRule="auto"/>
            </w:pPr>
            <w:r>
              <w:rPr>
                <w:sz w:val="16"/>
              </w:rPr>
              <w:t>Sim</w:t>
            </w:r>
          </w:p>
        </w:tc>
        <w:tc>
          <w:tcPr>
            <w:tcW w:type="dxa" w:w="1191"/>
            <w:vAlign w:val="center"/>
            <w:tcMar>
              <w:top w:w="90" w:type="dxa"/>
              <w:start w:w="100" w:type="dxa"/>
              <w:bottom w:w="90" w:type="dxa"/>
              <w:end w:w="100" w:type="dxa"/>
            </w:tcMar>
            <w:shd w:fill="F3F6F8"/>
            <w:tcBorders>
              <w:bottom w:val="single" w:sz="4" w:color="D9E1E6"/>
            </w:tcBorders>
          </w:tcPr>
          <w:p>
            <w:pPr>
              <w:spacing w:after="0" w:line="257" w:lineRule="auto"/>
            </w:pPr>
            <w:r>
              <w:rPr>
                <w:sz w:val="16"/>
              </w:rPr>
              <w:t>Sim</w:t>
            </w:r>
          </w:p>
        </w:tc>
        <w:tc>
          <w:tcPr>
            <w:tcW w:type="dxa" w:w="1247"/>
            <w:vAlign w:val="center"/>
            <w:tcMar>
              <w:top w:w="90" w:type="dxa"/>
              <w:start w:w="100" w:type="dxa"/>
              <w:bottom w:w="90" w:type="dxa"/>
              <w:end w:w="100" w:type="dxa"/>
            </w:tcMar>
            <w:shd w:fill="F3F6F8"/>
            <w:tcBorders>
              <w:bottom w:val="single" w:sz="4" w:color="D9E1E6"/>
            </w:tcBorders>
          </w:tcPr>
          <w:p>
            <w:pPr>
              <w:spacing w:after="0" w:line="257" w:lineRule="auto"/>
            </w:pPr>
            <w:r>
              <w:rPr>
                <w:sz w:val="16"/>
              </w:rPr>
              <w:t>Detecta ausências na conferência</w:t>
            </w:r>
          </w:p>
        </w:tc>
        <w:tc>
          <w:tcPr>
            <w:tcW w:type="dxa" w:w="2948"/>
            <w:vAlign w:val="center"/>
            <w:tcMar>
              <w:top w:w="90" w:type="dxa"/>
              <w:start w:w="100" w:type="dxa"/>
              <w:bottom w:w="90" w:type="dxa"/>
              <w:end w:w="100" w:type="dxa"/>
            </w:tcMar>
            <w:shd w:fill="F3F6F8"/>
            <w:tcBorders>
              <w:bottom w:val="single" w:sz="4" w:color="D9E1E6"/>
            </w:tcBorders>
          </w:tcPr>
          <w:p>
            <w:pPr>
              <w:spacing w:after="0" w:line="257" w:lineRule="auto"/>
            </w:pPr>
            <w:r>
              <w:rPr>
                <w:sz w:val="16"/>
              </w:rPr>
              <w:t>Exige reconciliação periódica e snapshot de chaves completo.</w:t>
            </w:r>
          </w:p>
        </w:tc>
      </w:tr>
      <w:tr>
        <w:trPr>
          <w:cantSplit/>
        </w:trPr>
        <w:tc>
          <w:tcPr>
            <w:tcW w:type="dxa" w:w="1757"/>
            <w:vAlign w:val="center"/>
            <w:tcMar>
              <w:top w:w="90" w:type="dxa"/>
              <w:start w:w="100" w:type="dxa"/>
              <w:bottom w:w="90" w:type="dxa"/>
              <w:end w:w="100" w:type="dxa"/>
            </w:tcMar>
            <w:tcBorders>
              <w:bottom w:val="single" w:sz="4" w:color="D9E1E6"/>
            </w:tcBorders>
          </w:tcPr>
          <w:p>
            <w:pPr>
              <w:spacing w:after="0" w:line="257" w:lineRule="auto"/>
            </w:pPr>
            <w:r>
              <w:rPr>
                <w:sz w:val="16"/>
              </w:rPr>
              <w:t>Extrato full periódico</w:t>
            </w:r>
          </w:p>
        </w:tc>
        <w:tc>
          <w:tcPr>
            <w:tcW w:type="dxa" w:w="1191"/>
            <w:vAlign w:val="center"/>
            <w:tcMar>
              <w:top w:w="90" w:type="dxa"/>
              <w:start w:w="100" w:type="dxa"/>
              <w:bottom w:w="90" w:type="dxa"/>
              <w:end w:w="100" w:type="dxa"/>
            </w:tcMar>
            <w:tcBorders>
              <w:bottom w:val="single" w:sz="4" w:color="D9E1E6"/>
            </w:tcBorders>
          </w:tcPr>
          <w:p>
            <w:pPr>
              <w:spacing w:after="0" w:line="257" w:lineRule="auto"/>
            </w:pPr>
            <w:r>
              <w:rPr>
                <w:sz w:val="16"/>
              </w:rPr>
              <w:t>Sim</w:t>
            </w:r>
          </w:p>
        </w:tc>
        <w:tc>
          <w:tcPr>
            <w:tcW w:type="dxa" w:w="1191"/>
            <w:vAlign w:val="center"/>
            <w:tcMar>
              <w:top w:w="90" w:type="dxa"/>
              <w:start w:w="100" w:type="dxa"/>
              <w:bottom w:w="90" w:type="dxa"/>
              <w:end w:w="100" w:type="dxa"/>
            </w:tcMar>
            <w:tcBorders>
              <w:bottom w:val="single" w:sz="4" w:color="D9E1E6"/>
            </w:tcBorders>
          </w:tcPr>
          <w:p>
            <w:pPr>
              <w:spacing w:after="0" w:line="257" w:lineRule="auto"/>
            </w:pPr>
            <w:r>
              <w:rPr>
                <w:sz w:val="16"/>
              </w:rPr>
              <w:t>Sim, se comparado</w:t>
            </w:r>
          </w:p>
        </w:tc>
        <w:tc>
          <w:tcPr>
            <w:tcW w:type="dxa" w:w="1247"/>
            <w:vAlign w:val="center"/>
            <w:tcMar>
              <w:top w:w="90" w:type="dxa"/>
              <w:start w:w="100" w:type="dxa"/>
              <w:bottom w:w="90" w:type="dxa"/>
              <w:end w:w="100" w:type="dxa"/>
            </w:tcMar>
            <w:tcBorders>
              <w:bottom w:val="single" w:sz="4" w:color="D9E1E6"/>
            </w:tcBorders>
          </w:tcPr>
          <w:p>
            <w:pPr>
              <w:spacing w:after="0" w:line="257" w:lineRule="auto"/>
            </w:pPr>
            <w:r>
              <w:rPr>
                <w:sz w:val="16"/>
              </w:rPr>
              <w:t>Sim, se escopo for completo</w:t>
            </w:r>
          </w:p>
        </w:tc>
        <w:tc>
          <w:tcPr>
            <w:tcW w:type="dxa" w:w="2948"/>
            <w:vAlign w:val="center"/>
            <w:tcMar>
              <w:top w:w="90" w:type="dxa"/>
              <w:start w:w="100" w:type="dxa"/>
              <w:bottom w:w="90" w:type="dxa"/>
              <w:end w:w="100" w:type="dxa"/>
            </w:tcMar>
            <w:tcBorders>
              <w:bottom w:val="single" w:sz="4" w:color="D9E1E6"/>
            </w:tcBorders>
          </w:tcPr>
          <w:p>
            <w:pPr>
              <w:spacing w:after="0" w:line="257" w:lineRule="auto"/>
            </w:pPr>
            <w:r>
              <w:rPr>
                <w:sz w:val="16"/>
              </w:rPr>
              <w:t>Impacto e custo de transferir tudo.</w:t>
            </w:r>
          </w:p>
        </w:tc>
      </w:tr>
    </w:tbl>
    <w:p>
      <w:pPr>
        <w:spacing w:after="0"/>
      </w:pPr>
    </w:p>
    <w:p>
      <w:pPr>
        <w:pStyle w:val="Heading2"/>
      </w:pPr>
      <w:r>
        <w:t>6.2 Sequência temporal</w:t>
      </w:r>
    </w:p>
    <w:p>
      <w:pPr/>
      <w:r>
        <w:t>A plataforma deve distinguir source_event_at (tempo de negócio ou do evento), extracted_at (leitura), ingested_at (persistência) e sequence (ordem garantida da origem). Para CDC, uma posição do log ou número de sequência confiável prevalece sobre a ordem de chegada. Empates precisam de critério determinístico ou quarentena; não se deve inventar uma ordenação por timestamp não confiável.</w:t>
      </w:r>
    </w:p>
    <w:p>
      <w:pPr>
        <w:pStyle w:val="Heading2"/>
      </w:pPr>
      <w:r>
        <w:t>6.3 Deletes e snapshots</w:t>
      </w:r>
    </w:p>
    <w:p>
      <w:pPr/>
      <w:r>
        <w:t>Uma chave que desaparece de um snapshot completo pode indicar exclusão, desde que o contrato garanta que o snapshot cobre todo o universo da entidade. Se o extrato trouxer apenas clientes ativos, a ausência não prova delete: pode ser exclusão por filtro. Essa distinção será obrigatória nos testes de reconciliação.</w:t>
      </w:r>
    </w:p>
    <w:p>
      <w:pPr>
        <w:pStyle w:val="Heading2"/>
      </w:pPr>
      <w:r>
        <w:t>6.4 Recuperação da janela CDC</w:t>
      </w:r>
    </w:p>
    <w:p>
      <w:pPr/>
      <w:r>
        <w:t>Registrar posição/offset e último evento capturado. Se o log expirar antes da leitura, interromper a alegação de continuidade, abrir incidente, realizar novo baseline controlado e reconciliar tabelas dependentes. Um full refresh da tabela de destino não recupera eventos intermediários já perdidos; recompõe um estado, que deve ser rotulado como tal.</w:t>
      </w:r>
    </w:p>
    <w:p>
      <w:pPr>
        <w:pStyle w:val="Heading1"/>
      </w:pPr>
      <w:r>
        <w:t>7. Landing Zone: pouso transitório e íntegro</w:t>
      </w:r>
    </w:p>
    <w:p>
      <w:pPr/>
      <w:r>
        <w:t>A Landing preserva a representação originalmente entregue, em armazenamento de objetos ou volumes, com retenção curta e acesso restrito. Não executa joins, deduplicação semântica nem transformação de negócio. O preflight pode acontecer na recepção e ao atravessar para Bronze; cada estágio precisa possuir seu manifesto e resultado.</w:t>
      </w:r>
    </w:p>
    <w:p>
      <w:pPr>
        <w:pStyle w:val="Heading2"/>
      </w:pPr>
      <w:r>
        <w:t>7.1 Contrato operacional da Landing</w:t>
      </w:r>
    </w:p>
    <w:p>
      <w:pPr>
        <w:pStyle w:val="ListBullet"/>
      </w:pPr>
      <w:r>
        <w:t>Objeto imutável: nova correção resulta em novo caminho e novo batch_id, sem editar in-place.</w:t>
      </w:r>
    </w:p>
    <w:p>
      <w:pPr>
        <w:pStyle w:val="ListBullet"/>
      </w:pPr>
      <w:r>
        <w:t>Retenção de referência: 15 a 30 dias após confirmação de persistência e aceite, parametrizável por dataset.</w:t>
      </w:r>
    </w:p>
    <w:p>
      <w:pPr>
        <w:pStyle w:val="ListBullet"/>
      </w:pPr>
      <w:r>
        <w:t>Política de ciclo de vida com bloqueio por incidente aberto, litígio, obrigação regulatória ou reprocessamento pendente.</w:t>
      </w:r>
    </w:p>
    <w:p>
      <w:pPr>
        <w:pStyle w:val="ListBullet"/>
      </w:pPr>
      <w:r>
        <w:t>Sem seleção exclusiva por last-modified; a unidade de ingestão é um manifesto/arquivo identificado e controlado.</w:t>
      </w:r>
    </w:p>
    <w:p>
      <w:pPr>
        <w:pStyle w:val="ListBullet"/>
      </w:pPr>
      <w:r>
        <w:t>Permissões mínimas de escrita por identidade automatizada; leitura controlada e auditoria.</w:t>
      </w:r>
    </w:p>
    <w:p>
      <w:pPr>
        <w:pStyle w:val="ListBullet"/>
      </w:pPr>
      <w:r>
        <w:t>Registro de encoding, delimitador, tamanho, hash, nome original, caminho, status e versão do contrato.</w:t>
      </w:r>
    </w:p>
    <w:p>
      <w:pPr>
        <w:pStyle w:val="Heading2"/>
      </w:pPr>
      <w:r>
        <w:t>7.2 Critérios para rejeitar arquivo inteiro</w:t>
      </w:r>
    </w:p>
    <w:p>
      <w:pPr/>
      <w:r>
        <w:t>Arquivo vazio quando proibido, formato incompatível, malware detectado, cabeçalho estruturalmente inválido, lote incompleto, hash divergente, assinatura inválida ou codificação não suportada. Erros de tipagem em registros não exigem rejeição de todo o arquivo se houver parser capaz de preservar os registros brutos e desviar somente as linhas problemáticas.</w:t>
      </w:r>
    </w:p>
    <w:p>
      <w:pPr>
        <w:pStyle w:val="Heading1"/>
      </w:pPr>
      <w:r>
        <w:t>8. Bronze: evidência bruta e histórico reproduzível</w:t>
      </w:r>
    </w:p>
    <w:p>
      <w:pPr/>
      <w:r>
        <w:t>A Bronze é uma representação auditável do que a plataforma observou nas fontes. Append-only é a política preferencial para os registros de captura, pois permite reconstruções futuras, sem confundir estado atual com sequência de eventos. O desenho físico deve respeitar o formato: arquivo bruto, snapshot identificável, CDC e payload semiestruturado são evidências com semânticas diferentes.</w:t>
      </w:r>
    </w:p>
    <w:p>
      <w:pPr>
        <w:pStyle w:val="Heading2"/>
      </w:pPr>
      <w:r>
        <w:t>8.1 O que entra e o que não entra</w:t>
      </w:r>
    </w:p>
    <w:tbl>
      <w:tblPr>
        <w:tblW w:type="auto" w:w="0"/>
        <w:jc w:val="center"/>
        <w:tblLayout w:type="fixed"/>
        <w:tblLook w:firstColumn="1" w:firstRow="1" w:lastColumn="0" w:lastRow="0" w:noHBand="0" w:noVBand="1" w:val="04A0"/>
      </w:tblPr>
      <w:tblGrid>
        <w:gridCol w:w="3969"/>
        <w:gridCol w:w="4365"/>
      </w:tblGrid>
      <w:tr>
        <w:trPr>
          <w:tblHeader w:val="true"/>
          <w:cantSplit/>
        </w:trPr>
        <w:tc>
          <w:tcPr>
            <w:tcW w:type="dxa" w:w="4776"/>
            <w:shd w:fill="142439"/>
            <w:tcMar>
              <w:top w:w="95" w:type="dxa"/>
              <w:start w:w="100" w:type="dxa"/>
              <w:bottom w:w="95" w:type="dxa"/>
              <w:end w:w="100" w:type="dxa"/>
            </w:tcMar>
          </w:tcPr>
          <w:p>
            <w:pPr>
              <w:spacing w:after="0"/>
            </w:pPr>
            <w:r>
              <w:rPr>
                <w:b/>
                <w:color w:val="FFFFFF"/>
                <w:sz w:val="16"/>
              </w:rPr>
              <w:t>Permitido</w:t>
            </w:r>
          </w:p>
        </w:tc>
        <w:tc>
          <w:tcPr>
            <w:tcW w:type="dxa" w:w="4776"/>
            <w:shd w:fill="142439"/>
            <w:tcMar>
              <w:top w:w="95" w:type="dxa"/>
              <w:start w:w="100" w:type="dxa"/>
              <w:bottom w:w="95" w:type="dxa"/>
              <w:end w:w="100" w:type="dxa"/>
            </w:tcMar>
          </w:tcPr>
          <w:p>
            <w:pPr>
              <w:spacing w:after="0"/>
            </w:pPr>
            <w:r>
              <w:rPr>
                <w:b/>
                <w:color w:val="FFFFFF"/>
                <w:sz w:val="16"/>
              </w:rPr>
              <w:t>Não permitido como comportamento padrão</w:t>
            </w:r>
          </w:p>
        </w:tc>
      </w:tr>
      <w:tr>
        <w:trPr>
          <w:cantSplit/>
        </w:trPr>
        <w:tc>
          <w:tcPr>
            <w:tcW w:type="dxa" w:w="3969"/>
            <w:vAlign w:val="center"/>
            <w:tcMar>
              <w:top w:w="90" w:type="dxa"/>
              <w:start w:w="100" w:type="dxa"/>
              <w:bottom w:w="90" w:type="dxa"/>
              <w:end w:w="100" w:type="dxa"/>
            </w:tcMar>
            <w:tcBorders>
              <w:bottom w:val="single" w:sz="4" w:color="D9E1E6"/>
            </w:tcBorders>
          </w:tcPr>
          <w:p>
            <w:pPr>
              <w:spacing w:after="0" w:line="257" w:lineRule="auto"/>
            </w:pPr>
            <w:r>
              <w:rPr>
                <w:sz w:val="16"/>
              </w:rPr>
              <w:t>Normalização mínima de nomes técnicos, metadados e serialização preservadora</w:t>
            </w:r>
          </w:p>
        </w:tc>
        <w:tc>
          <w:tcPr>
            <w:tcW w:type="dxa" w:w="4365"/>
            <w:vAlign w:val="center"/>
            <w:tcMar>
              <w:top w:w="90" w:type="dxa"/>
              <w:start w:w="100" w:type="dxa"/>
              <w:bottom w:w="90" w:type="dxa"/>
              <w:end w:w="100" w:type="dxa"/>
            </w:tcMar>
            <w:tcBorders>
              <w:bottom w:val="single" w:sz="4" w:color="D9E1E6"/>
            </w:tcBorders>
          </w:tcPr>
          <w:p>
            <w:pPr>
              <w:spacing w:after="0" w:line="257" w:lineRule="auto"/>
            </w:pPr>
            <w:r>
              <w:rPr>
                <w:sz w:val="16"/>
              </w:rPr>
              <w:t>Exclusão silenciosa de linhas inválidas ou inesperadas</w:t>
            </w:r>
          </w:p>
        </w:tc>
      </w:tr>
      <w:tr>
        <w:trPr>
          <w:cantSplit/>
        </w:trPr>
        <w:tc>
          <w:tcPr>
            <w:tcW w:type="dxa" w:w="3969"/>
            <w:vAlign w:val="center"/>
            <w:tcMar>
              <w:top w:w="90" w:type="dxa"/>
              <w:start w:w="100" w:type="dxa"/>
              <w:bottom w:w="90" w:type="dxa"/>
              <w:end w:w="100" w:type="dxa"/>
            </w:tcMar>
            <w:shd w:fill="F3F6F8"/>
            <w:tcBorders>
              <w:bottom w:val="single" w:sz="4" w:color="D9E1E6"/>
            </w:tcBorders>
          </w:tcPr>
          <w:p>
            <w:pPr>
              <w:spacing w:after="0" w:line="257" w:lineRule="auto"/>
            </w:pPr>
            <w:r>
              <w:rPr>
                <w:sz w:val="16"/>
              </w:rPr>
              <w:t>Colunas técnicas de rastreabilidade e ID de captura</w:t>
            </w:r>
          </w:p>
        </w:tc>
        <w:tc>
          <w:tcPr>
            <w:tcW w:type="dxa" w:w="4365"/>
            <w:vAlign w:val="center"/>
            <w:tcMar>
              <w:top w:w="90" w:type="dxa"/>
              <w:start w:w="100" w:type="dxa"/>
              <w:bottom w:w="90" w:type="dxa"/>
              <w:end w:w="100" w:type="dxa"/>
            </w:tcMar>
            <w:shd w:fill="F3F6F8"/>
            <w:tcBorders>
              <w:bottom w:val="single" w:sz="4" w:color="D9E1E6"/>
            </w:tcBorders>
          </w:tcPr>
          <w:p>
            <w:pPr>
              <w:spacing w:after="0" w:line="257" w:lineRule="auto"/>
            </w:pPr>
            <w:r>
              <w:rPr>
                <w:sz w:val="16"/>
              </w:rPr>
              <w:t>Filtros de negócio que alterem o universo recebido</w:t>
            </w:r>
          </w:p>
        </w:tc>
      </w:tr>
      <w:tr>
        <w:trPr>
          <w:cantSplit/>
        </w:trPr>
        <w:tc>
          <w:tcPr>
            <w:tcW w:type="dxa" w:w="3969"/>
            <w:vAlign w:val="center"/>
            <w:tcMar>
              <w:top w:w="90" w:type="dxa"/>
              <w:start w:w="100" w:type="dxa"/>
              <w:bottom w:w="90" w:type="dxa"/>
              <w:end w:w="100" w:type="dxa"/>
            </w:tcMar>
            <w:tcBorders>
              <w:bottom w:val="single" w:sz="4" w:color="D9E1E6"/>
            </w:tcBorders>
          </w:tcPr>
          <w:p>
            <w:pPr>
              <w:spacing w:after="0" w:line="257" w:lineRule="auto"/>
            </w:pPr>
            <w:r>
              <w:rPr>
                <w:sz w:val="16"/>
              </w:rPr>
              <w:t>Conservação de payload original ou atributos crus</w:t>
            </w:r>
          </w:p>
        </w:tc>
        <w:tc>
          <w:tcPr>
            <w:tcW w:type="dxa" w:w="4365"/>
            <w:vAlign w:val="center"/>
            <w:tcMar>
              <w:top w:w="90" w:type="dxa"/>
              <w:start w:w="100" w:type="dxa"/>
              <w:bottom w:w="90" w:type="dxa"/>
              <w:end w:w="100" w:type="dxa"/>
            </w:tcMar>
            <w:tcBorders>
              <w:bottom w:val="single" w:sz="4" w:color="D9E1E6"/>
            </w:tcBorders>
          </w:tcPr>
          <w:p>
            <w:pPr>
              <w:spacing w:after="0" w:line="257" w:lineRule="auto"/>
            </w:pPr>
            <w:r>
              <w:rPr>
                <w:sz w:val="16"/>
              </w:rPr>
              <w:t>Deduplicação que destrua eventos distintos sem evidência</w:t>
            </w:r>
          </w:p>
        </w:tc>
      </w:tr>
      <w:tr>
        <w:trPr>
          <w:cantSplit/>
        </w:trPr>
        <w:tc>
          <w:tcPr>
            <w:tcW w:type="dxa" w:w="3969"/>
            <w:vAlign w:val="center"/>
            <w:tcMar>
              <w:top w:w="90" w:type="dxa"/>
              <w:start w:w="100" w:type="dxa"/>
              <w:bottom w:w="90" w:type="dxa"/>
              <w:end w:w="100" w:type="dxa"/>
            </w:tcMar>
            <w:shd w:fill="F3F6F8"/>
            <w:tcBorders>
              <w:bottom w:val="single" w:sz="4" w:color="D9E1E6"/>
            </w:tcBorders>
          </w:tcPr>
          <w:p>
            <w:pPr>
              <w:spacing w:after="0" w:line="257" w:lineRule="auto"/>
            </w:pPr>
            <w:r>
              <w:rPr>
                <w:sz w:val="16"/>
              </w:rPr>
              <w:t>Estrutura de snapshot, versão e operação da origem</w:t>
            </w:r>
          </w:p>
        </w:tc>
        <w:tc>
          <w:tcPr>
            <w:tcW w:type="dxa" w:w="4365"/>
            <w:vAlign w:val="center"/>
            <w:tcMar>
              <w:top w:w="90" w:type="dxa"/>
              <w:start w:w="100" w:type="dxa"/>
              <w:bottom w:w="90" w:type="dxa"/>
              <w:end w:w="100" w:type="dxa"/>
            </w:tcMar>
            <w:shd w:fill="F3F6F8"/>
            <w:tcBorders>
              <w:bottom w:val="single" w:sz="4" w:color="D9E1E6"/>
            </w:tcBorders>
          </w:tcPr>
          <w:p>
            <w:pPr>
              <w:spacing w:after="0" w:line="257" w:lineRule="auto"/>
            </w:pPr>
            <w:r>
              <w:rPr>
                <w:sz w:val="16"/>
              </w:rPr>
              <w:t>MERGE que apague o passado de capturas como único armazenamento</w:t>
            </w:r>
          </w:p>
        </w:tc>
      </w:tr>
    </w:tbl>
    <w:p>
      <w:pPr>
        <w:spacing w:after="0"/>
      </w:pPr>
    </w:p>
    <w:p>
      <w:pPr>
        <w:pStyle w:val="Heading2"/>
      </w:pPr>
      <w:r>
        <w:t>8.2 Tipagem e formatos</w:t>
      </w:r>
    </w:p>
    <w:p>
      <w:pPr/>
      <w:r>
        <w:t>A leitura de CSV/JSON/XML costuma se beneficiar de colunas textuais na Bronze para evitar inferência inconstante, mantendo payload integral quando viável. Em Parquet/Avro e fontes CDC com tipagem estável, preservar tipos estruturados e metadados pode dar maior fidelidade. Campos binários são preservados como bytes/objetos ou referência rastreável, não convertidos indiscriminadamente em texto.</w:t>
      </w:r>
    </w:p>
    <w:p>
      <w:pPr>
        <w:pStyle w:val="Heading2"/>
      </w:pPr>
      <w:r>
        <w:t>8.3 Metadados recomendados</w:t>
      </w:r>
    </w:p>
    <w:tbl>
      <w:tblPr>
        <w:tblW w:type="auto" w:w="0"/>
        <w:jc w:val="center"/>
        <w:tblLayout w:type="fixed"/>
        <w:tblLook w:firstColumn="1" w:firstRow="1" w:lastColumn="0" w:lastRow="0" w:noHBand="0" w:noVBand="1" w:val="04A0"/>
      </w:tblPr>
      <w:tblGrid>
        <w:gridCol w:w="2948"/>
        <w:gridCol w:w="5386"/>
      </w:tblGrid>
      <w:tr>
        <w:trPr>
          <w:tblHeader w:val="true"/>
          <w:cantSplit/>
        </w:trPr>
        <w:tc>
          <w:tcPr>
            <w:tcW w:type="dxa" w:w="4776"/>
            <w:shd w:fill="142439"/>
            <w:tcMar>
              <w:top w:w="95" w:type="dxa"/>
              <w:start w:w="100" w:type="dxa"/>
              <w:bottom w:w="95" w:type="dxa"/>
              <w:end w:w="100" w:type="dxa"/>
            </w:tcMar>
          </w:tcPr>
          <w:p>
            <w:pPr>
              <w:spacing w:after="0"/>
            </w:pPr>
            <w:r>
              <w:rPr>
                <w:b/>
                <w:color w:val="FFFFFF"/>
                <w:sz w:val="16"/>
              </w:rPr>
              <w:t>Campo</w:t>
            </w:r>
          </w:p>
        </w:tc>
        <w:tc>
          <w:tcPr>
            <w:tcW w:type="dxa" w:w="4776"/>
            <w:shd w:fill="142439"/>
            <w:tcMar>
              <w:top w:w="95" w:type="dxa"/>
              <w:start w:w="100" w:type="dxa"/>
              <w:bottom w:w="95" w:type="dxa"/>
              <w:end w:w="100" w:type="dxa"/>
            </w:tcMar>
          </w:tcPr>
          <w:p>
            <w:pPr>
              <w:spacing w:after="0"/>
            </w:pPr>
            <w:r>
              <w:rPr>
                <w:b/>
                <w:color w:val="FFFFFF"/>
                <w:sz w:val="16"/>
              </w:rPr>
              <w:t>Significado</w:t>
            </w:r>
          </w:p>
        </w:tc>
      </w:tr>
      <w:tr>
        <w:trPr>
          <w:cantSplit/>
        </w:trPr>
        <w:tc>
          <w:tcPr>
            <w:tcW w:type="dxa" w:w="2948"/>
            <w:vAlign w:val="center"/>
            <w:tcMar>
              <w:top w:w="90" w:type="dxa"/>
              <w:start w:w="100" w:type="dxa"/>
              <w:bottom w:w="90" w:type="dxa"/>
              <w:end w:w="100" w:type="dxa"/>
            </w:tcMar>
            <w:tcBorders>
              <w:bottom w:val="single" w:sz="4" w:color="D9E1E6"/>
            </w:tcBorders>
          </w:tcPr>
          <w:p>
            <w:pPr>
              <w:spacing w:after="0" w:line="257" w:lineRule="auto"/>
            </w:pPr>
            <w:r>
              <w:rPr>
                <w:sz w:val="16"/>
              </w:rPr>
              <w:t>ingestion_id / batch_id</w:t>
            </w:r>
          </w:p>
        </w:tc>
        <w:tc>
          <w:tcPr>
            <w:tcW w:type="dxa" w:w="5386"/>
            <w:vAlign w:val="center"/>
            <w:tcMar>
              <w:top w:w="90" w:type="dxa"/>
              <w:start w:w="100" w:type="dxa"/>
              <w:bottom w:w="90" w:type="dxa"/>
              <w:end w:w="100" w:type="dxa"/>
            </w:tcMar>
            <w:tcBorders>
              <w:bottom w:val="single" w:sz="4" w:color="D9E1E6"/>
            </w:tcBorders>
          </w:tcPr>
          <w:p>
            <w:pPr>
              <w:spacing w:after="0" w:line="257" w:lineRule="auto"/>
            </w:pPr>
            <w:r>
              <w:rPr>
                <w:sz w:val="16"/>
              </w:rPr>
              <w:t>Execução e lote lógico de origem</w:t>
            </w:r>
          </w:p>
        </w:tc>
      </w:tr>
      <w:tr>
        <w:trPr>
          <w:cantSplit/>
        </w:trPr>
        <w:tc>
          <w:tcPr>
            <w:tcW w:type="dxa" w:w="2948"/>
            <w:vAlign w:val="center"/>
            <w:tcMar>
              <w:top w:w="90" w:type="dxa"/>
              <w:start w:w="100" w:type="dxa"/>
              <w:bottom w:w="90" w:type="dxa"/>
              <w:end w:w="100" w:type="dxa"/>
            </w:tcMar>
            <w:shd w:fill="F3F6F8"/>
            <w:tcBorders>
              <w:bottom w:val="single" w:sz="4" w:color="D9E1E6"/>
            </w:tcBorders>
          </w:tcPr>
          <w:p>
            <w:pPr>
              <w:spacing w:after="0" w:line="257" w:lineRule="auto"/>
            </w:pPr>
            <w:r>
              <w:rPr>
                <w:sz w:val="16"/>
              </w:rPr>
              <w:t>source_id / dataset_id</w:t>
            </w:r>
          </w:p>
        </w:tc>
        <w:tc>
          <w:tcPr>
            <w:tcW w:type="dxa" w:w="5386"/>
            <w:vAlign w:val="center"/>
            <w:tcMar>
              <w:top w:w="90" w:type="dxa"/>
              <w:start w:w="100" w:type="dxa"/>
              <w:bottom w:w="90" w:type="dxa"/>
              <w:end w:w="100" w:type="dxa"/>
            </w:tcMar>
            <w:shd w:fill="F3F6F8"/>
            <w:tcBorders>
              <w:bottom w:val="single" w:sz="4" w:color="D9E1E6"/>
            </w:tcBorders>
          </w:tcPr>
          <w:p>
            <w:pPr>
              <w:spacing w:after="0" w:line="257" w:lineRule="auto"/>
            </w:pPr>
            <w:r>
              <w:rPr>
                <w:sz w:val="16"/>
              </w:rPr>
              <w:t>Identidade estável da fonte e da entidade</w:t>
            </w:r>
          </w:p>
        </w:tc>
      </w:tr>
      <w:tr>
        <w:trPr>
          <w:cantSplit/>
        </w:trPr>
        <w:tc>
          <w:tcPr>
            <w:tcW w:type="dxa" w:w="2948"/>
            <w:vAlign w:val="center"/>
            <w:tcMar>
              <w:top w:w="90" w:type="dxa"/>
              <w:start w:w="100" w:type="dxa"/>
              <w:bottom w:w="90" w:type="dxa"/>
              <w:end w:w="100" w:type="dxa"/>
            </w:tcMar>
            <w:tcBorders>
              <w:bottom w:val="single" w:sz="4" w:color="D9E1E6"/>
            </w:tcBorders>
          </w:tcPr>
          <w:p>
            <w:pPr>
              <w:spacing w:after="0" w:line="257" w:lineRule="auto"/>
            </w:pPr>
            <w:r>
              <w:rPr>
                <w:sz w:val="16"/>
              </w:rPr>
              <w:t>ingested_at / extracted_at</w:t>
            </w:r>
          </w:p>
        </w:tc>
        <w:tc>
          <w:tcPr>
            <w:tcW w:type="dxa" w:w="5386"/>
            <w:vAlign w:val="center"/>
            <w:tcMar>
              <w:top w:w="90" w:type="dxa"/>
              <w:start w:w="100" w:type="dxa"/>
              <w:bottom w:w="90" w:type="dxa"/>
              <w:end w:w="100" w:type="dxa"/>
            </w:tcMar>
            <w:tcBorders>
              <w:bottom w:val="single" w:sz="4" w:color="D9E1E6"/>
            </w:tcBorders>
          </w:tcPr>
          <w:p>
            <w:pPr>
              <w:spacing w:after="0" w:line="257" w:lineRule="auto"/>
            </w:pPr>
            <w:r>
              <w:rPr>
                <w:sz w:val="16"/>
              </w:rPr>
              <w:t>Horários de persistência e extração</w:t>
            </w:r>
          </w:p>
        </w:tc>
      </w:tr>
      <w:tr>
        <w:trPr>
          <w:cantSplit/>
        </w:trPr>
        <w:tc>
          <w:tcPr>
            <w:tcW w:type="dxa" w:w="2948"/>
            <w:vAlign w:val="center"/>
            <w:tcMar>
              <w:top w:w="90" w:type="dxa"/>
              <w:start w:w="100" w:type="dxa"/>
              <w:bottom w:w="90" w:type="dxa"/>
              <w:end w:w="100" w:type="dxa"/>
            </w:tcMar>
            <w:shd w:fill="F3F6F8"/>
            <w:tcBorders>
              <w:bottom w:val="single" w:sz="4" w:color="D9E1E6"/>
            </w:tcBorders>
          </w:tcPr>
          <w:p>
            <w:pPr>
              <w:spacing w:after="0" w:line="257" w:lineRule="auto"/>
            </w:pPr>
            <w:r>
              <w:rPr>
                <w:sz w:val="16"/>
              </w:rPr>
              <w:t>source_event_at / source_position</w:t>
            </w:r>
          </w:p>
        </w:tc>
        <w:tc>
          <w:tcPr>
            <w:tcW w:type="dxa" w:w="5386"/>
            <w:vAlign w:val="center"/>
            <w:tcMar>
              <w:top w:w="90" w:type="dxa"/>
              <w:start w:w="100" w:type="dxa"/>
              <w:bottom w:w="90" w:type="dxa"/>
              <w:end w:w="100" w:type="dxa"/>
            </w:tcMar>
            <w:shd w:fill="F3F6F8"/>
            <w:tcBorders>
              <w:bottom w:val="single" w:sz="4" w:color="D9E1E6"/>
            </w:tcBorders>
          </w:tcPr>
          <w:p>
            <w:pPr>
              <w:spacing w:after="0" w:line="257" w:lineRule="auto"/>
            </w:pPr>
            <w:r>
              <w:rPr>
                <w:sz w:val="16"/>
              </w:rPr>
              <w:t>Tempo e ordenação da mudança, quando existem</w:t>
            </w:r>
          </w:p>
        </w:tc>
      </w:tr>
      <w:tr>
        <w:trPr>
          <w:cantSplit/>
        </w:trPr>
        <w:tc>
          <w:tcPr>
            <w:tcW w:type="dxa" w:w="2948"/>
            <w:vAlign w:val="center"/>
            <w:tcMar>
              <w:top w:w="90" w:type="dxa"/>
              <w:start w:w="100" w:type="dxa"/>
              <w:bottom w:w="90" w:type="dxa"/>
              <w:end w:w="100" w:type="dxa"/>
            </w:tcMar>
            <w:tcBorders>
              <w:bottom w:val="single" w:sz="4" w:color="D9E1E6"/>
            </w:tcBorders>
          </w:tcPr>
          <w:p>
            <w:pPr>
              <w:spacing w:after="0" w:line="257" w:lineRule="auto"/>
            </w:pPr>
            <w:r>
              <w:rPr>
                <w:sz w:val="16"/>
              </w:rPr>
              <w:t>source_path / file_id / file_hash</w:t>
            </w:r>
          </w:p>
        </w:tc>
        <w:tc>
          <w:tcPr>
            <w:tcW w:type="dxa" w:w="5386"/>
            <w:vAlign w:val="center"/>
            <w:tcMar>
              <w:top w:w="90" w:type="dxa"/>
              <w:start w:w="100" w:type="dxa"/>
              <w:bottom w:w="90" w:type="dxa"/>
              <w:end w:w="100" w:type="dxa"/>
            </w:tcMar>
            <w:tcBorders>
              <w:bottom w:val="single" w:sz="4" w:color="D9E1E6"/>
            </w:tcBorders>
          </w:tcPr>
          <w:p>
            <w:pPr>
              <w:spacing w:after="0" w:line="257" w:lineRule="auto"/>
            </w:pPr>
            <w:r>
              <w:rPr>
                <w:sz w:val="16"/>
              </w:rPr>
              <w:t>Evidência do objeto e identificação física</w:t>
            </w:r>
          </w:p>
        </w:tc>
      </w:tr>
      <w:tr>
        <w:trPr>
          <w:cantSplit/>
        </w:trPr>
        <w:tc>
          <w:tcPr>
            <w:tcW w:type="dxa" w:w="2948"/>
            <w:vAlign w:val="center"/>
            <w:tcMar>
              <w:top w:w="90" w:type="dxa"/>
              <w:start w:w="100" w:type="dxa"/>
              <w:bottom w:w="90" w:type="dxa"/>
              <w:end w:w="100" w:type="dxa"/>
            </w:tcMar>
            <w:shd w:fill="F3F6F8"/>
            <w:tcBorders>
              <w:bottom w:val="single" w:sz="4" w:color="D9E1E6"/>
            </w:tcBorders>
          </w:tcPr>
          <w:p>
            <w:pPr>
              <w:spacing w:after="0" w:line="257" w:lineRule="auto"/>
            </w:pPr>
            <w:r>
              <w:rPr>
                <w:sz w:val="16"/>
              </w:rPr>
              <w:t>operation / snapshot_version</w:t>
            </w:r>
          </w:p>
        </w:tc>
        <w:tc>
          <w:tcPr>
            <w:tcW w:type="dxa" w:w="5386"/>
            <w:vAlign w:val="center"/>
            <w:tcMar>
              <w:top w:w="90" w:type="dxa"/>
              <w:start w:w="100" w:type="dxa"/>
              <w:bottom w:w="90" w:type="dxa"/>
              <w:end w:w="100" w:type="dxa"/>
            </w:tcMar>
            <w:shd w:fill="F3F6F8"/>
            <w:tcBorders>
              <w:bottom w:val="single" w:sz="4" w:color="D9E1E6"/>
            </w:tcBorders>
          </w:tcPr>
          <w:p>
            <w:pPr>
              <w:spacing w:after="0" w:line="257" w:lineRule="auto"/>
            </w:pPr>
            <w:r>
              <w:rPr>
                <w:sz w:val="16"/>
              </w:rPr>
              <w:t>Inserção/alteração/exclusão ou versão da fotografia</w:t>
            </w:r>
          </w:p>
        </w:tc>
      </w:tr>
      <w:tr>
        <w:trPr>
          <w:cantSplit/>
        </w:trPr>
        <w:tc>
          <w:tcPr>
            <w:tcW w:type="dxa" w:w="2948"/>
            <w:vAlign w:val="center"/>
            <w:tcMar>
              <w:top w:w="90" w:type="dxa"/>
              <w:start w:w="100" w:type="dxa"/>
              <w:bottom w:w="90" w:type="dxa"/>
              <w:end w:w="100" w:type="dxa"/>
            </w:tcMar>
            <w:tcBorders>
              <w:bottom w:val="single" w:sz="4" w:color="D9E1E6"/>
            </w:tcBorders>
          </w:tcPr>
          <w:p>
            <w:pPr>
              <w:spacing w:after="0" w:line="257" w:lineRule="auto"/>
            </w:pPr>
            <w:r>
              <w:rPr>
                <w:sz w:val="16"/>
              </w:rPr>
              <w:t>row_hash / contract_version</w:t>
            </w:r>
          </w:p>
        </w:tc>
        <w:tc>
          <w:tcPr>
            <w:tcW w:type="dxa" w:w="5386"/>
            <w:vAlign w:val="center"/>
            <w:tcMar>
              <w:top w:w="90" w:type="dxa"/>
              <w:start w:w="100" w:type="dxa"/>
              <w:bottom w:w="90" w:type="dxa"/>
              <w:end w:w="100" w:type="dxa"/>
            </w:tcMar>
            <w:tcBorders>
              <w:bottom w:val="single" w:sz="4" w:color="D9E1E6"/>
            </w:tcBorders>
          </w:tcPr>
          <w:p>
            <w:pPr>
              <w:spacing w:after="0" w:line="257" w:lineRule="auto"/>
            </w:pPr>
            <w:r>
              <w:rPr>
                <w:sz w:val="16"/>
              </w:rPr>
              <w:t>Assinatura canônica da linha e esquema/regras usados</w:t>
            </w:r>
          </w:p>
        </w:tc>
      </w:tr>
      <w:tr>
        <w:trPr>
          <w:cantSplit/>
        </w:trPr>
        <w:tc>
          <w:tcPr>
            <w:tcW w:type="dxa" w:w="2948"/>
            <w:vAlign w:val="center"/>
            <w:tcMar>
              <w:top w:w="90" w:type="dxa"/>
              <w:start w:w="100" w:type="dxa"/>
              <w:bottom w:w="90" w:type="dxa"/>
              <w:end w:w="100" w:type="dxa"/>
            </w:tcMar>
            <w:shd w:fill="F3F6F8"/>
            <w:tcBorders>
              <w:bottom w:val="single" w:sz="4" w:color="D9E1E6"/>
            </w:tcBorders>
          </w:tcPr>
          <w:p>
            <w:pPr>
              <w:spacing w:after="0" w:line="257" w:lineRule="auto"/>
            </w:pPr>
            <w:r>
              <w:rPr>
                <w:sz w:val="16"/>
              </w:rPr>
              <w:t>raw_payload / rescued_data</w:t>
            </w:r>
          </w:p>
        </w:tc>
        <w:tc>
          <w:tcPr>
            <w:tcW w:type="dxa" w:w="5386"/>
            <w:vAlign w:val="center"/>
            <w:tcMar>
              <w:top w:w="90" w:type="dxa"/>
              <w:start w:w="100" w:type="dxa"/>
              <w:bottom w:w="90" w:type="dxa"/>
              <w:end w:w="100" w:type="dxa"/>
            </w:tcMar>
            <w:shd w:fill="F3F6F8"/>
            <w:tcBorders>
              <w:bottom w:val="single" w:sz="4" w:color="D9E1E6"/>
            </w:tcBorders>
          </w:tcPr>
          <w:p>
            <w:pPr>
              <w:spacing w:after="0" w:line="257" w:lineRule="auto"/>
            </w:pPr>
            <w:r>
              <w:rPr>
                <w:sz w:val="16"/>
              </w:rPr>
              <w:t>Conteúdo original ou campos não reconhecidos, quando necessário</w:t>
            </w:r>
          </w:p>
        </w:tc>
      </w:tr>
    </w:tbl>
    <w:p>
      <w:pPr>
        <w:spacing w:after="0"/>
      </w:pPr>
    </w:p>
    <w:p>
      <w:pPr>
        <w:pStyle w:val="Heading2"/>
      </w:pPr>
      <w:r>
        <w:t>8.4 Retenção: Bronze ativa versus arquivo histórico</w:t>
      </w:r>
    </w:p>
    <w:p>
      <w:pPr/>
      <w:r>
        <w:t>Definir retenção a partir de requisitos de reconstrução, auditoria, conformidade e consumidores. A necessidade de três anos em um domínio e cinco em outro pode exigir pelo menos cinco anos de evidências compartilhadas, salvo estratégia alternativa de arquivamento restaurável com cobertura equivalente.</w:t>
      </w:r>
    </w:p>
    <w:tbl>
      <w:tblPr>
        <w:tblW w:type="auto" w:w="0"/>
        <w:tblLook w:firstColumn="1" w:firstRow="1" w:lastColumn="0" w:lastRow="0" w:noHBand="0" w:noVBand="1" w:val="04A0"/>
      </w:tblPr>
      <w:tblGrid>
        <w:gridCol w:w="9553"/>
      </w:tblGrid>
      <w:tr>
        <w:tc>
          <w:tcPr>
            <w:tcW w:type="dxa" w:w="9553"/>
            <w:shd w:fill="FFF5E5"/>
            <w:tcMar>
              <w:top w:w="160" w:type="dxa"/>
              <w:start w:w="220" w:type="dxa"/>
              <w:bottom w:w="160" w:type="dxa"/>
              <w:end w:w="220" w:type="dxa"/>
            </w:tcMar>
          </w:tcPr>
          <w:p>
            <w:r>
              <w:rPr>
                <w:b/>
                <w:color w:val="057D79"/>
              </w:rPr>
              <w:t>Atenção: VACUUM não é expurgo de registros</w:t>
            </w:r>
          </w:p>
          <w:p>
            <w:pPr>
              <w:spacing w:after="0"/>
            </w:pPr>
            <w:r>
              <w:rPr>
                <w:sz w:val="18"/>
              </w:rPr>
              <w:t>VACUUM elimina arquivos físicos não mais referenciados por versões retidas da tabela Delta; não remove linhas ainda presentes no estado atual. Retenção quente/fria exige política própria, validação da cópia histórica, governança de expurgo e teste de restauração. Time travel e Change Data Feed também não são substitutos de backup histórico permanente.</w:t>
            </w:r>
          </w:p>
        </w:tc>
      </w:tr>
    </w:tbl>
    <w:p>
      <w:pPr>
        <w:spacing w:after="0"/>
      </w:pPr>
    </w:p>
    <w:p>
      <w:pPr/>
      <w:r>
        <w:t>Critérios para arquivamento: inventário de partições/lotes, cópia verificável, hash/contagem, catalogação, retenção legal, acessibilidade do replay, custo de restauração e teste real de reconstrução. A Bronze ativa pode ser compactada/otimizada sem alterar a semântica append-only.</w:t>
      </w:r>
    </w:p>
    <w:p>
      <w:pPr>
        <w:pStyle w:val="Heading1"/>
      </w:pPr>
      <w:r>
        <w:t>9. Silver Técnica: dados confiáveis e historicamente corretos</w:t>
      </w:r>
    </w:p>
    <w:p>
      <w:pPr/>
      <w:r>
        <w:t>A Silver Técnica materializa entidades consistentes e ainda fiéis ao significado da fonte. É nela que ocorrem parsing, padronização técnica, deduplicação por chave e sequência, imposição de tipos, tratamento de operações e validação técnica. Não é lugar de aplicar restrições de escopo específicas de um relatório ou domínio de negócio.</w:t>
      </w:r>
    </w:p>
    <w:p>
      <w:pPr>
        <w:pStyle w:val="Heading2"/>
      </w:pPr>
      <w:r>
        <w:t>9.1 Por que persistir</w:t>
      </w:r>
    </w:p>
    <w:p>
      <w:pPr/>
      <w:r>
        <w:t>Uma view sobre histórico append-only reexecutaria regras de ordenação, parsing, comparação e deduplicação em cada consumo, aumentando custo e gerando resultados diferentes se contratos ou lógica mudarem. Persistir a entidade técnica possibilita cargas incrementais idempotentes, controles de completude, histórico versionado e leitura estável por vários domínios. Views auxiliares são aceitáveis, mas a entidade técnica oficial deve ter política explícita de persistência e recuperação.</w:t>
      </w:r>
    </w:p>
    <w:p>
      <w:pPr>
        <w:pStyle w:val="Heading2"/>
      </w:pPr>
      <w:r>
        <w:t>9.2 Escolha do histórico</w:t>
      </w:r>
    </w:p>
    <w:tbl>
      <w:tblPr>
        <w:tblW w:type="auto" w:w="0"/>
        <w:jc w:val="center"/>
        <w:tblLayout w:type="fixed"/>
        <w:tblLook w:firstColumn="1" w:firstRow="1" w:lastColumn="0" w:lastRow="0" w:noHBand="0" w:noVBand="1" w:val="04A0"/>
      </w:tblPr>
      <w:tblGrid>
        <w:gridCol w:w="1474"/>
        <w:gridCol w:w="3005"/>
        <w:gridCol w:w="3855"/>
      </w:tblGrid>
      <w:tr>
        <w:trPr>
          <w:tblHeader w:val="true"/>
          <w:cantSplit/>
        </w:trPr>
        <w:tc>
          <w:tcPr>
            <w:tcW w:type="dxa" w:w="3184"/>
            <w:shd w:fill="142439"/>
            <w:tcMar>
              <w:top w:w="95" w:type="dxa"/>
              <w:start w:w="100" w:type="dxa"/>
              <w:bottom w:w="95" w:type="dxa"/>
              <w:end w:w="100" w:type="dxa"/>
            </w:tcMar>
          </w:tcPr>
          <w:p>
            <w:pPr>
              <w:spacing w:after="0"/>
            </w:pPr>
            <w:r>
              <w:rPr>
                <w:b/>
                <w:color w:val="FFFFFF"/>
                <w:sz w:val="16"/>
              </w:rPr>
              <w:t>Padrão</w:t>
            </w:r>
          </w:p>
        </w:tc>
        <w:tc>
          <w:tcPr>
            <w:tcW w:type="dxa" w:w="3184"/>
            <w:shd w:fill="142439"/>
            <w:tcMar>
              <w:top w:w="95" w:type="dxa"/>
              <w:start w:w="100" w:type="dxa"/>
              <w:bottom w:w="95" w:type="dxa"/>
              <w:end w:w="100" w:type="dxa"/>
            </w:tcMar>
          </w:tcPr>
          <w:p>
            <w:pPr>
              <w:spacing w:after="0"/>
            </w:pPr>
            <w:r>
              <w:rPr>
                <w:b/>
                <w:color w:val="FFFFFF"/>
                <w:sz w:val="16"/>
              </w:rPr>
              <w:t>Usar quando</w:t>
            </w:r>
          </w:p>
        </w:tc>
        <w:tc>
          <w:tcPr>
            <w:tcW w:type="dxa" w:w="3184"/>
            <w:shd w:fill="142439"/>
            <w:tcMar>
              <w:top w:w="95" w:type="dxa"/>
              <w:start w:w="100" w:type="dxa"/>
              <w:bottom w:w="95" w:type="dxa"/>
              <w:end w:w="100" w:type="dxa"/>
            </w:tcMar>
          </w:tcPr>
          <w:p>
            <w:pPr>
              <w:spacing w:after="0"/>
            </w:pPr>
            <w:r>
              <w:rPr>
                <w:b/>
                <w:color w:val="FFFFFF"/>
                <w:sz w:val="16"/>
              </w:rPr>
              <w:t>Cuidados</w:t>
            </w:r>
          </w:p>
        </w:tc>
      </w:tr>
      <w:tr>
        <w:trPr>
          <w:cantSplit/>
        </w:trPr>
        <w:tc>
          <w:tcPr>
            <w:tcW w:type="dxa" w:w="1474"/>
            <w:vAlign w:val="center"/>
            <w:tcMar>
              <w:top w:w="90" w:type="dxa"/>
              <w:start w:w="100" w:type="dxa"/>
              <w:bottom w:w="90" w:type="dxa"/>
              <w:end w:w="100" w:type="dxa"/>
            </w:tcMar>
            <w:tcBorders>
              <w:bottom w:val="single" w:sz="4" w:color="D9E1E6"/>
            </w:tcBorders>
          </w:tcPr>
          <w:p>
            <w:pPr>
              <w:spacing w:after="0" w:line="257" w:lineRule="auto"/>
            </w:pPr>
            <w:r>
              <w:rPr>
                <w:sz w:val="16"/>
              </w:rPr>
              <w:t>SCD0</w:t>
            </w:r>
          </w:p>
        </w:tc>
        <w:tc>
          <w:tcPr>
            <w:tcW w:type="dxa" w:w="3005"/>
            <w:vAlign w:val="center"/>
            <w:tcMar>
              <w:top w:w="90" w:type="dxa"/>
              <w:start w:w="100" w:type="dxa"/>
              <w:bottom w:w="90" w:type="dxa"/>
              <w:end w:w="100" w:type="dxa"/>
            </w:tcMar>
            <w:tcBorders>
              <w:bottom w:val="single" w:sz="4" w:color="D9E1E6"/>
            </w:tcBorders>
          </w:tcPr>
          <w:p>
            <w:pPr>
              <w:spacing w:after="0" w:line="257" w:lineRule="auto"/>
            </w:pPr>
            <w:r>
              <w:rPr>
                <w:sz w:val="16"/>
              </w:rPr>
              <w:t>Atributo não pode mudar por regra da entidade</w:t>
            </w:r>
          </w:p>
        </w:tc>
        <w:tc>
          <w:tcPr>
            <w:tcW w:type="dxa" w:w="3855"/>
            <w:vAlign w:val="center"/>
            <w:tcMar>
              <w:top w:w="90" w:type="dxa"/>
              <w:start w:w="100" w:type="dxa"/>
              <w:bottom w:w="90" w:type="dxa"/>
              <w:end w:w="100" w:type="dxa"/>
            </w:tcMar>
            <w:tcBorders>
              <w:bottom w:val="single" w:sz="4" w:color="D9E1E6"/>
            </w:tcBorders>
          </w:tcPr>
          <w:p>
            <w:pPr>
              <w:spacing w:after="0" w:line="257" w:lineRule="auto"/>
            </w:pPr>
            <w:r>
              <w:rPr>
                <w:sz w:val="16"/>
              </w:rPr>
              <w:t>Correção na fonte exige política de exceção formal.</w:t>
            </w:r>
          </w:p>
        </w:tc>
      </w:tr>
      <w:tr>
        <w:trPr>
          <w:cantSplit/>
        </w:trPr>
        <w:tc>
          <w:tcPr>
            <w:tcW w:type="dxa" w:w="1474"/>
            <w:vAlign w:val="center"/>
            <w:tcMar>
              <w:top w:w="90" w:type="dxa"/>
              <w:start w:w="100" w:type="dxa"/>
              <w:bottom w:w="90" w:type="dxa"/>
              <w:end w:w="100" w:type="dxa"/>
            </w:tcMar>
            <w:shd w:fill="F3F6F8"/>
            <w:tcBorders>
              <w:bottom w:val="single" w:sz="4" w:color="D9E1E6"/>
            </w:tcBorders>
          </w:tcPr>
          <w:p>
            <w:pPr>
              <w:spacing w:after="0" w:line="257" w:lineRule="auto"/>
            </w:pPr>
            <w:r>
              <w:rPr>
                <w:sz w:val="16"/>
              </w:rPr>
              <w:t>SCD1</w:t>
            </w:r>
          </w:p>
        </w:tc>
        <w:tc>
          <w:tcPr>
            <w:tcW w:type="dxa" w:w="3005"/>
            <w:vAlign w:val="center"/>
            <w:tcMar>
              <w:top w:w="90" w:type="dxa"/>
              <w:start w:w="100" w:type="dxa"/>
              <w:bottom w:w="90" w:type="dxa"/>
              <w:end w:w="100" w:type="dxa"/>
            </w:tcMar>
            <w:shd w:fill="F3F6F8"/>
            <w:tcBorders>
              <w:bottom w:val="single" w:sz="4" w:color="D9E1E6"/>
            </w:tcBorders>
          </w:tcPr>
          <w:p>
            <w:pPr>
              <w:spacing w:after="0" w:line="257" w:lineRule="auto"/>
            </w:pPr>
            <w:r>
              <w:rPr>
                <w:sz w:val="16"/>
              </w:rPr>
              <w:t>Manter estado atual é suficiente</w:t>
            </w:r>
          </w:p>
        </w:tc>
        <w:tc>
          <w:tcPr>
            <w:tcW w:type="dxa" w:w="3855"/>
            <w:vAlign w:val="center"/>
            <w:tcMar>
              <w:top w:w="90" w:type="dxa"/>
              <w:start w:w="100" w:type="dxa"/>
              <w:bottom w:w="90" w:type="dxa"/>
              <w:end w:w="100" w:type="dxa"/>
            </w:tcMar>
            <w:shd w:fill="F3F6F8"/>
            <w:tcBorders>
              <w:bottom w:val="single" w:sz="4" w:color="D9E1E6"/>
            </w:tcBorders>
          </w:tcPr>
          <w:p>
            <w:pPr>
              <w:spacing w:after="0" w:line="257" w:lineRule="auto"/>
            </w:pPr>
            <w:r>
              <w:rPr>
                <w:sz w:val="16"/>
              </w:rPr>
              <w:t>Mudanças anteriores ficam na Bronze, não na entidade corrente.</w:t>
            </w:r>
          </w:p>
        </w:tc>
      </w:tr>
      <w:tr>
        <w:trPr>
          <w:cantSplit/>
        </w:trPr>
        <w:tc>
          <w:tcPr>
            <w:tcW w:type="dxa" w:w="1474"/>
            <w:vAlign w:val="center"/>
            <w:tcMar>
              <w:top w:w="90" w:type="dxa"/>
              <w:start w:w="100" w:type="dxa"/>
              <w:bottom w:w="90" w:type="dxa"/>
              <w:end w:w="100" w:type="dxa"/>
            </w:tcMar>
            <w:tcBorders>
              <w:bottom w:val="single" w:sz="4" w:color="D9E1E6"/>
            </w:tcBorders>
          </w:tcPr>
          <w:p>
            <w:pPr>
              <w:spacing w:after="0" w:line="257" w:lineRule="auto"/>
            </w:pPr>
            <w:r>
              <w:rPr>
                <w:sz w:val="16"/>
              </w:rPr>
              <w:t>SCD2</w:t>
            </w:r>
          </w:p>
        </w:tc>
        <w:tc>
          <w:tcPr>
            <w:tcW w:type="dxa" w:w="3005"/>
            <w:vAlign w:val="center"/>
            <w:tcMar>
              <w:top w:w="90" w:type="dxa"/>
              <w:start w:w="100" w:type="dxa"/>
              <w:bottom w:w="90" w:type="dxa"/>
              <w:end w:w="100" w:type="dxa"/>
            </w:tcMar>
            <w:tcBorders>
              <w:bottom w:val="single" w:sz="4" w:color="D9E1E6"/>
            </w:tcBorders>
          </w:tcPr>
          <w:p>
            <w:pPr>
              <w:spacing w:after="0" w:line="257" w:lineRule="auto"/>
            </w:pPr>
            <w:r>
              <w:rPr>
                <w:sz w:val="16"/>
              </w:rPr>
              <w:t>É necessário conhecer os atributos válidos em cada instante</w:t>
            </w:r>
          </w:p>
        </w:tc>
        <w:tc>
          <w:tcPr>
            <w:tcW w:type="dxa" w:w="3855"/>
            <w:vAlign w:val="center"/>
            <w:tcMar>
              <w:top w:w="90" w:type="dxa"/>
              <w:start w:w="100" w:type="dxa"/>
              <w:bottom w:w="90" w:type="dxa"/>
              <w:end w:w="100" w:type="dxa"/>
            </w:tcMar>
            <w:tcBorders>
              <w:bottom w:val="single" w:sz="4" w:color="D9E1E6"/>
            </w:tcBorders>
          </w:tcPr>
          <w:p>
            <w:pPr>
              <w:spacing w:after="0" w:line="257" w:lineRule="auto"/>
            </w:pPr>
            <w:r>
              <w:rPr>
                <w:sz w:val="16"/>
              </w:rPr>
              <w:t>Versões não podem sobrepor vigências por BK; reconciliar deletes e late arrivals.</w:t>
            </w:r>
          </w:p>
        </w:tc>
      </w:tr>
      <w:tr>
        <w:trPr>
          <w:cantSplit/>
        </w:trPr>
        <w:tc>
          <w:tcPr>
            <w:tcW w:type="dxa" w:w="1474"/>
            <w:vAlign w:val="center"/>
            <w:tcMar>
              <w:top w:w="90" w:type="dxa"/>
              <w:start w:w="100" w:type="dxa"/>
              <w:bottom w:w="90" w:type="dxa"/>
              <w:end w:w="100" w:type="dxa"/>
            </w:tcMar>
            <w:shd w:fill="F3F6F8"/>
            <w:tcBorders>
              <w:bottom w:val="single" w:sz="4" w:color="D9E1E6"/>
            </w:tcBorders>
          </w:tcPr>
          <w:p>
            <w:pPr>
              <w:spacing w:after="0" w:line="257" w:lineRule="auto"/>
            </w:pPr>
            <w:r>
              <w:rPr>
                <w:sz w:val="16"/>
              </w:rPr>
              <w:t>Append de eventos</w:t>
            </w:r>
          </w:p>
        </w:tc>
        <w:tc>
          <w:tcPr>
            <w:tcW w:type="dxa" w:w="3005"/>
            <w:vAlign w:val="center"/>
            <w:tcMar>
              <w:top w:w="90" w:type="dxa"/>
              <w:start w:w="100" w:type="dxa"/>
              <w:bottom w:w="90" w:type="dxa"/>
              <w:end w:w="100" w:type="dxa"/>
            </w:tcMar>
            <w:shd w:fill="F3F6F8"/>
            <w:tcBorders>
              <w:bottom w:val="single" w:sz="4" w:color="D9E1E6"/>
            </w:tcBorders>
          </w:tcPr>
          <w:p>
            <w:pPr>
              <w:spacing w:after="0" w:line="257" w:lineRule="auto"/>
            </w:pPr>
            <w:r>
              <w:rPr>
                <w:sz w:val="16"/>
              </w:rPr>
              <w:t>Fato imutável e único por evento</w:t>
            </w:r>
          </w:p>
        </w:tc>
        <w:tc>
          <w:tcPr>
            <w:tcW w:type="dxa" w:w="3855"/>
            <w:vAlign w:val="center"/>
            <w:tcMar>
              <w:top w:w="90" w:type="dxa"/>
              <w:start w:w="100" w:type="dxa"/>
              <w:bottom w:w="90" w:type="dxa"/>
              <w:end w:w="100" w:type="dxa"/>
            </w:tcMar>
            <w:shd w:fill="F3F6F8"/>
            <w:tcBorders>
              <w:bottom w:val="single" w:sz="4" w:color="D9E1E6"/>
            </w:tcBorders>
          </w:tcPr>
          <w:p>
            <w:pPr>
              <w:spacing w:after="0" w:line="257" w:lineRule="auto"/>
            </w:pPr>
            <w:r>
              <w:rPr>
                <w:sz w:val="16"/>
              </w:rPr>
              <w:t>Correções requerem evento compensatório ou versionamento.</w:t>
            </w:r>
          </w:p>
        </w:tc>
      </w:tr>
      <w:tr>
        <w:trPr>
          <w:cantSplit/>
        </w:trPr>
        <w:tc>
          <w:tcPr>
            <w:tcW w:type="dxa" w:w="1474"/>
            <w:vAlign w:val="center"/>
            <w:tcMar>
              <w:top w:w="90" w:type="dxa"/>
              <w:start w:w="100" w:type="dxa"/>
              <w:bottom w:w="90" w:type="dxa"/>
              <w:end w:w="100" w:type="dxa"/>
            </w:tcMar>
            <w:tcBorders>
              <w:bottom w:val="single" w:sz="4" w:color="D9E1E6"/>
            </w:tcBorders>
          </w:tcPr>
          <w:p>
            <w:pPr>
              <w:spacing w:after="0" w:line="257" w:lineRule="auto"/>
            </w:pPr>
            <w:r>
              <w:rPr>
                <w:sz w:val="16"/>
              </w:rPr>
              <w:t>Snapshot periódico</w:t>
            </w:r>
          </w:p>
        </w:tc>
        <w:tc>
          <w:tcPr>
            <w:tcW w:type="dxa" w:w="3005"/>
            <w:vAlign w:val="center"/>
            <w:tcMar>
              <w:top w:w="90" w:type="dxa"/>
              <w:start w:w="100" w:type="dxa"/>
              <w:bottom w:w="90" w:type="dxa"/>
              <w:end w:w="100" w:type="dxa"/>
            </w:tcMar>
            <w:tcBorders>
              <w:bottom w:val="single" w:sz="4" w:color="D9E1E6"/>
            </w:tcBorders>
          </w:tcPr>
          <w:p>
            <w:pPr>
              <w:spacing w:after="0" w:line="257" w:lineRule="auto"/>
            </w:pPr>
            <w:r>
              <w:rPr>
                <w:sz w:val="16"/>
              </w:rPr>
              <w:t>Analisar estado fotografado por data</w:t>
            </w:r>
          </w:p>
        </w:tc>
        <w:tc>
          <w:tcPr>
            <w:tcW w:type="dxa" w:w="3855"/>
            <w:vAlign w:val="center"/>
            <w:tcMar>
              <w:top w:w="90" w:type="dxa"/>
              <w:start w:w="100" w:type="dxa"/>
              <w:bottom w:w="90" w:type="dxa"/>
              <w:end w:w="100" w:type="dxa"/>
            </w:tcMar>
            <w:tcBorders>
              <w:bottom w:val="single" w:sz="4" w:color="D9E1E6"/>
            </w:tcBorders>
          </w:tcPr>
          <w:p>
            <w:pPr>
              <w:spacing w:after="0" w:line="257" w:lineRule="auto"/>
            </w:pPr>
            <w:r>
              <w:rPr>
                <w:sz w:val="16"/>
              </w:rPr>
              <w:t>Não confundir data de observação com data de vigência real.</w:t>
            </w:r>
          </w:p>
        </w:tc>
      </w:tr>
      <w:tr>
        <w:trPr>
          <w:cantSplit/>
        </w:trPr>
        <w:tc>
          <w:tcPr>
            <w:tcW w:type="dxa" w:w="1474"/>
            <w:vAlign w:val="center"/>
            <w:tcMar>
              <w:top w:w="90" w:type="dxa"/>
              <w:start w:w="100" w:type="dxa"/>
              <w:bottom w:w="90" w:type="dxa"/>
              <w:end w:w="100" w:type="dxa"/>
            </w:tcMar>
            <w:shd w:fill="F3F6F8"/>
            <w:tcBorders>
              <w:bottom w:val="single" w:sz="4" w:color="D9E1E6"/>
            </w:tcBorders>
          </w:tcPr>
          <w:p>
            <w:pPr>
              <w:spacing w:after="0" w:line="257" w:lineRule="auto"/>
            </w:pPr>
            <w:r>
              <w:rPr>
                <w:sz w:val="16"/>
              </w:rPr>
              <w:t>Bitemporal</w:t>
            </w:r>
          </w:p>
        </w:tc>
        <w:tc>
          <w:tcPr>
            <w:tcW w:type="dxa" w:w="3005"/>
            <w:vAlign w:val="center"/>
            <w:tcMar>
              <w:top w:w="90" w:type="dxa"/>
              <w:start w:w="100" w:type="dxa"/>
              <w:bottom w:w="90" w:type="dxa"/>
              <w:end w:w="100" w:type="dxa"/>
            </w:tcMar>
            <w:shd w:fill="F3F6F8"/>
            <w:tcBorders>
              <w:bottom w:val="single" w:sz="4" w:color="D9E1E6"/>
            </w:tcBorders>
          </w:tcPr>
          <w:p>
            <w:pPr>
              <w:spacing w:after="0" w:line="257" w:lineRule="auto"/>
            </w:pPr>
            <w:r>
              <w:rPr>
                <w:sz w:val="16"/>
              </w:rPr>
              <w:t>Consultar validade no negócio e conhecimento pelo sistema</w:t>
            </w:r>
          </w:p>
        </w:tc>
        <w:tc>
          <w:tcPr>
            <w:tcW w:type="dxa" w:w="3855"/>
            <w:vAlign w:val="center"/>
            <w:tcMar>
              <w:top w:w="90" w:type="dxa"/>
              <w:start w:w="100" w:type="dxa"/>
              <w:bottom w:w="90" w:type="dxa"/>
              <w:end w:w="100" w:type="dxa"/>
            </w:tcMar>
            <w:shd w:fill="F3F6F8"/>
            <w:tcBorders>
              <w:bottom w:val="single" w:sz="4" w:color="D9E1E6"/>
            </w:tcBorders>
          </w:tcPr>
          <w:p>
            <w:pPr>
              <w:spacing w:after="0" w:line="257" w:lineRule="auto"/>
            </w:pPr>
            <w:r>
              <w:rPr>
                <w:sz w:val="16"/>
              </w:rPr>
              <w:t>Maior custo e complexidade; aplicar somente com requisito comprovado.</w:t>
            </w:r>
          </w:p>
        </w:tc>
      </w:tr>
    </w:tbl>
    <w:p>
      <w:pPr>
        <w:spacing w:after="0"/>
      </w:pPr>
    </w:p>
    <w:p>
      <w:pPr>
        <w:pStyle w:val="Heading2"/>
      </w:pPr>
      <w:r>
        <w:t>9.3 Ciclo SCD2</w:t>
      </w:r>
    </w:p>
    <w:p>
      <w:pPr/>
      <w:r>
        <w:t>Para cada BK, uma nova versão abre quando atributos rastreados mudam. O registro anterior encerra sua vigência, e a nova versão passa a valer a partir da sequência/tempo efetivo da alteração. A política de intervalo será preferencialmente [valid_from, valid_to), com fim exclusivo. Registros correntes podem ter valid_to nulo e is_current=true. Correções retroativas exigem reparticionamento temporal, não simples append no fim.</w:t>
      </w:r>
    </w:p>
    <w:p>
      <w:pPr/>
      <w:r>
        <w:t>Um delete físico poderá aparecer como evento de exclusão lógica na Silver Técnica, preservando evidência. Sua representação como linha tombstone, encerramento da vigência ou marca is_deleted depende do contrato e do motor escolhido. A regra deve ser explícita e reproduzível.</w:t>
      </w:r>
    </w:p>
    <w:p>
      <w:pPr>
        <w:pStyle w:val="Heading2"/>
      </w:pPr>
      <w:r>
        <w:t>9.4 Testes obrigatórios</w:t>
      </w:r>
    </w:p>
    <w:p>
      <w:pPr>
        <w:pStyle w:val="ListBullet"/>
      </w:pPr>
      <w:r>
        <w:t>Unicidade da BK corrente e da chave técnica no grão declarado.</w:t>
      </w:r>
    </w:p>
    <w:p>
      <w:pPr>
        <w:pStyle w:val="ListBullet"/>
      </w:pPr>
      <w:r>
        <w:t>Ausência de sobreposição de vigências em SCD2 e ordenação determinística.</w:t>
      </w:r>
    </w:p>
    <w:p>
      <w:pPr>
        <w:pStyle w:val="ListBullet"/>
      </w:pPr>
      <w:r>
        <w:t>Quantidade de eventos capturados versus eventos tratados/desviados por lote.</w:t>
      </w:r>
    </w:p>
    <w:p>
      <w:pPr>
        <w:pStyle w:val="ListBullet"/>
      </w:pPr>
      <w:r>
        <w:t>Taxa de parse e rejeição; métricas de campos ausentes e tipos incompatíveis.</w:t>
      </w:r>
    </w:p>
    <w:p>
      <w:pPr>
        <w:pStyle w:val="ListBullet"/>
      </w:pPr>
      <w:r>
        <w:t>Reconciliação de inserts, updates, deletes e estado final quando a origem permitir.</w:t>
      </w:r>
    </w:p>
    <w:p>
      <w:pPr>
        <w:pStyle w:val="Heading1"/>
      </w:pPr>
      <w:r>
        <w:t>10. Silver Analítica: domínios e entidades reutilizáveis</w:t>
      </w:r>
    </w:p>
    <w:p>
      <w:pPr/>
      <w:r>
        <w:t>A Silver Analítica transforma entidades técnicas em conceitos compartilháveis entre produtos de dados. Pode integrar fontes, padronizar significado de atributos, resolver relacionamentos, aplicar regras comuns e disponibilizar recortes por domínio sem adulterar a Silver Técnica compartilhada.</w:t>
      </w:r>
    </w:p>
    <w:p>
      <w:pPr>
        <w:pStyle w:val="Heading2"/>
      </w:pPr>
      <w:r>
        <w:t>10.1 Exemplo de conflito entre domínios</w:t>
      </w:r>
    </w:p>
    <w:p>
      <w:pPr/>
      <w:r>
        <w:t>Uma mesma entidade de cadastro pode ser utilizada para operações, atendimento e risco. O primeiro domínio considera somente registros ativos; o segundo precisa visualizar históricos encerrados; o terceiro pode requerer versões vigentes em datas específicas. Se a Silver Técnica filtrar registros encerrados, os demais domínios perderão capacidade analítica. A Silver Analítica oferece contratos de entidade distintos para cada finalidade, com origem comum e regras documentadas.</w:t>
      </w:r>
    </w:p>
    <w:p>
      <w:pPr>
        <w:pStyle w:val="Heading2"/>
      </w:pPr>
      <w:r>
        <w:t>10.2 Organização</w:t>
      </w:r>
    </w:p>
    <w:p>
      <w:pPr>
        <w:pStyle w:val="ListBullet"/>
      </w:pPr>
      <w:r>
        <w:t>Domínio/owner identificado no catálogo e no contrato; nomes não colidem entre assuntos.</w:t>
      </w:r>
    </w:p>
    <w:p>
      <w:pPr>
        <w:pStyle w:val="ListBullet"/>
      </w:pPr>
      <w:r>
        <w:t>Modelos intermediários privados e modelos oficiais expostos de forma intencional.</w:t>
      </w:r>
    </w:p>
    <w:p>
      <w:pPr>
        <w:pStyle w:val="ListBullet"/>
      </w:pPr>
      <w:r>
        <w:t>Views como padrão para regras leves, materialização para alto custo ou necessidade de previsibilidade.</w:t>
      </w:r>
    </w:p>
    <w:p>
      <w:pPr>
        <w:pStyle w:val="ListBullet"/>
      </w:pPr>
      <w:r>
        <w:t>Testes de consistência semântica e histórico herdado, com derivação as-of quando aplicável.</w:t>
      </w:r>
    </w:p>
    <w:p>
      <w:pPr>
        <w:pStyle w:val="ListBullet"/>
      </w:pPr>
      <w:r>
        <w:t>Compatibilidade e versionamento dos produtos compartilhados por consumidores distintos.</w:t>
      </w:r>
    </w:p>
    <w:p>
      <w:pPr/>
      <w:r>
        <w:t>A responsabilidade do domínio não substitui políticas de segurança, gestão de chaves e contratos centrais. Regras reutilizáveis devem ter testes e responsáveis próprios; regra exclusiva de relatório permanece mais próxima do consumo.</w:t>
      </w:r>
    </w:p>
    <w:p>
      <w:pPr>
        <w:pStyle w:val="Heading1"/>
      </w:pPr>
      <w:r>
        <w:t>11. Gold: modelagem dimensional e produtos de consumo</w:t>
      </w:r>
    </w:p>
    <w:p>
      <w:pPr/>
      <w:r>
        <w:t>A Gold é a camada de publicação analítica. O desenho começa pelas perguntas, pelo grão dos processos e pelas dimensões, não pela lista de colunas existentes na Silver. O esquema estrela é o padrão preferencial para relatórios e métricas, com outras estruturas quando houver justificativa de consumo.</w:t>
      </w:r>
    </w:p>
    <w:p>
      <w:pPr>
        <w:pStyle w:val="Heading2"/>
      </w:pPr>
      <w:r>
        <w:t>11.1 Tipos de tabelas de fatos</w:t>
      </w:r>
    </w:p>
    <w:tbl>
      <w:tblPr>
        <w:tblW w:type="auto" w:w="0"/>
        <w:jc w:val="center"/>
        <w:tblLayout w:type="fixed"/>
        <w:tblLook w:firstColumn="1" w:firstRow="1" w:lastColumn="0" w:lastRow="0" w:noHBand="0" w:noVBand="1" w:val="04A0"/>
      </w:tblPr>
      <w:tblGrid>
        <w:gridCol w:w="1814"/>
        <w:gridCol w:w="2551"/>
        <w:gridCol w:w="3969"/>
      </w:tblGrid>
      <w:tr>
        <w:trPr>
          <w:tblHeader w:val="true"/>
          <w:cantSplit/>
        </w:trPr>
        <w:tc>
          <w:tcPr>
            <w:tcW w:type="dxa" w:w="3184"/>
            <w:shd w:fill="142439"/>
            <w:tcMar>
              <w:top w:w="95" w:type="dxa"/>
              <w:start w:w="100" w:type="dxa"/>
              <w:bottom w:w="95" w:type="dxa"/>
              <w:end w:w="100" w:type="dxa"/>
            </w:tcMar>
          </w:tcPr>
          <w:p>
            <w:pPr>
              <w:spacing w:after="0"/>
            </w:pPr>
            <w:r>
              <w:rPr>
                <w:b/>
                <w:color w:val="FFFFFF"/>
                <w:sz w:val="16"/>
              </w:rPr>
              <w:t>Tipo</w:t>
            </w:r>
          </w:p>
        </w:tc>
        <w:tc>
          <w:tcPr>
            <w:tcW w:type="dxa" w:w="3184"/>
            <w:shd w:fill="142439"/>
            <w:tcMar>
              <w:top w:w="95" w:type="dxa"/>
              <w:start w:w="100" w:type="dxa"/>
              <w:bottom w:w="95" w:type="dxa"/>
              <w:end w:w="100" w:type="dxa"/>
            </w:tcMar>
          </w:tcPr>
          <w:p>
            <w:pPr>
              <w:spacing w:after="0"/>
            </w:pPr>
            <w:r>
              <w:rPr>
                <w:b/>
                <w:color w:val="FFFFFF"/>
                <w:sz w:val="16"/>
              </w:rPr>
              <w:t>Grão exemplar</w:t>
            </w:r>
          </w:p>
        </w:tc>
        <w:tc>
          <w:tcPr>
            <w:tcW w:type="dxa" w:w="3184"/>
            <w:shd w:fill="142439"/>
            <w:tcMar>
              <w:top w:w="95" w:type="dxa"/>
              <w:start w:w="100" w:type="dxa"/>
              <w:bottom w:w="95" w:type="dxa"/>
              <w:end w:w="100" w:type="dxa"/>
            </w:tcMar>
          </w:tcPr>
          <w:p>
            <w:pPr>
              <w:spacing w:after="0"/>
            </w:pPr>
            <w:r>
              <w:rPr>
                <w:b/>
                <w:color w:val="FFFFFF"/>
                <w:sz w:val="16"/>
              </w:rPr>
              <w:t>Quando aplicar</w:t>
            </w:r>
          </w:p>
        </w:tc>
      </w:tr>
      <w:tr>
        <w:trPr>
          <w:cantSplit/>
        </w:trPr>
        <w:tc>
          <w:tcPr>
            <w:tcW w:type="dxa" w:w="1814"/>
            <w:vAlign w:val="center"/>
            <w:tcMar>
              <w:top w:w="90" w:type="dxa"/>
              <w:start w:w="100" w:type="dxa"/>
              <w:bottom w:w="90" w:type="dxa"/>
              <w:end w:w="100" w:type="dxa"/>
            </w:tcMar>
            <w:tcBorders>
              <w:bottom w:val="single" w:sz="4" w:color="D9E1E6"/>
            </w:tcBorders>
          </w:tcPr>
          <w:p>
            <w:pPr>
              <w:spacing w:after="0" w:line="257" w:lineRule="auto"/>
            </w:pPr>
            <w:r>
              <w:rPr>
                <w:sz w:val="16"/>
              </w:rPr>
              <w:t>Transacional</w:t>
            </w:r>
          </w:p>
        </w:tc>
        <w:tc>
          <w:tcPr>
            <w:tcW w:type="dxa" w:w="2551"/>
            <w:vAlign w:val="center"/>
            <w:tcMar>
              <w:top w:w="90" w:type="dxa"/>
              <w:start w:w="100" w:type="dxa"/>
              <w:bottom w:w="90" w:type="dxa"/>
              <w:end w:w="100" w:type="dxa"/>
            </w:tcMar>
            <w:tcBorders>
              <w:bottom w:val="single" w:sz="4" w:color="D9E1E6"/>
            </w:tcBorders>
          </w:tcPr>
          <w:p>
            <w:pPr>
              <w:spacing w:after="0" w:line="257" w:lineRule="auto"/>
            </w:pPr>
            <w:r>
              <w:rPr>
                <w:sz w:val="16"/>
              </w:rPr>
              <w:t>Uma linha por evento/operação</w:t>
            </w:r>
          </w:p>
        </w:tc>
        <w:tc>
          <w:tcPr>
            <w:tcW w:type="dxa" w:w="3969"/>
            <w:vAlign w:val="center"/>
            <w:tcMar>
              <w:top w:w="90" w:type="dxa"/>
              <w:start w:w="100" w:type="dxa"/>
              <w:bottom w:w="90" w:type="dxa"/>
              <w:end w:w="100" w:type="dxa"/>
            </w:tcMar>
            <w:tcBorders>
              <w:bottom w:val="single" w:sz="4" w:color="D9E1E6"/>
            </w:tcBorders>
          </w:tcPr>
          <w:p>
            <w:pPr>
              <w:spacing w:after="0" w:line="257" w:lineRule="auto"/>
            </w:pPr>
            <w:r>
              <w:rPr>
                <w:sz w:val="16"/>
              </w:rPr>
              <w:t>Movimentações e processos que geram eventos discretos.</w:t>
            </w:r>
          </w:p>
        </w:tc>
      </w:tr>
      <w:tr>
        <w:trPr>
          <w:cantSplit/>
        </w:trPr>
        <w:tc>
          <w:tcPr>
            <w:tcW w:type="dxa" w:w="1814"/>
            <w:vAlign w:val="center"/>
            <w:tcMar>
              <w:top w:w="90" w:type="dxa"/>
              <w:start w:w="100" w:type="dxa"/>
              <w:bottom w:w="90" w:type="dxa"/>
              <w:end w:w="100" w:type="dxa"/>
            </w:tcMar>
            <w:shd w:fill="F3F6F8"/>
            <w:tcBorders>
              <w:bottom w:val="single" w:sz="4" w:color="D9E1E6"/>
            </w:tcBorders>
          </w:tcPr>
          <w:p>
            <w:pPr>
              <w:spacing w:after="0" w:line="257" w:lineRule="auto"/>
            </w:pPr>
            <w:r>
              <w:rPr>
                <w:sz w:val="16"/>
              </w:rPr>
              <w:t>Snapshot periódico</w:t>
            </w:r>
          </w:p>
        </w:tc>
        <w:tc>
          <w:tcPr>
            <w:tcW w:type="dxa" w:w="2551"/>
            <w:vAlign w:val="center"/>
            <w:tcMar>
              <w:top w:w="90" w:type="dxa"/>
              <w:start w:w="100" w:type="dxa"/>
              <w:bottom w:w="90" w:type="dxa"/>
              <w:end w:w="100" w:type="dxa"/>
            </w:tcMar>
            <w:shd w:fill="F3F6F8"/>
            <w:tcBorders>
              <w:bottom w:val="single" w:sz="4" w:color="D9E1E6"/>
            </w:tcBorders>
          </w:tcPr>
          <w:p>
            <w:pPr>
              <w:spacing w:after="0" w:line="257" w:lineRule="auto"/>
            </w:pPr>
            <w:r>
              <w:rPr>
                <w:sz w:val="16"/>
              </w:rPr>
              <w:t>Uma linha por entidade e período</w:t>
            </w:r>
          </w:p>
        </w:tc>
        <w:tc>
          <w:tcPr>
            <w:tcW w:type="dxa" w:w="3969"/>
            <w:vAlign w:val="center"/>
            <w:tcMar>
              <w:top w:w="90" w:type="dxa"/>
              <w:start w:w="100" w:type="dxa"/>
              <w:bottom w:w="90" w:type="dxa"/>
              <w:end w:w="100" w:type="dxa"/>
            </w:tcMar>
            <w:shd w:fill="F3F6F8"/>
            <w:tcBorders>
              <w:bottom w:val="single" w:sz="4" w:color="D9E1E6"/>
            </w:tcBorders>
          </w:tcPr>
          <w:p>
            <w:pPr>
              <w:spacing w:after="0" w:line="257" w:lineRule="auto"/>
            </w:pPr>
            <w:r>
              <w:rPr>
                <w:sz w:val="16"/>
              </w:rPr>
              <w:t>Saldo, posição de estoque, estado mensal ou diário.</w:t>
            </w:r>
          </w:p>
        </w:tc>
      </w:tr>
      <w:tr>
        <w:trPr>
          <w:cantSplit/>
        </w:trPr>
        <w:tc>
          <w:tcPr>
            <w:tcW w:type="dxa" w:w="1814"/>
            <w:vAlign w:val="center"/>
            <w:tcMar>
              <w:top w:w="90" w:type="dxa"/>
              <w:start w:w="100" w:type="dxa"/>
              <w:bottom w:w="90" w:type="dxa"/>
              <w:end w:w="100" w:type="dxa"/>
            </w:tcMar>
            <w:tcBorders>
              <w:bottom w:val="single" w:sz="4" w:color="D9E1E6"/>
            </w:tcBorders>
          </w:tcPr>
          <w:p>
            <w:pPr>
              <w:spacing w:after="0" w:line="257" w:lineRule="auto"/>
            </w:pPr>
            <w:r>
              <w:rPr>
                <w:sz w:val="16"/>
              </w:rPr>
              <w:t>Snapshot acumulativo</w:t>
            </w:r>
          </w:p>
        </w:tc>
        <w:tc>
          <w:tcPr>
            <w:tcW w:type="dxa" w:w="2551"/>
            <w:vAlign w:val="center"/>
            <w:tcMar>
              <w:top w:w="90" w:type="dxa"/>
              <w:start w:w="100" w:type="dxa"/>
              <w:bottom w:w="90" w:type="dxa"/>
              <w:end w:w="100" w:type="dxa"/>
            </w:tcMar>
            <w:tcBorders>
              <w:bottom w:val="single" w:sz="4" w:color="D9E1E6"/>
            </w:tcBorders>
          </w:tcPr>
          <w:p>
            <w:pPr>
              <w:spacing w:after="0" w:line="257" w:lineRule="auto"/>
            </w:pPr>
            <w:r>
              <w:rPr>
                <w:sz w:val="16"/>
              </w:rPr>
              <w:t>Uma linha por processo, atualizada por marcos</w:t>
            </w:r>
          </w:p>
        </w:tc>
        <w:tc>
          <w:tcPr>
            <w:tcW w:type="dxa" w:w="3969"/>
            <w:vAlign w:val="center"/>
            <w:tcMar>
              <w:top w:w="90" w:type="dxa"/>
              <w:start w:w="100" w:type="dxa"/>
              <w:bottom w:w="90" w:type="dxa"/>
              <w:end w:w="100" w:type="dxa"/>
            </w:tcMar>
            <w:tcBorders>
              <w:bottom w:val="single" w:sz="4" w:color="D9E1E6"/>
            </w:tcBorders>
          </w:tcPr>
          <w:p>
            <w:pPr>
              <w:spacing w:after="0" w:line="257" w:lineRule="auto"/>
            </w:pPr>
            <w:r>
              <w:rPr>
                <w:sz w:val="16"/>
              </w:rPr>
              <w:t>Processos com várias etapas e lead time.</w:t>
            </w:r>
          </w:p>
        </w:tc>
      </w:tr>
      <w:tr>
        <w:trPr>
          <w:cantSplit/>
        </w:trPr>
        <w:tc>
          <w:tcPr>
            <w:tcW w:type="dxa" w:w="1814"/>
            <w:vAlign w:val="center"/>
            <w:tcMar>
              <w:top w:w="90" w:type="dxa"/>
              <w:start w:w="100" w:type="dxa"/>
              <w:bottom w:w="90" w:type="dxa"/>
              <w:end w:w="100" w:type="dxa"/>
            </w:tcMar>
            <w:shd w:fill="F3F6F8"/>
            <w:tcBorders>
              <w:bottom w:val="single" w:sz="4" w:color="D9E1E6"/>
            </w:tcBorders>
          </w:tcPr>
          <w:p>
            <w:pPr>
              <w:spacing w:after="0" w:line="257" w:lineRule="auto"/>
            </w:pPr>
            <w:r>
              <w:rPr>
                <w:sz w:val="16"/>
              </w:rPr>
              <w:t>Factless fact</w:t>
            </w:r>
          </w:p>
        </w:tc>
        <w:tc>
          <w:tcPr>
            <w:tcW w:type="dxa" w:w="2551"/>
            <w:vAlign w:val="center"/>
            <w:tcMar>
              <w:top w:w="90" w:type="dxa"/>
              <w:start w:w="100" w:type="dxa"/>
              <w:bottom w:w="90" w:type="dxa"/>
              <w:end w:w="100" w:type="dxa"/>
            </w:tcMar>
            <w:shd w:fill="F3F6F8"/>
            <w:tcBorders>
              <w:bottom w:val="single" w:sz="4" w:color="D9E1E6"/>
            </w:tcBorders>
          </w:tcPr>
          <w:p>
            <w:pPr>
              <w:spacing w:after="0" w:line="257" w:lineRule="auto"/>
            </w:pPr>
            <w:r>
              <w:rPr>
                <w:sz w:val="16"/>
              </w:rPr>
              <w:t>Uma linha por ocorrência/relacionamento</w:t>
            </w:r>
          </w:p>
        </w:tc>
        <w:tc>
          <w:tcPr>
            <w:tcW w:type="dxa" w:w="3969"/>
            <w:vAlign w:val="center"/>
            <w:tcMar>
              <w:top w:w="90" w:type="dxa"/>
              <w:start w:w="100" w:type="dxa"/>
              <w:bottom w:w="90" w:type="dxa"/>
              <w:end w:w="100" w:type="dxa"/>
            </w:tcMar>
            <w:shd w:fill="F3F6F8"/>
            <w:tcBorders>
              <w:bottom w:val="single" w:sz="4" w:color="D9E1E6"/>
            </w:tcBorders>
          </w:tcPr>
          <w:p>
            <w:pPr>
              <w:spacing w:after="0" w:line="257" w:lineRule="auto"/>
            </w:pPr>
            <w:r>
              <w:rPr>
                <w:sz w:val="16"/>
              </w:rPr>
              <w:t>Presença, elegibilidade, participação, cobertura.</w:t>
            </w:r>
          </w:p>
        </w:tc>
      </w:tr>
      <w:tr>
        <w:trPr>
          <w:cantSplit/>
        </w:trPr>
        <w:tc>
          <w:tcPr>
            <w:tcW w:type="dxa" w:w="1814"/>
            <w:vAlign w:val="center"/>
            <w:tcMar>
              <w:top w:w="90" w:type="dxa"/>
              <w:start w:w="100" w:type="dxa"/>
              <w:bottom w:w="90" w:type="dxa"/>
              <w:end w:w="100" w:type="dxa"/>
            </w:tcMar>
            <w:tcBorders>
              <w:bottom w:val="single" w:sz="4" w:color="D9E1E6"/>
            </w:tcBorders>
          </w:tcPr>
          <w:p>
            <w:pPr>
              <w:spacing w:after="0" w:line="257" w:lineRule="auto"/>
            </w:pPr>
            <w:r>
              <w:rPr>
                <w:sz w:val="16"/>
              </w:rPr>
              <w:t>Agregada</w:t>
            </w:r>
          </w:p>
        </w:tc>
        <w:tc>
          <w:tcPr>
            <w:tcW w:type="dxa" w:w="2551"/>
            <w:vAlign w:val="center"/>
            <w:tcMar>
              <w:top w:w="90" w:type="dxa"/>
              <w:start w:w="100" w:type="dxa"/>
              <w:bottom w:w="90" w:type="dxa"/>
              <w:end w:w="100" w:type="dxa"/>
            </w:tcMar>
            <w:tcBorders>
              <w:bottom w:val="single" w:sz="4" w:color="D9E1E6"/>
            </w:tcBorders>
          </w:tcPr>
          <w:p>
            <w:pPr>
              <w:spacing w:after="0" w:line="257" w:lineRule="auto"/>
            </w:pPr>
            <w:r>
              <w:rPr>
                <w:sz w:val="16"/>
              </w:rPr>
              <w:t>Uma linha por conjunto de dimensões e janela</w:t>
            </w:r>
          </w:p>
        </w:tc>
        <w:tc>
          <w:tcPr>
            <w:tcW w:type="dxa" w:w="3969"/>
            <w:vAlign w:val="center"/>
            <w:tcMar>
              <w:top w:w="90" w:type="dxa"/>
              <w:start w:w="100" w:type="dxa"/>
              <w:bottom w:w="90" w:type="dxa"/>
              <w:end w:w="100" w:type="dxa"/>
            </w:tcMar>
            <w:tcBorders>
              <w:bottom w:val="single" w:sz="4" w:color="D9E1E6"/>
            </w:tcBorders>
          </w:tcPr>
          <w:p>
            <w:pPr>
              <w:spacing w:after="0" w:line="257" w:lineRule="auto"/>
            </w:pPr>
            <w:r>
              <w:rPr>
                <w:sz w:val="16"/>
              </w:rPr>
              <w:t>Acelerar consumo específico sem destruir fato detalhada.</w:t>
            </w:r>
          </w:p>
        </w:tc>
      </w:tr>
    </w:tbl>
    <w:p>
      <w:pPr>
        <w:spacing w:after="0"/>
      </w:pPr>
    </w:p>
    <w:p>
      <w:pPr>
        <w:pStyle w:val="Heading2"/>
      </w:pPr>
      <w:r>
        <w:t>11.2 Dimensões e relacionamentos</w:t>
      </w:r>
    </w:p>
    <w:p>
      <w:pPr/>
      <w:r>
        <w:t>Definir dimensões conformadas, role-playing, degeneradas, junk, bridge (N:N), mini-dimensões e hierarquias conforme cardinalidade e estabilidade. Desnormalizar para simplificar análises, evitando duplicação sem controle ou perda do significado temporal. Dimensões e fatos declararão chaves, grão, vigência, relacionamentos e semântica de nulos.</w:t>
      </w:r>
    </w:p>
    <w:p>
      <w:pPr>
        <w:pStyle w:val="Heading2"/>
      </w:pPr>
      <w:r>
        <w:t>11.3 BK, SK e hashes</w:t>
      </w:r>
    </w:p>
    <w:p>
      <w:pPr/>
      <w:r>
        <w:t>BK é a identidade de negócio da entidade, e não necessariamente um número. Uma BK técnica pode ser representada por SHA-256 de componentes canonizados (nulos, separadores, codificação, case e espaços tratados por contrato). SK é a identidade substituta de uma linha/versão dimensional. Para SK determinística com xxhash64, controlar colisão e estabilidade; em SCD2, não derivar SK só da BK, pois versões distintas precisam de SK distintas.</w:t>
      </w:r>
    </w:p>
    <w:tbl>
      <w:tblPr>
        <w:tblW w:type="auto" w:w="0"/>
        <w:jc w:val="center"/>
        <w:tblLayout w:type="fixed"/>
        <w:tblLook w:firstColumn="1" w:firstRow="1" w:lastColumn="0" w:lastRow="0" w:noHBand="0" w:noVBand="1" w:val="04A0"/>
      </w:tblPr>
      <w:tblGrid>
        <w:gridCol w:w="1757"/>
        <w:gridCol w:w="3005"/>
        <w:gridCol w:w="3572"/>
      </w:tblGrid>
      <w:tr>
        <w:trPr>
          <w:tblHeader w:val="true"/>
          <w:cantSplit/>
        </w:trPr>
        <w:tc>
          <w:tcPr>
            <w:tcW w:type="dxa" w:w="3184"/>
            <w:shd w:fill="142439"/>
            <w:tcMar>
              <w:top w:w="95" w:type="dxa"/>
              <w:start w:w="100" w:type="dxa"/>
              <w:bottom w:w="95" w:type="dxa"/>
              <w:end w:w="100" w:type="dxa"/>
            </w:tcMar>
          </w:tcPr>
          <w:p>
            <w:pPr>
              <w:spacing w:after="0"/>
            </w:pPr>
            <w:r>
              <w:rPr>
                <w:b/>
                <w:color w:val="FFFFFF"/>
                <w:sz w:val="16"/>
              </w:rPr>
              <w:t>Elemento</w:t>
            </w:r>
          </w:p>
        </w:tc>
        <w:tc>
          <w:tcPr>
            <w:tcW w:type="dxa" w:w="3184"/>
            <w:shd w:fill="142439"/>
            <w:tcMar>
              <w:top w:w="95" w:type="dxa"/>
              <w:start w:w="100" w:type="dxa"/>
              <w:bottom w:w="95" w:type="dxa"/>
              <w:end w:w="100" w:type="dxa"/>
            </w:tcMar>
          </w:tcPr>
          <w:p>
            <w:pPr>
              <w:spacing w:after="0"/>
            </w:pPr>
            <w:r>
              <w:rPr>
                <w:b/>
                <w:color w:val="FFFFFF"/>
                <w:sz w:val="16"/>
              </w:rPr>
              <w:t>Padrão recomendado</w:t>
            </w:r>
          </w:p>
        </w:tc>
        <w:tc>
          <w:tcPr>
            <w:tcW w:type="dxa" w:w="3184"/>
            <w:shd w:fill="142439"/>
            <w:tcMar>
              <w:top w:w="95" w:type="dxa"/>
              <w:start w:w="100" w:type="dxa"/>
              <w:bottom w:w="95" w:type="dxa"/>
              <w:end w:w="100" w:type="dxa"/>
            </w:tcMar>
          </w:tcPr>
          <w:p>
            <w:pPr>
              <w:spacing w:after="0"/>
            </w:pPr>
            <w:r>
              <w:rPr>
                <w:b/>
                <w:color w:val="FFFFFF"/>
                <w:sz w:val="16"/>
              </w:rPr>
              <w:t>Regra de qualidade</w:t>
            </w:r>
          </w:p>
        </w:tc>
      </w:tr>
      <w:tr>
        <w:trPr>
          <w:cantSplit/>
        </w:trPr>
        <w:tc>
          <w:tcPr>
            <w:tcW w:type="dxa" w:w="1757"/>
            <w:vAlign w:val="center"/>
            <w:tcMar>
              <w:top w:w="90" w:type="dxa"/>
              <w:start w:w="100" w:type="dxa"/>
              <w:bottom w:w="90" w:type="dxa"/>
              <w:end w:w="100" w:type="dxa"/>
            </w:tcMar>
            <w:tcBorders>
              <w:bottom w:val="single" w:sz="4" w:color="D9E1E6"/>
            </w:tcBorders>
          </w:tcPr>
          <w:p>
            <w:pPr>
              <w:spacing w:after="0" w:line="257" w:lineRule="auto"/>
            </w:pPr>
            <w:r>
              <w:rPr>
                <w:sz w:val="16"/>
              </w:rPr>
              <w:t>BK de entidade</w:t>
            </w:r>
          </w:p>
        </w:tc>
        <w:tc>
          <w:tcPr>
            <w:tcW w:type="dxa" w:w="3005"/>
            <w:vAlign w:val="center"/>
            <w:tcMar>
              <w:top w:w="90" w:type="dxa"/>
              <w:start w:w="100" w:type="dxa"/>
              <w:bottom w:w="90" w:type="dxa"/>
              <w:end w:w="100" w:type="dxa"/>
            </w:tcMar>
            <w:tcBorders>
              <w:bottom w:val="single" w:sz="4" w:color="D9E1E6"/>
            </w:tcBorders>
          </w:tcPr>
          <w:p>
            <w:pPr>
              <w:spacing w:after="0" w:line="257" w:lineRule="auto"/>
            </w:pPr>
            <w:r>
              <w:rPr>
                <w:sz w:val="16"/>
              </w:rPr>
              <w:t>Chave natural normalizada ou SHA-256 estável</w:t>
            </w:r>
          </w:p>
        </w:tc>
        <w:tc>
          <w:tcPr>
            <w:tcW w:type="dxa" w:w="3572"/>
            <w:vAlign w:val="center"/>
            <w:tcMar>
              <w:top w:w="90" w:type="dxa"/>
              <w:start w:w="100" w:type="dxa"/>
              <w:bottom w:w="90" w:type="dxa"/>
              <w:end w:w="100" w:type="dxa"/>
            </w:tcMar>
            <w:tcBorders>
              <w:bottom w:val="single" w:sz="4" w:color="D9E1E6"/>
            </w:tcBorders>
          </w:tcPr>
          <w:p>
            <w:pPr>
              <w:spacing w:after="0" w:line="257" w:lineRule="auto"/>
            </w:pPr>
            <w:r>
              <w:rPr>
                <w:sz w:val="16"/>
              </w:rPr>
              <w:t>Unicidade de identidade; sem dependência de atributos mutáveis.</w:t>
            </w:r>
          </w:p>
        </w:tc>
      </w:tr>
      <w:tr>
        <w:trPr>
          <w:cantSplit/>
        </w:trPr>
        <w:tc>
          <w:tcPr>
            <w:tcW w:type="dxa" w:w="1757"/>
            <w:vAlign w:val="center"/>
            <w:tcMar>
              <w:top w:w="90" w:type="dxa"/>
              <w:start w:w="100" w:type="dxa"/>
              <w:bottom w:w="90" w:type="dxa"/>
              <w:end w:w="100" w:type="dxa"/>
            </w:tcMar>
            <w:shd w:fill="F3F6F8"/>
            <w:tcBorders>
              <w:bottom w:val="single" w:sz="4" w:color="D9E1E6"/>
            </w:tcBorders>
          </w:tcPr>
          <w:p>
            <w:pPr>
              <w:spacing w:after="0" w:line="257" w:lineRule="auto"/>
            </w:pPr>
            <w:r>
              <w:rPr>
                <w:sz w:val="16"/>
              </w:rPr>
              <w:t>SK de dimensão SCD1</w:t>
            </w:r>
          </w:p>
        </w:tc>
        <w:tc>
          <w:tcPr>
            <w:tcW w:type="dxa" w:w="3005"/>
            <w:vAlign w:val="center"/>
            <w:tcMar>
              <w:top w:w="90" w:type="dxa"/>
              <w:start w:w="100" w:type="dxa"/>
              <w:bottom w:w="90" w:type="dxa"/>
              <w:end w:w="100" w:type="dxa"/>
            </w:tcMar>
            <w:shd w:fill="F3F6F8"/>
            <w:tcBorders>
              <w:bottom w:val="single" w:sz="4" w:color="D9E1E6"/>
            </w:tcBorders>
          </w:tcPr>
          <w:p>
            <w:pPr>
              <w:spacing w:after="0" w:line="257" w:lineRule="auto"/>
            </w:pPr>
            <w:r>
              <w:rPr>
                <w:sz w:val="16"/>
              </w:rPr>
              <w:t>Identificador substituto estável (surrogate)</w:t>
            </w:r>
          </w:p>
        </w:tc>
        <w:tc>
          <w:tcPr>
            <w:tcW w:type="dxa" w:w="3572"/>
            <w:vAlign w:val="center"/>
            <w:tcMar>
              <w:top w:w="90" w:type="dxa"/>
              <w:start w:w="100" w:type="dxa"/>
              <w:bottom w:w="90" w:type="dxa"/>
              <w:end w:w="100" w:type="dxa"/>
            </w:tcMar>
            <w:shd w:fill="F3F6F8"/>
            <w:tcBorders>
              <w:bottom w:val="single" w:sz="4" w:color="D9E1E6"/>
            </w:tcBorders>
          </w:tcPr>
          <w:p>
            <w:pPr>
              <w:spacing w:after="0" w:line="257" w:lineRule="auto"/>
            </w:pPr>
            <w:r>
              <w:rPr>
                <w:sz w:val="16"/>
              </w:rPr>
              <w:t>Unicidade e integridade com fatos.</w:t>
            </w:r>
          </w:p>
        </w:tc>
      </w:tr>
      <w:tr>
        <w:trPr>
          <w:cantSplit/>
        </w:trPr>
        <w:tc>
          <w:tcPr>
            <w:tcW w:type="dxa" w:w="1757"/>
            <w:vAlign w:val="center"/>
            <w:tcMar>
              <w:top w:w="90" w:type="dxa"/>
              <w:start w:w="100" w:type="dxa"/>
              <w:bottom w:w="90" w:type="dxa"/>
              <w:end w:w="100" w:type="dxa"/>
            </w:tcMar>
            <w:tcBorders>
              <w:bottom w:val="single" w:sz="4" w:color="D9E1E6"/>
            </w:tcBorders>
          </w:tcPr>
          <w:p>
            <w:pPr>
              <w:spacing w:after="0" w:line="257" w:lineRule="auto"/>
            </w:pPr>
            <w:r>
              <w:rPr>
                <w:sz w:val="16"/>
              </w:rPr>
              <w:t>SK de dimensão SCD2</w:t>
            </w:r>
          </w:p>
        </w:tc>
        <w:tc>
          <w:tcPr>
            <w:tcW w:type="dxa" w:w="3005"/>
            <w:vAlign w:val="center"/>
            <w:tcMar>
              <w:top w:w="90" w:type="dxa"/>
              <w:start w:w="100" w:type="dxa"/>
              <w:bottom w:w="90" w:type="dxa"/>
              <w:end w:w="100" w:type="dxa"/>
            </w:tcMar>
            <w:tcBorders>
              <w:bottom w:val="single" w:sz="4" w:color="D9E1E6"/>
            </w:tcBorders>
          </w:tcPr>
          <w:p>
            <w:pPr>
              <w:spacing w:after="0" w:line="257" w:lineRule="auto"/>
            </w:pPr>
            <w:r>
              <w:rPr>
                <w:sz w:val="16"/>
              </w:rPr>
              <w:t>Identificador único e estável da versão</w:t>
            </w:r>
          </w:p>
        </w:tc>
        <w:tc>
          <w:tcPr>
            <w:tcW w:type="dxa" w:w="3572"/>
            <w:vAlign w:val="center"/>
            <w:tcMar>
              <w:top w:w="90" w:type="dxa"/>
              <w:start w:w="100" w:type="dxa"/>
              <w:bottom w:w="90" w:type="dxa"/>
              <w:end w:w="100" w:type="dxa"/>
            </w:tcMar>
            <w:tcBorders>
              <w:bottom w:val="single" w:sz="4" w:color="D9E1E6"/>
            </w:tcBorders>
          </w:tcPr>
          <w:p>
            <w:pPr>
              <w:spacing w:after="0" w:line="257" w:lineRule="auto"/>
            </w:pPr>
            <w:r>
              <w:rPr>
                <w:sz w:val="16"/>
              </w:rPr>
              <w:t>Não reutilizar entre versões; guardar BK e intervalo de vigência.</w:t>
            </w:r>
          </w:p>
        </w:tc>
      </w:tr>
      <w:tr>
        <w:trPr>
          <w:cantSplit/>
        </w:trPr>
        <w:tc>
          <w:tcPr>
            <w:tcW w:type="dxa" w:w="1757"/>
            <w:vAlign w:val="center"/>
            <w:tcMar>
              <w:top w:w="90" w:type="dxa"/>
              <w:start w:w="100" w:type="dxa"/>
              <w:bottom w:w="90" w:type="dxa"/>
              <w:end w:w="100" w:type="dxa"/>
            </w:tcMar>
            <w:shd w:fill="F3F6F8"/>
            <w:tcBorders>
              <w:bottom w:val="single" w:sz="4" w:color="D9E1E6"/>
            </w:tcBorders>
          </w:tcPr>
          <w:p>
            <w:pPr>
              <w:spacing w:after="0" w:line="257" w:lineRule="auto"/>
            </w:pPr>
            <w:r>
              <w:rPr>
                <w:sz w:val="16"/>
              </w:rPr>
              <w:t>hash_diff</w:t>
            </w:r>
          </w:p>
        </w:tc>
        <w:tc>
          <w:tcPr>
            <w:tcW w:type="dxa" w:w="3005"/>
            <w:vAlign w:val="center"/>
            <w:tcMar>
              <w:top w:w="90" w:type="dxa"/>
              <w:start w:w="100" w:type="dxa"/>
              <w:bottom w:w="90" w:type="dxa"/>
              <w:end w:w="100" w:type="dxa"/>
            </w:tcMar>
            <w:shd w:fill="F3F6F8"/>
            <w:tcBorders>
              <w:bottom w:val="single" w:sz="4" w:color="D9E1E6"/>
            </w:tcBorders>
          </w:tcPr>
          <w:p>
            <w:pPr>
              <w:spacing w:after="0" w:line="257" w:lineRule="auto"/>
            </w:pPr>
            <w:r>
              <w:rPr>
                <w:sz w:val="16"/>
              </w:rPr>
              <w:t>SHA-256 de atributos comparáveis canonizados</w:t>
            </w:r>
          </w:p>
        </w:tc>
        <w:tc>
          <w:tcPr>
            <w:tcW w:type="dxa" w:w="3572"/>
            <w:vAlign w:val="center"/>
            <w:tcMar>
              <w:top w:w="90" w:type="dxa"/>
              <w:start w:w="100" w:type="dxa"/>
              <w:bottom w:w="90" w:type="dxa"/>
              <w:end w:w="100" w:type="dxa"/>
            </w:tcMar>
            <w:shd w:fill="F3F6F8"/>
            <w:tcBorders>
              <w:bottom w:val="single" w:sz="4" w:color="D9E1E6"/>
            </w:tcBorders>
          </w:tcPr>
          <w:p>
            <w:pPr>
              <w:spacing w:after="0" w:line="257" w:lineRule="auto"/>
            </w:pPr>
            <w:r>
              <w:rPr>
                <w:sz w:val="16"/>
              </w:rPr>
              <w:t>Só muda quando os campos rastreados mudarem.</w:t>
            </w:r>
          </w:p>
        </w:tc>
      </w:tr>
      <w:tr>
        <w:trPr>
          <w:cantSplit/>
        </w:trPr>
        <w:tc>
          <w:tcPr>
            <w:tcW w:type="dxa" w:w="1757"/>
            <w:vAlign w:val="center"/>
            <w:tcMar>
              <w:top w:w="90" w:type="dxa"/>
              <w:start w:w="100" w:type="dxa"/>
              <w:bottom w:w="90" w:type="dxa"/>
              <w:end w:w="100" w:type="dxa"/>
            </w:tcMar>
            <w:tcBorders>
              <w:bottom w:val="single" w:sz="4" w:color="D9E1E6"/>
            </w:tcBorders>
          </w:tcPr>
          <w:p>
            <w:pPr>
              <w:spacing w:after="0" w:line="257" w:lineRule="auto"/>
            </w:pPr>
            <w:r>
              <w:rPr>
                <w:sz w:val="16"/>
              </w:rPr>
              <w:t>Desconhecido</w:t>
            </w:r>
          </w:p>
        </w:tc>
        <w:tc>
          <w:tcPr>
            <w:tcW w:type="dxa" w:w="3005"/>
            <w:vAlign w:val="center"/>
            <w:tcMar>
              <w:top w:w="90" w:type="dxa"/>
              <w:start w:w="100" w:type="dxa"/>
              <w:bottom w:w="90" w:type="dxa"/>
              <w:end w:w="100" w:type="dxa"/>
            </w:tcMar>
            <w:tcBorders>
              <w:bottom w:val="single" w:sz="4" w:color="D9E1E6"/>
            </w:tcBorders>
          </w:tcPr>
          <w:p>
            <w:pPr>
              <w:spacing w:after="0" w:line="257" w:lineRule="auto"/>
            </w:pPr>
            <w:r>
              <w:rPr>
                <w:sz w:val="16"/>
              </w:rPr>
              <w:t>Membro padrão SK = -1, quando aplicável</w:t>
            </w:r>
          </w:p>
        </w:tc>
        <w:tc>
          <w:tcPr>
            <w:tcW w:type="dxa" w:w="3572"/>
            <w:vAlign w:val="center"/>
            <w:tcMar>
              <w:top w:w="90" w:type="dxa"/>
              <w:start w:w="100" w:type="dxa"/>
              <w:bottom w:w="90" w:type="dxa"/>
              <w:end w:w="100" w:type="dxa"/>
            </w:tcMar>
            <w:tcBorders>
              <w:bottom w:val="single" w:sz="4" w:color="D9E1E6"/>
            </w:tcBorders>
          </w:tcPr>
          <w:p>
            <w:pPr>
              <w:spacing w:after="0" w:line="257" w:lineRule="auto"/>
            </w:pPr>
            <w:r>
              <w:rPr>
                <w:sz w:val="16"/>
              </w:rPr>
              <w:t>Fato órfão não desaparece; reconciliação para resolução tardia.</w:t>
            </w:r>
          </w:p>
        </w:tc>
      </w:tr>
    </w:tbl>
    <w:p>
      <w:pPr>
        <w:spacing w:after="0"/>
      </w:pPr>
    </w:p>
    <w:p>
      <w:pPr>
        <w:pStyle w:val="Heading2"/>
      </w:pPr>
      <w:r>
        <w:t>11.4 Data/hora e fatos históricos</w:t>
      </w:r>
    </w:p>
    <w:p>
      <w:pPr/>
      <w:r>
        <w:t>Uma fato referenciando uma dimensão SCD2 geralmente precisa resolver a versão vigente no instante de negócio declarado, não necessariamente a dimensão corrente no dia da carga. Atrasos de chegada e correções retroativas podem exigir atualizar as SKs das fatos afetadas, conforme o contrato. Para snapshots, a data de competência deve refletir o atributo de negócio, nunca ser substituída automaticamente pelo horário de ingestão.</w:t>
      </w:r>
    </w:p>
    <w:p>
      <w:pPr>
        <w:pStyle w:val="Heading2"/>
      </w:pPr>
      <w:r>
        <w:t>11.5 Modelos semânticos e IA</w:t>
      </w:r>
    </w:p>
    <w:p>
      <w:pPr/>
      <w:r>
        <w:t>A semântica de medidas, filtros, dimensões e unidades deve ser única e versionada. Metric views podem centralizar métricas quando adequadas; soluções de BI, aplicações e assistentes de IA (por exemplo, Genie) consomem produtos publicados com permissões, definições e controles de exposição explícitos.</w:t>
      </w:r>
    </w:p>
    <w:p>
      <w:pPr>
        <w:pStyle w:val="Heading1"/>
      </w:pPr>
      <w:r>
        <w:t>12. Contratos de dados e plano de metadados</w:t>
      </w:r>
    </w:p>
    <w:p>
      <w:pPr/>
      <w:r>
        <w:t>O contrato é a interface verificável entre produtor, plataforma e consumidor. Sua função não é documentar apenas colunas: ele estabelece as condições para capturar, mover, transformar, conservar, recuperar e publicar o dado.</w:t>
      </w:r>
    </w:p>
    <w:p>
      <w:pPr>
        <w:pStyle w:val="Heading2"/>
      </w:pPr>
      <w:r>
        <w:t>12.1 Áreas do contrato</w:t>
      </w:r>
    </w:p>
    <w:tbl>
      <w:tblPr>
        <w:tblW w:type="auto" w:w="0"/>
        <w:jc w:val="center"/>
        <w:tblLayout w:type="fixed"/>
        <w:tblLook w:firstColumn="1" w:firstRow="1" w:lastColumn="0" w:lastRow="0" w:noHBand="0" w:noVBand="1" w:val="04A0"/>
      </w:tblPr>
      <w:tblGrid>
        <w:gridCol w:w="2211"/>
        <w:gridCol w:w="6123"/>
      </w:tblGrid>
      <w:tr>
        <w:trPr>
          <w:tblHeader w:val="true"/>
          <w:cantSplit/>
        </w:trPr>
        <w:tc>
          <w:tcPr>
            <w:tcW w:type="dxa" w:w="4776"/>
            <w:shd w:fill="142439"/>
            <w:tcMar>
              <w:top w:w="95" w:type="dxa"/>
              <w:start w:w="100" w:type="dxa"/>
              <w:bottom w:w="95" w:type="dxa"/>
              <w:end w:w="100" w:type="dxa"/>
            </w:tcMar>
          </w:tcPr>
          <w:p>
            <w:pPr>
              <w:spacing w:after="0"/>
            </w:pPr>
            <w:r>
              <w:rPr>
                <w:b/>
                <w:color w:val="FFFFFF"/>
                <w:sz w:val="16"/>
              </w:rPr>
              <w:t>Grupo</w:t>
            </w:r>
          </w:p>
        </w:tc>
        <w:tc>
          <w:tcPr>
            <w:tcW w:type="dxa" w:w="4776"/>
            <w:shd w:fill="142439"/>
            <w:tcMar>
              <w:top w:w="95" w:type="dxa"/>
              <w:start w:w="100" w:type="dxa"/>
              <w:bottom w:w="95" w:type="dxa"/>
              <w:end w:w="100" w:type="dxa"/>
            </w:tcMar>
          </w:tcPr>
          <w:p>
            <w:pPr>
              <w:spacing w:after="0"/>
            </w:pPr>
            <w:r>
              <w:rPr>
                <w:b/>
                <w:color w:val="FFFFFF"/>
                <w:sz w:val="16"/>
              </w:rPr>
              <w:t>Campos exemplares</w:t>
            </w:r>
          </w:p>
        </w:tc>
      </w:tr>
      <w:tr>
        <w:trPr>
          <w:cantSplit/>
        </w:trPr>
        <w:tc>
          <w:tcPr>
            <w:tcW w:type="dxa" w:w="2211"/>
            <w:vAlign w:val="center"/>
            <w:tcMar>
              <w:top w:w="90" w:type="dxa"/>
              <w:start w:w="100" w:type="dxa"/>
              <w:bottom w:w="90" w:type="dxa"/>
              <w:end w:w="100" w:type="dxa"/>
            </w:tcMar>
            <w:tcBorders>
              <w:bottom w:val="single" w:sz="4" w:color="D9E1E6"/>
            </w:tcBorders>
          </w:tcPr>
          <w:p>
            <w:pPr>
              <w:spacing w:after="0" w:line="257" w:lineRule="auto"/>
            </w:pPr>
            <w:r>
              <w:rPr>
                <w:sz w:val="16"/>
              </w:rPr>
              <w:t>Identidade</w:t>
            </w:r>
          </w:p>
        </w:tc>
        <w:tc>
          <w:tcPr>
            <w:tcW w:type="dxa" w:w="6123"/>
            <w:vAlign w:val="center"/>
            <w:tcMar>
              <w:top w:w="90" w:type="dxa"/>
              <w:start w:w="100" w:type="dxa"/>
              <w:bottom w:w="90" w:type="dxa"/>
              <w:end w:w="100" w:type="dxa"/>
            </w:tcMar>
            <w:tcBorders>
              <w:bottom w:val="single" w:sz="4" w:color="D9E1E6"/>
            </w:tcBorders>
          </w:tcPr>
          <w:p>
            <w:pPr>
              <w:spacing w:after="0" w:line="257" w:lineRule="auto"/>
            </w:pPr>
            <w:r>
              <w:rPr>
                <w:sz w:val="16"/>
              </w:rPr>
              <w:t>source_id, dataset_id, domínio, owner técnico, owner funcional, versão</w:t>
            </w:r>
          </w:p>
        </w:tc>
      </w:tr>
      <w:tr>
        <w:trPr>
          <w:cantSplit/>
        </w:trPr>
        <w:tc>
          <w:tcPr>
            <w:tcW w:type="dxa" w:w="2211"/>
            <w:vAlign w:val="center"/>
            <w:tcMar>
              <w:top w:w="90" w:type="dxa"/>
              <w:start w:w="100" w:type="dxa"/>
              <w:bottom w:w="90" w:type="dxa"/>
              <w:end w:w="100" w:type="dxa"/>
            </w:tcMar>
            <w:shd w:fill="F3F6F8"/>
            <w:tcBorders>
              <w:bottom w:val="single" w:sz="4" w:color="D9E1E6"/>
            </w:tcBorders>
          </w:tcPr>
          <w:p>
            <w:pPr>
              <w:spacing w:after="0" w:line="257" w:lineRule="auto"/>
            </w:pPr>
            <w:r>
              <w:rPr>
                <w:sz w:val="16"/>
              </w:rPr>
              <w:t>Origem</w:t>
            </w:r>
          </w:p>
        </w:tc>
        <w:tc>
          <w:tcPr>
            <w:tcW w:type="dxa" w:w="6123"/>
            <w:vAlign w:val="center"/>
            <w:tcMar>
              <w:top w:w="90" w:type="dxa"/>
              <w:start w:w="100" w:type="dxa"/>
              <w:bottom w:w="90" w:type="dxa"/>
              <w:end w:w="100" w:type="dxa"/>
            </w:tcMar>
            <w:shd w:fill="F3F6F8"/>
            <w:tcBorders>
              <w:bottom w:val="single" w:sz="4" w:color="D9E1E6"/>
            </w:tcBorders>
          </w:tcPr>
          <w:p>
            <w:pPr>
              <w:spacing w:after="0" w:line="257" w:lineRule="auto"/>
            </w:pPr>
            <w:r>
              <w:rPr>
                <w:sz w:val="16"/>
              </w:rPr>
              <w:t>canal, endpoint lógico, formato, schema, chave e sequência</w:t>
            </w:r>
          </w:p>
        </w:tc>
      </w:tr>
      <w:tr>
        <w:trPr>
          <w:cantSplit/>
        </w:trPr>
        <w:tc>
          <w:tcPr>
            <w:tcW w:type="dxa" w:w="2211"/>
            <w:vAlign w:val="center"/>
            <w:tcMar>
              <w:top w:w="90" w:type="dxa"/>
              <w:start w:w="100" w:type="dxa"/>
              <w:bottom w:w="90" w:type="dxa"/>
              <w:end w:w="100" w:type="dxa"/>
            </w:tcMar>
            <w:tcBorders>
              <w:bottom w:val="single" w:sz="4" w:color="D9E1E6"/>
            </w:tcBorders>
          </w:tcPr>
          <w:p>
            <w:pPr>
              <w:spacing w:after="0" w:line="257" w:lineRule="auto"/>
            </w:pPr>
            <w:r>
              <w:rPr>
                <w:sz w:val="16"/>
              </w:rPr>
              <w:t>Entrega</w:t>
            </w:r>
          </w:p>
        </w:tc>
        <w:tc>
          <w:tcPr>
            <w:tcW w:type="dxa" w:w="6123"/>
            <w:vAlign w:val="center"/>
            <w:tcMar>
              <w:top w:w="90" w:type="dxa"/>
              <w:start w:w="100" w:type="dxa"/>
              <w:bottom w:w="90" w:type="dxa"/>
              <w:end w:w="100" w:type="dxa"/>
            </w:tcMar>
            <w:tcBorders>
              <w:bottom w:val="single" w:sz="4" w:color="D9E1E6"/>
            </w:tcBorders>
          </w:tcPr>
          <w:p>
            <w:pPr>
              <w:spacing w:after="0" w:line="257" w:lineRule="auto"/>
            </w:pPr>
            <w:r>
              <w:rPr>
                <w:sz w:val="16"/>
              </w:rPr>
              <w:t>frequência, janela, prazo-limite, completude, manifesto</w:t>
            </w:r>
          </w:p>
        </w:tc>
      </w:tr>
      <w:tr>
        <w:trPr>
          <w:cantSplit/>
        </w:trPr>
        <w:tc>
          <w:tcPr>
            <w:tcW w:type="dxa" w:w="2211"/>
            <w:vAlign w:val="center"/>
            <w:tcMar>
              <w:top w:w="90" w:type="dxa"/>
              <w:start w:w="100" w:type="dxa"/>
              <w:bottom w:w="90" w:type="dxa"/>
              <w:end w:w="100" w:type="dxa"/>
            </w:tcMar>
            <w:shd w:fill="F3F6F8"/>
            <w:tcBorders>
              <w:bottom w:val="single" w:sz="4" w:color="D9E1E6"/>
            </w:tcBorders>
          </w:tcPr>
          <w:p>
            <w:pPr>
              <w:spacing w:after="0" w:line="257" w:lineRule="auto"/>
            </w:pPr>
            <w:r>
              <w:rPr>
                <w:sz w:val="16"/>
              </w:rPr>
              <w:t>Qualidade</w:t>
            </w:r>
          </w:p>
        </w:tc>
        <w:tc>
          <w:tcPr>
            <w:tcW w:type="dxa" w:w="6123"/>
            <w:vAlign w:val="center"/>
            <w:tcMar>
              <w:top w:w="90" w:type="dxa"/>
              <w:start w:w="100" w:type="dxa"/>
              <w:bottom w:w="90" w:type="dxa"/>
              <w:end w:w="100" w:type="dxa"/>
            </w:tcMar>
            <w:shd w:fill="F3F6F8"/>
            <w:tcBorders>
              <w:bottom w:val="single" w:sz="4" w:color="D9E1E6"/>
            </w:tcBorders>
          </w:tcPr>
          <w:p>
            <w:pPr>
              <w:spacing w:after="0" w:line="257" w:lineRule="auto"/>
            </w:pPr>
            <w:r>
              <w:rPr>
                <w:sz w:val="16"/>
              </w:rPr>
              <w:t>regras, severidades, tolerâncias, unidade de rejeição</w:t>
            </w:r>
          </w:p>
        </w:tc>
      </w:tr>
      <w:tr>
        <w:trPr>
          <w:cantSplit/>
        </w:trPr>
        <w:tc>
          <w:tcPr>
            <w:tcW w:type="dxa" w:w="2211"/>
            <w:vAlign w:val="center"/>
            <w:tcMar>
              <w:top w:w="90" w:type="dxa"/>
              <w:start w:w="100" w:type="dxa"/>
              <w:bottom w:w="90" w:type="dxa"/>
              <w:end w:w="100" w:type="dxa"/>
            </w:tcMar>
            <w:tcBorders>
              <w:bottom w:val="single" w:sz="4" w:color="D9E1E6"/>
            </w:tcBorders>
          </w:tcPr>
          <w:p>
            <w:pPr>
              <w:spacing w:after="0" w:line="257" w:lineRule="auto"/>
            </w:pPr>
            <w:r>
              <w:rPr>
                <w:sz w:val="16"/>
              </w:rPr>
              <w:t>Histórico</w:t>
            </w:r>
          </w:p>
        </w:tc>
        <w:tc>
          <w:tcPr>
            <w:tcW w:type="dxa" w:w="6123"/>
            <w:vAlign w:val="center"/>
            <w:tcMar>
              <w:top w:w="90" w:type="dxa"/>
              <w:start w:w="100" w:type="dxa"/>
              <w:bottom w:w="90" w:type="dxa"/>
              <w:end w:w="100" w:type="dxa"/>
            </w:tcMar>
            <w:tcBorders>
              <w:bottom w:val="single" w:sz="4" w:color="D9E1E6"/>
            </w:tcBorders>
          </w:tcPr>
          <w:p>
            <w:pPr>
              <w:spacing w:after="0" w:line="257" w:lineRule="auto"/>
            </w:pPr>
            <w:r>
              <w:rPr>
                <w:sz w:val="16"/>
              </w:rPr>
              <w:t>modo CDC/snapshot, SCD, vigência, política de delete</w:t>
            </w:r>
          </w:p>
        </w:tc>
      </w:tr>
      <w:tr>
        <w:trPr>
          <w:cantSplit/>
        </w:trPr>
        <w:tc>
          <w:tcPr>
            <w:tcW w:type="dxa" w:w="2211"/>
            <w:vAlign w:val="center"/>
            <w:tcMar>
              <w:top w:w="90" w:type="dxa"/>
              <w:start w:w="100" w:type="dxa"/>
              <w:bottom w:w="90" w:type="dxa"/>
              <w:end w:w="100" w:type="dxa"/>
            </w:tcMar>
            <w:shd w:fill="F3F6F8"/>
            <w:tcBorders>
              <w:bottom w:val="single" w:sz="4" w:color="D9E1E6"/>
            </w:tcBorders>
          </w:tcPr>
          <w:p>
            <w:pPr>
              <w:spacing w:after="0" w:line="257" w:lineRule="auto"/>
            </w:pPr>
            <w:r>
              <w:rPr>
                <w:sz w:val="16"/>
              </w:rPr>
              <w:t>Retenção e replay</w:t>
            </w:r>
          </w:p>
        </w:tc>
        <w:tc>
          <w:tcPr>
            <w:tcW w:type="dxa" w:w="6123"/>
            <w:vAlign w:val="center"/>
            <w:tcMar>
              <w:top w:w="90" w:type="dxa"/>
              <w:start w:w="100" w:type="dxa"/>
              <w:bottom w:w="90" w:type="dxa"/>
              <w:end w:w="100" w:type="dxa"/>
            </w:tcMar>
            <w:shd w:fill="F3F6F8"/>
            <w:tcBorders>
              <w:bottom w:val="single" w:sz="4" w:color="D9E1E6"/>
            </w:tcBorders>
          </w:tcPr>
          <w:p>
            <w:pPr>
              <w:spacing w:after="0" w:line="257" w:lineRule="auto"/>
            </w:pPr>
            <w:r>
              <w:rPr>
                <w:sz w:val="16"/>
              </w:rPr>
              <w:t>janelas, arquivo frio, recovery_mode, reset_allowed</w:t>
            </w:r>
          </w:p>
        </w:tc>
      </w:tr>
      <w:tr>
        <w:trPr>
          <w:cantSplit/>
        </w:trPr>
        <w:tc>
          <w:tcPr>
            <w:tcW w:type="dxa" w:w="2211"/>
            <w:vAlign w:val="center"/>
            <w:tcMar>
              <w:top w:w="90" w:type="dxa"/>
              <w:start w:w="100" w:type="dxa"/>
              <w:bottom w:w="90" w:type="dxa"/>
              <w:end w:w="100" w:type="dxa"/>
            </w:tcMar>
            <w:tcBorders>
              <w:bottom w:val="single" w:sz="4" w:color="D9E1E6"/>
            </w:tcBorders>
          </w:tcPr>
          <w:p>
            <w:pPr>
              <w:spacing w:after="0" w:line="257" w:lineRule="auto"/>
            </w:pPr>
            <w:r>
              <w:rPr>
                <w:sz w:val="16"/>
              </w:rPr>
              <w:t>Governança</w:t>
            </w:r>
          </w:p>
        </w:tc>
        <w:tc>
          <w:tcPr>
            <w:tcW w:type="dxa" w:w="6123"/>
            <w:vAlign w:val="center"/>
            <w:tcMar>
              <w:top w:w="90" w:type="dxa"/>
              <w:start w:w="100" w:type="dxa"/>
              <w:bottom w:w="90" w:type="dxa"/>
              <w:end w:w="100" w:type="dxa"/>
            </w:tcMar>
            <w:tcBorders>
              <w:bottom w:val="single" w:sz="4" w:color="D9E1E6"/>
            </w:tcBorders>
          </w:tcPr>
          <w:p>
            <w:pPr>
              <w:spacing w:after="0" w:line="257" w:lineRule="auto"/>
            </w:pPr>
            <w:r>
              <w:rPr>
                <w:sz w:val="16"/>
              </w:rPr>
              <w:t>classificação, acesso, sensibilidade e auditoria</w:t>
            </w:r>
          </w:p>
        </w:tc>
      </w:tr>
      <w:tr>
        <w:trPr>
          <w:cantSplit/>
        </w:trPr>
        <w:tc>
          <w:tcPr>
            <w:tcW w:type="dxa" w:w="2211"/>
            <w:vAlign w:val="center"/>
            <w:tcMar>
              <w:top w:w="90" w:type="dxa"/>
              <w:start w:w="100" w:type="dxa"/>
              <w:bottom w:w="90" w:type="dxa"/>
              <w:end w:w="100" w:type="dxa"/>
            </w:tcMar>
            <w:shd w:fill="F3F6F8"/>
            <w:tcBorders>
              <w:bottom w:val="single" w:sz="4" w:color="D9E1E6"/>
            </w:tcBorders>
          </w:tcPr>
          <w:p>
            <w:pPr>
              <w:spacing w:after="0" w:line="257" w:lineRule="auto"/>
            </w:pPr>
            <w:r>
              <w:rPr>
                <w:sz w:val="16"/>
              </w:rPr>
              <w:t>Publicação</w:t>
            </w:r>
          </w:p>
        </w:tc>
        <w:tc>
          <w:tcPr>
            <w:tcW w:type="dxa" w:w="6123"/>
            <w:vAlign w:val="center"/>
            <w:tcMar>
              <w:top w:w="90" w:type="dxa"/>
              <w:start w:w="100" w:type="dxa"/>
              <w:bottom w:w="90" w:type="dxa"/>
              <w:end w:w="100" w:type="dxa"/>
            </w:tcMar>
            <w:shd w:fill="F3F6F8"/>
            <w:tcBorders>
              <w:bottom w:val="single" w:sz="4" w:color="D9E1E6"/>
            </w:tcBorders>
          </w:tcPr>
          <w:p>
            <w:pPr>
              <w:spacing w:after="0" w:line="257" w:lineRule="auto"/>
            </w:pPr>
            <w:r>
              <w:rPr>
                <w:sz w:val="16"/>
              </w:rPr>
              <w:t>consumidores, dependências, versão, SLA e critérios de aceite</w:t>
            </w:r>
          </w:p>
        </w:tc>
      </w:tr>
    </w:tbl>
    <w:p>
      <w:pPr>
        <w:spacing w:after="0"/>
      </w:pPr>
    </w:p>
    <w:p>
      <w:pPr/>
      <w:r>
        <w:t>O contrato versionado pode residir em YAML/JSON ou outro formato declarativo, validado em CI. A versão efetiva deve ser gravada por lote e por publicação. Tabelas de controle são projeções operacionais do contrato: não se deve permitir que valores editados manualmente anulem silenciosamente a configuração versionada.</w:t>
      </w:r>
    </w:p>
    <w:p>
      <w:pPr>
        <w:pStyle w:val="Heading2"/>
      </w:pPr>
      <w:r>
        <w:t>12.2 Controllers mínimos</w:t>
      </w:r>
    </w:p>
    <w:tbl>
      <w:tblPr>
        <w:tblW w:type="auto" w:w="0"/>
        <w:jc w:val="center"/>
        <w:tblLayout w:type="fixed"/>
        <w:tblLook w:firstColumn="1" w:firstRow="1" w:lastColumn="0" w:lastRow="0" w:noHBand="0" w:noVBand="1" w:val="04A0"/>
      </w:tblPr>
      <w:tblGrid>
        <w:gridCol w:w="2268"/>
        <w:gridCol w:w="2381"/>
        <w:gridCol w:w="3685"/>
      </w:tblGrid>
      <w:tr>
        <w:trPr>
          <w:tblHeader w:val="true"/>
          <w:cantSplit/>
        </w:trPr>
        <w:tc>
          <w:tcPr>
            <w:tcW w:type="dxa" w:w="3184"/>
            <w:shd w:fill="142439"/>
            <w:tcMar>
              <w:top w:w="95" w:type="dxa"/>
              <w:start w:w="100" w:type="dxa"/>
              <w:bottom w:w="95" w:type="dxa"/>
              <w:end w:w="100" w:type="dxa"/>
            </w:tcMar>
          </w:tcPr>
          <w:p>
            <w:pPr>
              <w:spacing w:after="0"/>
            </w:pPr>
            <w:r>
              <w:rPr>
                <w:b/>
                <w:color w:val="FFFFFF"/>
                <w:sz w:val="16"/>
              </w:rPr>
              <w:t>Tabela lógica</w:t>
            </w:r>
          </w:p>
        </w:tc>
        <w:tc>
          <w:tcPr>
            <w:tcW w:type="dxa" w:w="3184"/>
            <w:shd w:fill="142439"/>
            <w:tcMar>
              <w:top w:w="95" w:type="dxa"/>
              <w:start w:w="100" w:type="dxa"/>
              <w:bottom w:w="95" w:type="dxa"/>
              <w:end w:w="100" w:type="dxa"/>
            </w:tcMar>
          </w:tcPr>
          <w:p>
            <w:pPr>
              <w:spacing w:after="0"/>
            </w:pPr>
            <w:r>
              <w:rPr>
                <w:b/>
                <w:color w:val="FFFFFF"/>
                <w:sz w:val="16"/>
              </w:rPr>
              <w:t>Chave/unidade</w:t>
            </w:r>
          </w:p>
        </w:tc>
        <w:tc>
          <w:tcPr>
            <w:tcW w:type="dxa" w:w="3184"/>
            <w:shd w:fill="142439"/>
            <w:tcMar>
              <w:top w:w="95" w:type="dxa"/>
              <w:start w:w="100" w:type="dxa"/>
              <w:bottom w:w="95" w:type="dxa"/>
              <w:end w:w="100" w:type="dxa"/>
            </w:tcMar>
          </w:tcPr>
          <w:p>
            <w:pPr>
              <w:spacing w:after="0"/>
            </w:pPr>
            <w:r>
              <w:rPr>
                <w:b/>
                <w:color w:val="FFFFFF"/>
                <w:sz w:val="16"/>
              </w:rPr>
              <w:t>Finalidade</w:t>
            </w:r>
          </w:p>
        </w:tc>
      </w:tr>
      <w:tr>
        <w:trPr>
          <w:cantSplit/>
        </w:trPr>
        <w:tc>
          <w:tcPr>
            <w:tcW w:type="dxa" w:w="2268"/>
            <w:vAlign w:val="center"/>
            <w:tcMar>
              <w:top w:w="90" w:type="dxa"/>
              <w:start w:w="100" w:type="dxa"/>
              <w:bottom w:w="90" w:type="dxa"/>
              <w:end w:w="100" w:type="dxa"/>
            </w:tcMar>
            <w:tcBorders>
              <w:bottom w:val="single" w:sz="4" w:color="D9E1E6"/>
            </w:tcBorders>
          </w:tcPr>
          <w:p>
            <w:pPr>
              <w:spacing w:after="0" w:line="257" w:lineRule="auto"/>
            </w:pPr>
            <w:r>
              <w:rPr>
                <w:sz w:val="16"/>
              </w:rPr>
              <w:t>source_registry</w:t>
            </w:r>
          </w:p>
        </w:tc>
        <w:tc>
          <w:tcPr>
            <w:tcW w:type="dxa" w:w="2381"/>
            <w:vAlign w:val="center"/>
            <w:tcMar>
              <w:top w:w="90" w:type="dxa"/>
              <w:start w:w="100" w:type="dxa"/>
              <w:bottom w:w="90" w:type="dxa"/>
              <w:end w:w="100" w:type="dxa"/>
            </w:tcMar>
            <w:tcBorders>
              <w:bottom w:val="single" w:sz="4" w:color="D9E1E6"/>
            </w:tcBorders>
          </w:tcPr>
          <w:p>
            <w:pPr>
              <w:spacing w:after="0" w:line="257" w:lineRule="auto"/>
            </w:pPr>
            <w:r>
              <w:rPr>
                <w:sz w:val="16"/>
              </w:rPr>
              <w:t>source_id</w:t>
            </w:r>
          </w:p>
        </w:tc>
        <w:tc>
          <w:tcPr>
            <w:tcW w:type="dxa" w:w="3685"/>
            <w:vAlign w:val="center"/>
            <w:tcMar>
              <w:top w:w="90" w:type="dxa"/>
              <w:start w:w="100" w:type="dxa"/>
              <w:bottom w:w="90" w:type="dxa"/>
              <w:end w:w="100" w:type="dxa"/>
            </w:tcMar>
            <w:tcBorders>
              <w:bottom w:val="single" w:sz="4" w:color="D9E1E6"/>
            </w:tcBorders>
          </w:tcPr>
          <w:p>
            <w:pPr>
              <w:spacing w:after="0" w:line="257" w:lineRule="auto"/>
            </w:pPr>
            <w:r>
              <w:rPr>
                <w:sz w:val="16"/>
              </w:rPr>
              <w:t>Cadastro, responsáveis, canais, acesso e estado.</w:t>
            </w:r>
          </w:p>
        </w:tc>
      </w:tr>
      <w:tr>
        <w:trPr>
          <w:cantSplit/>
        </w:trPr>
        <w:tc>
          <w:tcPr>
            <w:tcW w:type="dxa" w:w="2268"/>
            <w:vAlign w:val="center"/>
            <w:tcMar>
              <w:top w:w="90" w:type="dxa"/>
              <w:start w:w="100" w:type="dxa"/>
              <w:bottom w:w="90" w:type="dxa"/>
              <w:end w:w="100" w:type="dxa"/>
            </w:tcMar>
            <w:shd w:fill="F3F6F8"/>
            <w:tcBorders>
              <w:bottom w:val="single" w:sz="4" w:color="D9E1E6"/>
            </w:tcBorders>
          </w:tcPr>
          <w:p>
            <w:pPr>
              <w:spacing w:after="0" w:line="257" w:lineRule="auto"/>
            </w:pPr>
            <w:r>
              <w:rPr>
                <w:sz w:val="16"/>
              </w:rPr>
              <w:t>dataset_contract</w:t>
            </w:r>
          </w:p>
        </w:tc>
        <w:tc>
          <w:tcPr>
            <w:tcW w:type="dxa" w:w="2381"/>
            <w:vAlign w:val="center"/>
            <w:tcMar>
              <w:top w:w="90" w:type="dxa"/>
              <w:start w:w="100" w:type="dxa"/>
              <w:bottom w:w="90" w:type="dxa"/>
              <w:end w:w="100" w:type="dxa"/>
            </w:tcMar>
            <w:shd w:fill="F3F6F8"/>
            <w:tcBorders>
              <w:bottom w:val="single" w:sz="4" w:color="D9E1E6"/>
            </w:tcBorders>
          </w:tcPr>
          <w:p>
            <w:pPr>
              <w:spacing w:after="0" w:line="257" w:lineRule="auto"/>
            </w:pPr>
            <w:r>
              <w:rPr>
                <w:sz w:val="16"/>
              </w:rPr>
              <w:t>dataset_id + contract_version</w:t>
            </w:r>
          </w:p>
        </w:tc>
        <w:tc>
          <w:tcPr>
            <w:tcW w:type="dxa" w:w="3685"/>
            <w:vAlign w:val="center"/>
            <w:tcMar>
              <w:top w:w="90" w:type="dxa"/>
              <w:start w:w="100" w:type="dxa"/>
              <w:bottom w:w="90" w:type="dxa"/>
              <w:end w:w="100" w:type="dxa"/>
            </w:tcMar>
            <w:shd w:fill="F3F6F8"/>
            <w:tcBorders>
              <w:bottom w:val="single" w:sz="4" w:color="D9E1E6"/>
            </w:tcBorders>
          </w:tcPr>
          <w:p>
            <w:pPr>
              <w:spacing w:after="0" w:line="257" w:lineRule="auto"/>
            </w:pPr>
            <w:r>
              <w:rPr>
                <w:sz w:val="16"/>
              </w:rPr>
              <w:t>Regras e vigência do contrato.</w:t>
            </w:r>
          </w:p>
        </w:tc>
      </w:tr>
      <w:tr>
        <w:trPr>
          <w:cantSplit/>
        </w:trPr>
        <w:tc>
          <w:tcPr>
            <w:tcW w:type="dxa" w:w="2268"/>
            <w:vAlign w:val="center"/>
            <w:tcMar>
              <w:top w:w="90" w:type="dxa"/>
              <w:start w:w="100" w:type="dxa"/>
              <w:bottom w:w="90" w:type="dxa"/>
              <w:end w:w="100" w:type="dxa"/>
            </w:tcMar>
            <w:tcBorders>
              <w:bottom w:val="single" w:sz="4" w:color="D9E1E6"/>
            </w:tcBorders>
          </w:tcPr>
          <w:p>
            <w:pPr>
              <w:spacing w:after="0" w:line="257" w:lineRule="auto"/>
            </w:pPr>
            <w:r>
              <w:rPr>
                <w:sz w:val="16"/>
              </w:rPr>
              <w:t>delivery_expectation</w:t>
            </w:r>
          </w:p>
        </w:tc>
        <w:tc>
          <w:tcPr>
            <w:tcW w:type="dxa" w:w="2381"/>
            <w:vAlign w:val="center"/>
            <w:tcMar>
              <w:top w:w="90" w:type="dxa"/>
              <w:start w:w="100" w:type="dxa"/>
              <w:bottom w:w="90" w:type="dxa"/>
              <w:end w:w="100" w:type="dxa"/>
            </w:tcMar>
            <w:tcBorders>
              <w:bottom w:val="single" w:sz="4" w:color="D9E1E6"/>
            </w:tcBorders>
          </w:tcPr>
          <w:p>
            <w:pPr>
              <w:spacing w:after="0" w:line="257" w:lineRule="auto"/>
            </w:pPr>
            <w:r>
              <w:rPr>
                <w:sz w:val="16"/>
              </w:rPr>
              <w:t>dataset_id + janela prevista</w:t>
            </w:r>
          </w:p>
        </w:tc>
        <w:tc>
          <w:tcPr>
            <w:tcW w:type="dxa" w:w="3685"/>
            <w:vAlign w:val="center"/>
            <w:tcMar>
              <w:top w:w="90" w:type="dxa"/>
              <w:start w:w="100" w:type="dxa"/>
              <w:bottom w:w="90" w:type="dxa"/>
              <w:end w:w="100" w:type="dxa"/>
            </w:tcMar>
            <w:tcBorders>
              <w:bottom w:val="single" w:sz="4" w:color="D9E1E6"/>
            </w:tcBorders>
          </w:tcPr>
          <w:p>
            <w:pPr>
              <w:spacing w:after="0" w:line="257" w:lineRule="auto"/>
            </w:pPr>
            <w:r>
              <w:rPr>
                <w:sz w:val="16"/>
              </w:rPr>
              <w:t>Ausência e atraso de entregas.</w:t>
            </w:r>
          </w:p>
        </w:tc>
      </w:tr>
      <w:tr>
        <w:trPr>
          <w:cantSplit/>
        </w:trPr>
        <w:tc>
          <w:tcPr>
            <w:tcW w:type="dxa" w:w="2268"/>
            <w:vAlign w:val="center"/>
            <w:tcMar>
              <w:top w:w="90" w:type="dxa"/>
              <w:start w:w="100" w:type="dxa"/>
              <w:bottom w:w="90" w:type="dxa"/>
              <w:end w:w="100" w:type="dxa"/>
            </w:tcMar>
            <w:shd w:fill="F3F6F8"/>
            <w:tcBorders>
              <w:bottom w:val="single" w:sz="4" w:color="D9E1E6"/>
            </w:tcBorders>
          </w:tcPr>
          <w:p>
            <w:pPr>
              <w:spacing w:after="0" w:line="257" w:lineRule="auto"/>
            </w:pPr>
            <w:r>
              <w:rPr>
                <w:sz w:val="16"/>
              </w:rPr>
              <w:t>file_manifest</w:t>
            </w:r>
          </w:p>
        </w:tc>
        <w:tc>
          <w:tcPr>
            <w:tcW w:type="dxa" w:w="2381"/>
            <w:vAlign w:val="center"/>
            <w:tcMar>
              <w:top w:w="90" w:type="dxa"/>
              <w:start w:w="100" w:type="dxa"/>
              <w:bottom w:w="90" w:type="dxa"/>
              <w:end w:w="100" w:type="dxa"/>
            </w:tcMar>
            <w:shd w:fill="F3F6F8"/>
            <w:tcBorders>
              <w:bottom w:val="single" w:sz="4" w:color="D9E1E6"/>
            </w:tcBorders>
          </w:tcPr>
          <w:p>
            <w:pPr>
              <w:spacing w:after="0" w:line="257" w:lineRule="auto"/>
            </w:pPr>
            <w:r>
              <w:rPr>
                <w:sz w:val="16"/>
              </w:rPr>
              <w:t>dataset_id + batch_id + file_id</w:t>
            </w:r>
          </w:p>
        </w:tc>
        <w:tc>
          <w:tcPr>
            <w:tcW w:type="dxa" w:w="3685"/>
            <w:vAlign w:val="center"/>
            <w:tcMar>
              <w:top w:w="90" w:type="dxa"/>
              <w:start w:w="100" w:type="dxa"/>
              <w:bottom w:w="90" w:type="dxa"/>
              <w:end w:w="100" w:type="dxa"/>
            </w:tcMar>
            <w:shd w:fill="F3F6F8"/>
            <w:tcBorders>
              <w:bottom w:val="single" w:sz="4" w:color="D9E1E6"/>
            </w:tcBorders>
          </w:tcPr>
          <w:p>
            <w:pPr>
              <w:spacing w:after="0" w:line="257" w:lineRule="auto"/>
            </w:pPr>
            <w:r>
              <w:rPr>
                <w:sz w:val="16"/>
              </w:rPr>
              <w:t>Inventário, integridade e deduplicação.</w:t>
            </w:r>
          </w:p>
        </w:tc>
      </w:tr>
      <w:tr>
        <w:trPr>
          <w:cantSplit/>
        </w:trPr>
        <w:tc>
          <w:tcPr>
            <w:tcW w:type="dxa" w:w="2268"/>
            <w:vAlign w:val="center"/>
            <w:tcMar>
              <w:top w:w="90" w:type="dxa"/>
              <w:start w:w="100" w:type="dxa"/>
              <w:bottom w:w="90" w:type="dxa"/>
              <w:end w:w="100" w:type="dxa"/>
            </w:tcMar>
            <w:tcBorders>
              <w:bottom w:val="single" w:sz="4" w:color="D9E1E6"/>
            </w:tcBorders>
          </w:tcPr>
          <w:p>
            <w:pPr>
              <w:spacing w:after="0" w:line="257" w:lineRule="auto"/>
            </w:pPr>
            <w:r>
              <w:rPr>
                <w:sz w:val="16"/>
              </w:rPr>
              <w:t>ingestion_run</w:t>
            </w:r>
          </w:p>
        </w:tc>
        <w:tc>
          <w:tcPr>
            <w:tcW w:type="dxa" w:w="2381"/>
            <w:vAlign w:val="center"/>
            <w:tcMar>
              <w:top w:w="90" w:type="dxa"/>
              <w:start w:w="100" w:type="dxa"/>
              <w:bottom w:w="90" w:type="dxa"/>
              <w:end w:w="100" w:type="dxa"/>
            </w:tcMar>
            <w:tcBorders>
              <w:bottom w:val="single" w:sz="4" w:color="D9E1E6"/>
            </w:tcBorders>
          </w:tcPr>
          <w:p>
            <w:pPr>
              <w:spacing w:after="0" w:line="257" w:lineRule="auto"/>
            </w:pPr>
            <w:r>
              <w:rPr>
                <w:sz w:val="16"/>
              </w:rPr>
              <w:t>run_id</w:t>
            </w:r>
          </w:p>
        </w:tc>
        <w:tc>
          <w:tcPr>
            <w:tcW w:type="dxa" w:w="3685"/>
            <w:vAlign w:val="center"/>
            <w:tcMar>
              <w:top w:w="90" w:type="dxa"/>
              <w:start w:w="100" w:type="dxa"/>
              <w:bottom w:w="90" w:type="dxa"/>
              <w:end w:w="100" w:type="dxa"/>
            </w:tcMar>
            <w:tcBorders>
              <w:bottom w:val="single" w:sz="4" w:color="D9E1E6"/>
            </w:tcBorders>
          </w:tcPr>
          <w:p>
            <w:pPr>
              <w:spacing w:after="0" w:line="257" w:lineRule="auto"/>
            </w:pPr>
            <w:r>
              <w:rPr>
                <w:sz w:val="16"/>
              </w:rPr>
              <w:t>Execução, checkpoint, contagens e evidências.</w:t>
            </w:r>
          </w:p>
        </w:tc>
      </w:tr>
      <w:tr>
        <w:trPr>
          <w:cantSplit/>
        </w:trPr>
        <w:tc>
          <w:tcPr>
            <w:tcW w:type="dxa" w:w="2268"/>
            <w:vAlign w:val="center"/>
            <w:tcMar>
              <w:top w:w="90" w:type="dxa"/>
              <w:start w:w="100" w:type="dxa"/>
              <w:bottom w:w="90" w:type="dxa"/>
              <w:end w:w="100" w:type="dxa"/>
            </w:tcMar>
            <w:shd w:fill="F3F6F8"/>
            <w:tcBorders>
              <w:bottom w:val="single" w:sz="4" w:color="D9E1E6"/>
            </w:tcBorders>
          </w:tcPr>
          <w:p>
            <w:pPr>
              <w:spacing w:after="0" w:line="257" w:lineRule="auto"/>
            </w:pPr>
            <w:r>
              <w:rPr>
                <w:sz w:val="16"/>
              </w:rPr>
              <w:t>quality_result</w:t>
            </w:r>
          </w:p>
        </w:tc>
        <w:tc>
          <w:tcPr>
            <w:tcW w:type="dxa" w:w="2381"/>
            <w:vAlign w:val="center"/>
            <w:tcMar>
              <w:top w:w="90" w:type="dxa"/>
              <w:start w:w="100" w:type="dxa"/>
              <w:bottom w:w="90" w:type="dxa"/>
              <w:end w:w="100" w:type="dxa"/>
            </w:tcMar>
            <w:shd w:fill="F3F6F8"/>
            <w:tcBorders>
              <w:bottom w:val="single" w:sz="4" w:color="D9E1E6"/>
            </w:tcBorders>
          </w:tcPr>
          <w:p>
            <w:pPr>
              <w:spacing w:after="0" w:line="257" w:lineRule="auto"/>
            </w:pPr>
            <w:r>
              <w:rPr>
                <w:sz w:val="16"/>
              </w:rPr>
              <w:t>run_id + rule_id + scope_id</w:t>
            </w:r>
          </w:p>
        </w:tc>
        <w:tc>
          <w:tcPr>
            <w:tcW w:type="dxa" w:w="3685"/>
            <w:vAlign w:val="center"/>
            <w:tcMar>
              <w:top w:w="90" w:type="dxa"/>
              <w:start w:w="100" w:type="dxa"/>
              <w:bottom w:w="90" w:type="dxa"/>
              <w:end w:w="100" w:type="dxa"/>
            </w:tcMar>
            <w:shd w:fill="F3F6F8"/>
            <w:tcBorders>
              <w:bottom w:val="single" w:sz="4" w:color="D9E1E6"/>
            </w:tcBorders>
          </w:tcPr>
          <w:p>
            <w:pPr>
              <w:spacing w:after="0" w:line="257" w:lineRule="auto"/>
            </w:pPr>
            <w:r>
              <w:rPr>
                <w:sz w:val="16"/>
              </w:rPr>
              <w:t>Resultado por teste, severidade e unidade.</w:t>
            </w:r>
          </w:p>
        </w:tc>
      </w:tr>
      <w:tr>
        <w:trPr>
          <w:cantSplit/>
        </w:trPr>
        <w:tc>
          <w:tcPr>
            <w:tcW w:type="dxa" w:w="2268"/>
            <w:vAlign w:val="center"/>
            <w:tcMar>
              <w:top w:w="90" w:type="dxa"/>
              <w:start w:w="100" w:type="dxa"/>
              <w:bottom w:w="90" w:type="dxa"/>
              <w:end w:w="100" w:type="dxa"/>
            </w:tcMar>
            <w:tcBorders>
              <w:bottom w:val="single" w:sz="4" w:color="D9E1E6"/>
            </w:tcBorders>
          </w:tcPr>
          <w:p>
            <w:pPr>
              <w:spacing w:after="0" w:line="257" w:lineRule="auto"/>
            </w:pPr>
            <w:r>
              <w:rPr>
                <w:sz w:val="16"/>
              </w:rPr>
              <w:t>quarantine_case</w:t>
            </w:r>
          </w:p>
        </w:tc>
        <w:tc>
          <w:tcPr>
            <w:tcW w:type="dxa" w:w="2381"/>
            <w:vAlign w:val="center"/>
            <w:tcMar>
              <w:top w:w="90" w:type="dxa"/>
              <w:start w:w="100" w:type="dxa"/>
              <w:bottom w:w="90" w:type="dxa"/>
              <w:end w:w="100" w:type="dxa"/>
            </w:tcMar>
            <w:tcBorders>
              <w:bottom w:val="single" w:sz="4" w:color="D9E1E6"/>
            </w:tcBorders>
          </w:tcPr>
          <w:p>
            <w:pPr>
              <w:spacing w:after="0" w:line="257" w:lineRule="auto"/>
            </w:pPr>
            <w:r>
              <w:rPr>
                <w:sz w:val="16"/>
              </w:rPr>
              <w:t>case_id</w:t>
            </w:r>
          </w:p>
        </w:tc>
        <w:tc>
          <w:tcPr>
            <w:tcW w:type="dxa" w:w="3685"/>
            <w:vAlign w:val="center"/>
            <w:tcMar>
              <w:top w:w="90" w:type="dxa"/>
              <w:start w:w="100" w:type="dxa"/>
              <w:bottom w:w="90" w:type="dxa"/>
              <w:end w:w="100" w:type="dxa"/>
            </w:tcMar>
            <w:tcBorders>
              <w:bottom w:val="single" w:sz="4" w:color="D9E1E6"/>
            </w:tcBorders>
          </w:tcPr>
          <w:p>
            <w:pPr>
              <w:spacing w:after="0" w:line="257" w:lineRule="auto"/>
            </w:pPr>
            <w:r>
              <w:rPr>
                <w:sz w:val="16"/>
              </w:rPr>
              <w:t>Motivo, estado, responsável e resolução.</w:t>
            </w:r>
          </w:p>
        </w:tc>
      </w:tr>
      <w:tr>
        <w:trPr>
          <w:cantSplit/>
        </w:trPr>
        <w:tc>
          <w:tcPr>
            <w:tcW w:type="dxa" w:w="2268"/>
            <w:vAlign w:val="center"/>
            <w:tcMar>
              <w:top w:w="90" w:type="dxa"/>
              <w:start w:w="100" w:type="dxa"/>
              <w:bottom w:w="90" w:type="dxa"/>
              <w:end w:w="100" w:type="dxa"/>
            </w:tcMar>
            <w:shd w:fill="F3F6F8"/>
            <w:tcBorders>
              <w:bottom w:val="single" w:sz="4" w:color="D9E1E6"/>
            </w:tcBorders>
          </w:tcPr>
          <w:p>
            <w:pPr>
              <w:spacing w:after="0" w:line="257" w:lineRule="auto"/>
            </w:pPr>
            <w:r>
              <w:rPr>
                <w:sz w:val="16"/>
              </w:rPr>
              <w:t>reprocessing_request</w:t>
            </w:r>
          </w:p>
        </w:tc>
        <w:tc>
          <w:tcPr>
            <w:tcW w:type="dxa" w:w="2381"/>
            <w:vAlign w:val="center"/>
            <w:tcMar>
              <w:top w:w="90" w:type="dxa"/>
              <w:start w:w="100" w:type="dxa"/>
              <w:bottom w:w="90" w:type="dxa"/>
              <w:end w:w="100" w:type="dxa"/>
            </w:tcMar>
            <w:shd w:fill="F3F6F8"/>
            <w:tcBorders>
              <w:bottom w:val="single" w:sz="4" w:color="D9E1E6"/>
            </w:tcBorders>
          </w:tcPr>
          <w:p>
            <w:pPr>
              <w:spacing w:after="0" w:line="257" w:lineRule="auto"/>
            </w:pPr>
            <w:r>
              <w:rPr>
                <w:sz w:val="16"/>
              </w:rPr>
              <w:t>request_id</w:t>
            </w:r>
          </w:p>
        </w:tc>
        <w:tc>
          <w:tcPr>
            <w:tcW w:type="dxa" w:w="3685"/>
            <w:vAlign w:val="center"/>
            <w:tcMar>
              <w:top w:w="90" w:type="dxa"/>
              <w:start w:w="100" w:type="dxa"/>
              <w:bottom w:w="90" w:type="dxa"/>
              <w:end w:w="100" w:type="dxa"/>
            </w:tcMar>
            <w:shd w:fill="F3F6F8"/>
            <w:tcBorders>
              <w:bottom w:val="single" w:sz="4" w:color="D9E1E6"/>
            </w:tcBorders>
          </w:tcPr>
          <w:p>
            <w:pPr>
              <w:spacing w:after="0" w:line="257" w:lineRule="auto"/>
            </w:pPr>
            <w:r>
              <w:rPr>
                <w:sz w:val="16"/>
              </w:rPr>
              <w:t>Escopo, estratégia, aprovação, execução e resultado.</w:t>
            </w:r>
          </w:p>
        </w:tc>
      </w:tr>
      <w:tr>
        <w:trPr>
          <w:cantSplit/>
        </w:trPr>
        <w:tc>
          <w:tcPr>
            <w:tcW w:type="dxa" w:w="2268"/>
            <w:vAlign w:val="center"/>
            <w:tcMar>
              <w:top w:w="90" w:type="dxa"/>
              <w:start w:w="100" w:type="dxa"/>
              <w:bottom w:w="90" w:type="dxa"/>
              <w:end w:w="100" w:type="dxa"/>
            </w:tcMar>
            <w:tcBorders>
              <w:bottom w:val="single" w:sz="4" w:color="D9E1E6"/>
            </w:tcBorders>
          </w:tcPr>
          <w:p>
            <w:pPr>
              <w:spacing w:after="0" w:line="257" w:lineRule="auto"/>
            </w:pPr>
            <w:r>
              <w:rPr>
                <w:sz w:val="16"/>
              </w:rPr>
              <w:t>publication_registry</w:t>
            </w:r>
          </w:p>
        </w:tc>
        <w:tc>
          <w:tcPr>
            <w:tcW w:type="dxa" w:w="2381"/>
            <w:vAlign w:val="center"/>
            <w:tcMar>
              <w:top w:w="90" w:type="dxa"/>
              <w:start w:w="100" w:type="dxa"/>
              <w:bottom w:w="90" w:type="dxa"/>
              <w:end w:w="100" w:type="dxa"/>
            </w:tcMar>
            <w:tcBorders>
              <w:bottom w:val="single" w:sz="4" w:color="D9E1E6"/>
            </w:tcBorders>
          </w:tcPr>
          <w:p>
            <w:pPr>
              <w:spacing w:after="0" w:line="257" w:lineRule="auto"/>
            </w:pPr>
            <w:r>
              <w:rPr>
                <w:sz w:val="16"/>
              </w:rPr>
              <w:t>product_id + published_revision</w:t>
            </w:r>
          </w:p>
        </w:tc>
        <w:tc>
          <w:tcPr>
            <w:tcW w:type="dxa" w:w="3685"/>
            <w:vAlign w:val="center"/>
            <w:tcMar>
              <w:top w:w="90" w:type="dxa"/>
              <w:start w:w="100" w:type="dxa"/>
              <w:bottom w:w="90" w:type="dxa"/>
              <w:end w:w="100" w:type="dxa"/>
            </w:tcMar>
            <w:tcBorders>
              <w:bottom w:val="single" w:sz="4" w:color="D9E1E6"/>
            </w:tcBorders>
          </w:tcPr>
          <w:p>
            <w:pPr>
              <w:spacing w:after="0" w:line="257" w:lineRule="auto"/>
            </w:pPr>
            <w:r>
              <w:rPr>
                <w:sz w:val="16"/>
              </w:rPr>
              <w:t>Qual revisão é visível e sua evidência de aceite.</w:t>
            </w:r>
          </w:p>
        </w:tc>
      </w:tr>
    </w:tbl>
    <w:p>
      <w:pPr>
        <w:spacing w:after="0"/>
      </w:pPr>
    </w:p>
    <w:p>
      <w:pPr>
        <w:pStyle w:val="Heading1"/>
      </w:pPr>
      <w:r>
        <w:t>13. Testes, portões e quarentenas</w:t>
      </w:r>
    </w:p>
    <w:p>
      <w:pPr/>
      <w:r>
        <w:t>Qualidade não é uma operação única ao final do ETL. Regras diferentes precisam atuar antes e depois da persistência, conforme a unidade que está sendo avaliada: arquivo, lote, linha, entidade, relacionamento, período ou produto publicado.</w:t>
      </w:r>
    </w:p>
    <w:p>
      <w:pPr>
        <w:pStyle w:val="Heading2"/>
      </w:pPr>
      <w:r>
        <w:t>13.1 Portões</w:t>
      </w:r>
    </w:p>
    <w:tbl>
      <w:tblPr>
        <w:tblW w:type="auto" w:w="0"/>
        <w:jc w:val="center"/>
        <w:tblLayout w:type="fixed"/>
        <w:tblLook w:firstColumn="1" w:firstRow="1" w:lastColumn="0" w:lastRow="0" w:noHBand="0" w:noVBand="1" w:val="04A0"/>
      </w:tblPr>
      <w:tblGrid>
        <w:gridCol w:w="1531"/>
        <w:gridCol w:w="3515"/>
        <w:gridCol w:w="3288"/>
      </w:tblGrid>
      <w:tr>
        <w:trPr>
          <w:tblHeader w:val="true"/>
          <w:cantSplit/>
        </w:trPr>
        <w:tc>
          <w:tcPr>
            <w:tcW w:type="dxa" w:w="3184"/>
            <w:shd w:fill="142439"/>
            <w:tcMar>
              <w:top w:w="95" w:type="dxa"/>
              <w:start w:w="100" w:type="dxa"/>
              <w:bottom w:w="95" w:type="dxa"/>
              <w:end w:w="100" w:type="dxa"/>
            </w:tcMar>
          </w:tcPr>
          <w:p>
            <w:pPr>
              <w:spacing w:after="0"/>
            </w:pPr>
            <w:r>
              <w:rPr>
                <w:b/>
                <w:color w:val="FFFFFF"/>
                <w:sz w:val="16"/>
              </w:rPr>
              <w:t>Portão</w:t>
            </w:r>
          </w:p>
        </w:tc>
        <w:tc>
          <w:tcPr>
            <w:tcW w:type="dxa" w:w="3184"/>
            <w:shd w:fill="142439"/>
            <w:tcMar>
              <w:top w:w="95" w:type="dxa"/>
              <w:start w:w="100" w:type="dxa"/>
              <w:bottom w:w="95" w:type="dxa"/>
              <w:end w:w="100" w:type="dxa"/>
            </w:tcMar>
          </w:tcPr>
          <w:p>
            <w:pPr>
              <w:spacing w:after="0"/>
            </w:pPr>
            <w:r>
              <w:rPr>
                <w:b/>
                <w:color w:val="FFFFFF"/>
                <w:sz w:val="16"/>
              </w:rPr>
              <w:t>Verificação principal</w:t>
            </w:r>
          </w:p>
        </w:tc>
        <w:tc>
          <w:tcPr>
            <w:tcW w:type="dxa" w:w="3184"/>
            <w:shd w:fill="142439"/>
            <w:tcMar>
              <w:top w:w="95" w:type="dxa"/>
              <w:start w:w="100" w:type="dxa"/>
              <w:bottom w:w="95" w:type="dxa"/>
              <w:end w:w="100" w:type="dxa"/>
            </w:tcMar>
          </w:tcPr>
          <w:p>
            <w:pPr>
              <w:spacing w:after="0"/>
            </w:pPr>
            <w:r>
              <w:rPr>
                <w:b/>
                <w:color w:val="FFFFFF"/>
                <w:sz w:val="16"/>
              </w:rPr>
              <w:t>Falha e saída</w:t>
            </w:r>
          </w:p>
        </w:tc>
      </w:tr>
      <w:tr>
        <w:trPr>
          <w:cantSplit/>
        </w:trPr>
        <w:tc>
          <w:tcPr>
            <w:tcW w:type="dxa" w:w="1531"/>
            <w:vAlign w:val="center"/>
            <w:tcMar>
              <w:top w:w="90" w:type="dxa"/>
              <w:start w:w="100" w:type="dxa"/>
              <w:bottom w:w="90" w:type="dxa"/>
              <w:end w:w="100" w:type="dxa"/>
            </w:tcMar>
            <w:tcBorders>
              <w:bottom w:val="single" w:sz="4" w:color="D9E1E6"/>
            </w:tcBorders>
          </w:tcPr>
          <w:p>
            <w:pPr>
              <w:spacing w:after="0" w:line="257" w:lineRule="auto"/>
            </w:pPr>
            <w:r>
              <w:rPr>
                <w:sz w:val="16"/>
              </w:rPr>
              <w:t>0 — Recepção</w:t>
            </w:r>
          </w:p>
        </w:tc>
        <w:tc>
          <w:tcPr>
            <w:tcW w:type="dxa" w:w="3515"/>
            <w:vAlign w:val="center"/>
            <w:tcMar>
              <w:top w:w="90" w:type="dxa"/>
              <w:start w:w="100" w:type="dxa"/>
              <w:bottom w:w="90" w:type="dxa"/>
              <w:end w:w="100" w:type="dxa"/>
            </w:tcMar>
            <w:tcBorders>
              <w:bottom w:val="single" w:sz="4" w:color="D9E1E6"/>
            </w:tcBorders>
          </w:tcPr>
          <w:p>
            <w:pPr>
              <w:spacing w:after="0" w:line="257" w:lineRule="auto"/>
            </w:pPr>
            <w:r>
              <w:rPr>
                <w:sz w:val="16"/>
              </w:rPr>
              <w:t>Identidade, upload confirmado, integridade e malware</w:t>
            </w:r>
          </w:p>
        </w:tc>
        <w:tc>
          <w:tcPr>
            <w:tcW w:type="dxa" w:w="3288"/>
            <w:vAlign w:val="center"/>
            <w:tcMar>
              <w:top w:w="90" w:type="dxa"/>
              <w:start w:w="100" w:type="dxa"/>
              <w:bottom w:w="90" w:type="dxa"/>
              <w:end w:w="100" w:type="dxa"/>
            </w:tcMar>
            <w:tcBorders>
              <w:bottom w:val="single" w:sz="4" w:color="D9E1E6"/>
            </w:tcBorders>
          </w:tcPr>
          <w:p>
            <w:pPr>
              <w:spacing w:after="0" w:line="257" w:lineRule="auto"/>
            </w:pPr>
            <w:r>
              <w:rPr>
                <w:sz w:val="16"/>
              </w:rPr>
              <w:t>Rejeita o objeto/lote; mantém evidência em isolamento seguro.</w:t>
            </w:r>
          </w:p>
        </w:tc>
      </w:tr>
      <w:tr>
        <w:trPr>
          <w:cantSplit/>
        </w:trPr>
        <w:tc>
          <w:tcPr>
            <w:tcW w:type="dxa" w:w="1531"/>
            <w:vAlign w:val="center"/>
            <w:tcMar>
              <w:top w:w="90" w:type="dxa"/>
              <w:start w:w="100" w:type="dxa"/>
              <w:bottom w:w="90" w:type="dxa"/>
              <w:end w:w="100" w:type="dxa"/>
            </w:tcMar>
            <w:shd w:fill="F3F6F8"/>
            <w:tcBorders>
              <w:bottom w:val="single" w:sz="4" w:color="D9E1E6"/>
            </w:tcBorders>
          </w:tcPr>
          <w:p>
            <w:pPr>
              <w:spacing w:after="0" w:line="257" w:lineRule="auto"/>
            </w:pPr>
            <w:r>
              <w:rPr>
                <w:sz w:val="16"/>
              </w:rPr>
              <w:t>1 — Arquivo</w:t>
            </w:r>
          </w:p>
        </w:tc>
        <w:tc>
          <w:tcPr>
            <w:tcW w:type="dxa" w:w="3515"/>
            <w:vAlign w:val="center"/>
            <w:tcMar>
              <w:top w:w="90" w:type="dxa"/>
              <w:start w:w="100" w:type="dxa"/>
              <w:bottom w:w="90" w:type="dxa"/>
              <w:end w:w="100" w:type="dxa"/>
            </w:tcMar>
            <w:shd w:fill="F3F6F8"/>
            <w:tcBorders>
              <w:bottom w:val="single" w:sz="4" w:color="D9E1E6"/>
            </w:tcBorders>
          </w:tcPr>
          <w:p>
            <w:pPr>
              <w:spacing w:after="0" w:line="257" w:lineRule="auto"/>
            </w:pPr>
            <w:r>
              <w:rPr>
                <w:sz w:val="16"/>
              </w:rPr>
              <w:t>Nome, layout, cabeçalho, delimitador, colunas mínimas, hash e completude</w:t>
            </w:r>
          </w:p>
        </w:tc>
        <w:tc>
          <w:tcPr>
            <w:tcW w:type="dxa" w:w="3288"/>
            <w:vAlign w:val="center"/>
            <w:tcMar>
              <w:top w:w="90" w:type="dxa"/>
              <w:start w:w="100" w:type="dxa"/>
              <w:bottom w:w="90" w:type="dxa"/>
              <w:end w:w="100" w:type="dxa"/>
            </w:tcMar>
            <w:shd w:fill="F3F6F8"/>
            <w:tcBorders>
              <w:bottom w:val="single" w:sz="4" w:color="D9E1E6"/>
            </w:tcBorders>
          </w:tcPr>
          <w:p>
            <w:pPr>
              <w:spacing w:after="0" w:line="257" w:lineRule="auto"/>
            </w:pPr>
            <w:r>
              <w:rPr>
                <w:sz w:val="16"/>
              </w:rPr>
              <w:t>Quarentena de arquivo; não escreve Bronze inválida.</w:t>
            </w:r>
          </w:p>
        </w:tc>
      </w:tr>
      <w:tr>
        <w:trPr>
          <w:cantSplit/>
        </w:trPr>
        <w:tc>
          <w:tcPr>
            <w:tcW w:type="dxa" w:w="1531"/>
            <w:vAlign w:val="center"/>
            <w:tcMar>
              <w:top w:w="90" w:type="dxa"/>
              <w:start w:w="100" w:type="dxa"/>
              <w:bottom w:w="90" w:type="dxa"/>
              <w:end w:w="100" w:type="dxa"/>
            </w:tcMar>
            <w:tcBorders>
              <w:bottom w:val="single" w:sz="4" w:color="D9E1E6"/>
            </w:tcBorders>
          </w:tcPr>
          <w:p>
            <w:pPr>
              <w:spacing w:after="0" w:line="257" w:lineRule="auto"/>
            </w:pPr>
            <w:r>
              <w:rPr>
                <w:sz w:val="16"/>
              </w:rPr>
              <w:t>2 — Técnico</w:t>
            </w:r>
          </w:p>
        </w:tc>
        <w:tc>
          <w:tcPr>
            <w:tcW w:type="dxa" w:w="3515"/>
            <w:vAlign w:val="center"/>
            <w:tcMar>
              <w:top w:w="90" w:type="dxa"/>
              <w:start w:w="100" w:type="dxa"/>
              <w:bottom w:w="90" w:type="dxa"/>
              <w:end w:w="100" w:type="dxa"/>
            </w:tcMar>
            <w:tcBorders>
              <w:bottom w:val="single" w:sz="4" w:color="D9E1E6"/>
            </w:tcBorders>
          </w:tcPr>
          <w:p>
            <w:pPr>
              <w:spacing w:after="0" w:line="257" w:lineRule="auto"/>
            </w:pPr>
            <w:r>
              <w:rPr>
                <w:sz w:val="16"/>
              </w:rPr>
              <w:t>Tipagem, chaves, sequência, parse, duplicidade e CDC</w:t>
            </w:r>
          </w:p>
        </w:tc>
        <w:tc>
          <w:tcPr>
            <w:tcW w:type="dxa" w:w="3288"/>
            <w:vAlign w:val="center"/>
            <w:tcMar>
              <w:top w:w="90" w:type="dxa"/>
              <w:start w:w="100" w:type="dxa"/>
              <w:bottom w:w="90" w:type="dxa"/>
              <w:end w:w="100" w:type="dxa"/>
            </w:tcMar>
            <w:tcBorders>
              <w:bottom w:val="single" w:sz="4" w:color="D9E1E6"/>
            </w:tcBorders>
          </w:tcPr>
          <w:p>
            <w:pPr>
              <w:spacing w:after="0" w:line="257" w:lineRule="auto"/>
            </w:pPr>
            <w:r>
              <w:rPr>
                <w:sz w:val="16"/>
              </w:rPr>
              <w:t>Desvia linhas/partições inválidas; mantém válidas conforme política.</w:t>
            </w:r>
          </w:p>
        </w:tc>
      </w:tr>
      <w:tr>
        <w:trPr>
          <w:cantSplit/>
        </w:trPr>
        <w:tc>
          <w:tcPr>
            <w:tcW w:type="dxa" w:w="1531"/>
            <w:vAlign w:val="center"/>
            <w:tcMar>
              <w:top w:w="90" w:type="dxa"/>
              <w:start w:w="100" w:type="dxa"/>
              <w:bottom w:w="90" w:type="dxa"/>
              <w:end w:w="100" w:type="dxa"/>
            </w:tcMar>
            <w:shd w:fill="F3F6F8"/>
            <w:tcBorders>
              <w:bottom w:val="single" w:sz="4" w:color="D9E1E6"/>
            </w:tcBorders>
          </w:tcPr>
          <w:p>
            <w:pPr>
              <w:spacing w:after="0" w:line="257" w:lineRule="auto"/>
            </w:pPr>
            <w:r>
              <w:rPr>
                <w:sz w:val="16"/>
              </w:rPr>
              <w:t>3 — Analítico</w:t>
            </w:r>
          </w:p>
        </w:tc>
        <w:tc>
          <w:tcPr>
            <w:tcW w:type="dxa" w:w="3515"/>
            <w:vAlign w:val="center"/>
            <w:tcMar>
              <w:top w:w="90" w:type="dxa"/>
              <w:start w:w="100" w:type="dxa"/>
              <w:bottom w:w="90" w:type="dxa"/>
              <w:end w:w="100" w:type="dxa"/>
            </w:tcMar>
            <w:shd w:fill="F3F6F8"/>
            <w:tcBorders>
              <w:bottom w:val="single" w:sz="4" w:color="D9E1E6"/>
            </w:tcBorders>
          </w:tcPr>
          <w:p>
            <w:pPr>
              <w:spacing w:after="0" w:line="257" w:lineRule="auto"/>
            </w:pPr>
            <w:r>
              <w:rPr>
                <w:sz w:val="16"/>
              </w:rPr>
              <w:t>Regra de domínio, coerência temporal, valores permitidos e relacionamentos</w:t>
            </w:r>
          </w:p>
        </w:tc>
        <w:tc>
          <w:tcPr>
            <w:tcW w:type="dxa" w:w="3288"/>
            <w:vAlign w:val="center"/>
            <w:tcMar>
              <w:top w:w="90" w:type="dxa"/>
              <w:start w:w="100" w:type="dxa"/>
              <w:bottom w:w="90" w:type="dxa"/>
              <w:end w:w="100" w:type="dxa"/>
            </w:tcMar>
            <w:shd w:fill="F3F6F8"/>
            <w:tcBorders>
              <w:bottom w:val="single" w:sz="4" w:color="D9E1E6"/>
            </w:tcBorders>
          </w:tcPr>
          <w:p>
            <w:pPr>
              <w:spacing w:after="0" w:line="257" w:lineRule="auto"/>
            </w:pPr>
            <w:r>
              <w:rPr>
                <w:sz w:val="16"/>
              </w:rPr>
              <w:t>Quarentena analítica ou bloqueio do produto, conforme criticidade.</w:t>
            </w:r>
          </w:p>
        </w:tc>
      </w:tr>
      <w:tr>
        <w:trPr>
          <w:cantSplit/>
        </w:trPr>
        <w:tc>
          <w:tcPr>
            <w:tcW w:type="dxa" w:w="1531"/>
            <w:vAlign w:val="center"/>
            <w:tcMar>
              <w:top w:w="90" w:type="dxa"/>
              <w:start w:w="100" w:type="dxa"/>
              <w:bottom w:w="90" w:type="dxa"/>
              <w:end w:w="100" w:type="dxa"/>
            </w:tcMar>
            <w:tcBorders>
              <w:bottom w:val="single" w:sz="4" w:color="D9E1E6"/>
            </w:tcBorders>
          </w:tcPr>
          <w:p>
            <w:pPr>
              <w:spacing w:after="0" w:line="257" w:lineRule="auto"/>
            </w:pPr>
            <w:r>
              <w:rPr>
                <w:sz w:val="16"/>
              </w:rPr>
              <w:t>4 — Publicação</w:t>
            </w:r>
          </w:p>
        </w:tc>
        <w:tc>
          <w:tcPr>
            <w:tcW w:type="dxa" w:w="3515"/>
            <w:vAlign w:val="center"/>
            <w:tcMar>
              <w:top w:w="90" w:type="dxa"/>
              <w:start w:w="100" w:type="dxa"/>
              <w:bottom w:w="90" w:type="dxa"/>
              <w:end w:w="100" w:type="dxa"/>
            </w:tcMar>
            <w:tcBorders>
              <w:bottom w:val="single" w:sz="4" w:color="D9E1E6"/>
            </w:tcBorders>
          </w:tcPr>
          <w:p>
            <w:pPr>
              <w:spacing w:after="0" w:line="257" w:lineRule="auto"/>
            </w:pPr>
            <w:r>
              <w:rPr>
                <w:sz w:val="16"/>
              </w:rPr>
              <w:t>Reconciliação, métricas críticas, dependências e revisão completa</w:t>
            </w:r>
          </w:p>
        </w:tc>
        <w:tc>
          <w:tcPr>
            <w:tcW w:type="dxa" w:w="3288"/>
            <w:vAlign w:val="center"/>
            <w:tcMar>
              <w:top w:w="90" w:type="dxa"/>
              <w:start w:w="100" w:type="dxa"/>
              <w:bottom w:w="90" w:type="dxa"/>
              <w:end w:w="100" w:type="dxa"/>
            </w:tcMar>
            <w:tcBorders>
              <w:bottom w:val="single" w:sz="4" w:color="D9E1E6"/>
            </w:tcBorders>
          </w:tcPr>
          <w:p>
            <w:pPr>
              <w:spacing w:after="0" w:line="257" w:lineRule="auto"/>
            </w:pPr>
            <w:r>
              <w:rPr>
                <w:sz w:val="16"/>
              </w:rPr>
              <w:t>Não troca ponteiro de publicação; revisão anterior permanece visível.</w:t>
            </w:r>
          </w:p>
        </w:tc>
      </w:tr>
    </w:tbl>
    <w:p>
      <w:pPr>
        <w:spacing w:after="0"/>
      </w:pPr>
    </w:p>
    <w:p>
      <w:pPr>
        <w:pStyle w:val="Heading2"/>
      </w:pPr>
      <w:r>
        <w:t>13.2 Severidades</w:t>
      </w:r>
    </w:p>
    <w:tbl>
      <w:tblPr>
        <w:tblW w:type="auto" w:w="0"/>
        <w:jc w:val="center"/>
        <w:tblLayout w:type="fixed"/>
        <w:tblLook w:firstColumn="1" w:firstRow="1" w:lastColumn="0" w:lastRow="0" w:noHBand="0" w:noVBand="1" w:val="04A0"/>
      </w:tblPr>
      <w:tblGrid>
        <w:gridCol w:w="1531"/>
        <w:gridCol w:w="3969"/>
        <w:gridCol w:w="2835"/>
      </w:tblGrid>
      <w:tr>
        <w:trPr>
          <w:tblHeader w:val="true"/>
          <w:cantSplit/>
        </w:trPr>
        <w:tc>
          <w:tcPr>
            <w:tcW w:type="dxa" w:w="3184"/>
            <w:shd w:fill="142439"/>
            <w:tcMar>
              <w:top w:w="95" w:type="dxa"/>
              <w:start w:w="100" w:type="dxa"/>
              <w:bottom w:w="95" w:type="dxa"/>
              <w:end w:w="100" w:type="dxa"/>
            </w:tcMar>
          </w:tcPr>
          <w:p>
            <w:pPr>
              <w:spacing w:after="0"/>
            </w:pPr>
            <w:r>
              <w:rPr>
                <w:b/>
                <w:color w:val="FFFFFF"/>
                <w:sz w:val="16"/>
              </w:rPr>
              <w:t>Severidade</w:t>
            </w:r>
          </w:p>
        </w:tc>
        <w:tc>
          <w:tcPr>
            <w:tcW w:type="dxa" w:w="3184"/>
            <w:shd w:fill="142439"/>
            <w:tcMar>
              <w:top w:w="95" w:type="dxa"/>
              <w:start w:w="100" w:type="dxa"/>
              <w:bottom w:w="95" w:type="dxa"/>
              <w:end w:w="100" w:type="dxa"/>
            </w:tcMar>
          </w:tcPr>
          <w:p>
            <w:pPr>
              <w:spacing w:after="0"/>
            </w:pPr>
            <w:r>
              <w:rPr>
                <w:b/>
                <w:color w:val="FFFFFF"/>
                <w:sz w:val="16"/>
              </w:rPr>
              <w:t>Comportamento</w:t>
            </w:r>
          </w:p>
        </w:tc>
        <w:tc>
          <w:tcPr>
            <w:tcW w:type="dxa" w:w="3184"/>
            <w:shd w:fill="142439"/>
            <w:tcMar>
              <w:top w:w="95" w:type="dxa"/>
              <w:start w:w="100" w:type="dxa"/>
              <w:bottom w:w="95" w:type="dxa"/>
              <w:end w:w="100" w:type="dxa"/>
            </w:tcMar>
          </w:tcPr>
          <w:p>
            <w:pPr>
              <w:spacing w:after="0"/>
            </w:pPr>
            <w:r>
              <w:rPr>
                <w:b/>
                <w:color w:val="FFFFFF"/>
                <w:sz w:val="16"/>
              </w:rPr>
              <w:t>Observação</w:t>
            </w:r>
          </w:p>
        </w:tc>
      </w:tr>
      <w:tr>
        <w:trPr>
          <w:cantSplit/>
        </w:trPr>
        <w:tc>
          <w:tcPr>
            <w:tcW w:type="dxa" w:w="1531"/>
            <w:vAlign w:val="center"/>
            <w:tcMar>
              <w:top w:w="90" w:type="dxa"/>
              <w:start w:w="100" w:type="dxa"/>
              <w:bottom w:w="90" w:type="dxa"/>
              <w:end w:w="100" w:type="dxa"/>
            </w:tcMar>
            <w:tcBorders>
              <w:bottom w:val="single" w:sz="4" w:color="D9E1E6"/>
            </w:tcBorders>
          </w:tcPr>
          <w:p>
            <w:pPr>
              <w:spacing w:after="0" w:line="257" w:lineRule="auto"/>
            </w:pPr>
            <w:r>
              <w:rPr>
                <w:sz w:val="16"/>
              </w:rPr>
              <w:t>WARN</w:t>
            </w:r>
          </w:p>
        </w:tc>
        <w:tc>
          <w:tcPr>
            <w:tcW w:type="dxa" w:w="3969"/>
            <w:vAlign w:val="center"/>
            <w:tcMar>
              <w:top w:w="90" w:type="dxa"/>
              <w:start w:w="100" w:type="dxa"/>
              <w:bottom w:w="90" w:type="dxa"/>
              <w:end w:w="100" w:type="dxa"/>
            </w:tcMar>
            <w:tcBorders>
              <w:bottom w:val="single" w:sz="4" w:color="D9E1E6"/>
            </w:tcBorders>
          </w:tcPr>
          <w:p>
            <w:pPr>
              <w:spacing w:after="0" w:line="257" w:lineRule="auto"/>
            </w:pPr>
            <w:r>
              <w:rPr>
                <w:sz w:val="16"/>
              </w:rPr>
              <w:t>Registra e segue</w:t>
            </w:r>
          </w:p>
        </w:tc>
        <w:tc>
          <w:tcPr>
            <w:tcW w:type="dxa" w:w="2835"/>
            <w:vAlign w:val="center"/>
            <w:tcMar>
              <w:top w:w="90" w:type="dxa"/>
              <w:start w:w="100" w:type="dxa"/>
              <w:bottom w:w="90" w:type="dxa"/>
              <w:end w:w="100" w:type="dxa"/>
            </w:tcMar>
            <w:tcBorders>
              <w:bottom w:val="single" w:sz="4" w:color="D9E1E6"/>
            </w:tcBorders>
          </w:tcPr>
          <w:p>
            <w:pPr>
              <w:spacing w:after="0" w:line="257" w:lineRule="auto"/>
            </w:pPr>
            <w:r>
              <w:rPr>
                <w:sz w:val="16"/>
              </w:rPr>
              <w:t>Ex.: desvio estatístico sem impacto comprovado.</w:t>
            </w:r>
          </w:p>
        </w:tc>
      </w:tr>
      <w:tr>
        <w:trPr>
          <w:cantSplit/>
        </w:trPr>
        <w:tc>
          <w:tcPr>
            <w:tcW w:type="dxa" w:w="1531"/>
            <w:vAlign w:val="center"/>
            <w:tcMar>
              <w:top w:w="90" w:type="dxa"/>
              <w:start w:w="100" w:type="dxa"/>
              <w:bottom w:w="90" w:type="dxa"/>
              <w:end w:w="100" w:type="dxa"/>
            </w:tcMar>
            <w:shd w:fill="F3F6F8"/>
            <w:tcBorders>
              <w:bottom w:val="single" w:sz="4" w:color="D9E1E6"/>
            </w:tcBorders>
          </w:tcPr>
          <w:p>
            <w:pPr>
              <w:spacing w:after="0" w:line="257" w:lineRule="auto"/>
            </w:pPr>
            <w:r>
              <w:rPr>
                <w:sz w:val="16"/>
              </w:rPr>
              <w:t>QUARANTINE</w:t>
            </w:r>
          </w:p>
        </w:tc>
        <w:tc>
          <w:tcPr>
            <w:tcW w:type="dxa" w:w="3969"/>
            <w:vAlign w:val="center"/>
            <w:tcMar>
              <w:top w:w="90" w:type="dxa"/>
              <w:start w:w="100" w:type="dxa"/>
              <w:bottom w:w="90" w:type="dxa"/>
              <w:end w:w="100" w:type="dxa"/>
            </w:tcMar>
            <w:shd w:fill="F3F6F8"/>
            <w:tcBorders>
              <w:bottom w:val="single" w:sz="4" w:color="D9E1E6"/>
            </w:tcBorders>
          </w:tcPr>
          <w:p>
            <w:pPr>
              <w:spacing w:after="0" w:line="257" w:lineRule="auto"/>
            </w:pPr>
            <w:r>
              <w:rPr>
                <w:sz w:val="16"/>
              </w:rPr>
              <w:t>Isola unidade inválida e permite continuidade definida</w:t>
            </w:r>
          </w:p>
        </w:tc>
        <w:tc>
          <w:tcPr>
            <w:tcW w:type="dxa" w:w="2835"/>
            <w:vAlign w:val="center"/>
            <w:tcMar>
              <w:top w:w="90" w:type="dxa"/>
              <w:start w:w="100" w:type="dxa"/>
              <w:bottom w:w="90" w:type="dxa"/>
              <w:end w:w="100" w:type="dxa"/>
            </w:tcMar>
            <w:shd w:fill="F3F6F8"/>
            <w:tcBorders>
              <w:bottom w:val="single" w:sz="4" w:color="D9E1E6"/>
            </w:tcBorders>
          </w:tcPr>
          <w:p>
            <w:pPr>
              <w:spacing w:after="0" w:line="257" w:lineRule="auto"/>
            </w:pPr>
            <w:r>
              <w:rPr>
                <w:sz w:val="16"/>
              </w:rPr>
              <w:t>Não usar apenas DROP; materializar explicitamente o inválido.</w:t>
            </w:r>
          </w:p>
        </w:tc>
      </w:tr>
      <w:tr>
        <w:trPr>
          <w:cantSplit/>
        </w:trPr>
        <w:tc>
          <w:tcPr>
            <w:tcW w:type="dxa" w:w="1531"/>
            <w:vAlign w:val="center"/>
            <w:tcMar>
              <w:top w:w="90" w:type="dxa"/>
              <w:start w:w="100" w:type="dxa"/>
              <w:bottom w:w="90" w:type="dxa"/>
              <w:end w:w="100" w:type="dxa"/>
            </w:tcMar>
            <w:tcBorders>
              <w:bottom w:val="single" w:sz="4" w:color="D9E1E6"/>
            </w:tcBorders>
          </w:tcPr>
          <w:p>
            <w:pPr>
              <w:spacing w:after="0" w:line="257" w:lineRule="auto"/>
            </w:pPr>
            <w:r>
              <w:rPr>
                <w:sz w:val="16"/>
              </w:rPr>
              <w:t>BLOCK</w:t>
            </w:r>
          </w:p>
        </w:tc>
        <w:tc>
          <w:tcPr>
            <w:tcW w:type="dxa" w:w="3969"/>
            <w:vAlign w:val="center"/>
            <w:tcMar>
              <w:top w:w="90" w:type="dxa"/>
              <w:start w:w="100" w:type="dxa"/>
              <w:bottom w:w="90" w:type="dxa"/>
              <w:end w:w="100" w:type="dxa"/>
            </w:tcMar>
            <w:tcBorders>
              <w:bottom w:val="single" w:sz="4" w:color="D9E1E6"/>
            </w:tcBorders>
          </w:tcPr>
          <w:p>
            <w:pPr>
              <w:spacing w:after="0" w:line="257" w:lineRule="auto"/>
            </w:pPr>
            <w:r>
              <w:rPr>
                <w:sz w:val="16"/>
              </w:rPr>
              <w:t>Interrompe a liberação ou a unidade afetada</w:t>
            </w:r>
          </w:p>
        </w:tc>
        <w:tc>
          <w:tcPr>
            <w:tcW w:type="dxa" w:w="2835"/>
            <w:vAlign w:val="center"/>
            <w:tcMar>
              <w:top w:w="90" w:type="dxa"/>
              <w:start w:w="100" w:type="dxa"/>
              <w:bottom w:w="90" w:type="dxa"/>
              <w:end w:w="100" w:type="dxa"/>
            </w:tcMar>
            <w:tcBorders>
              <w:bottom w:val="single" w:sz="4" w:color="D9E1E6"/>
            </w:tcBorders>
          </w:tcPr>
          <w:p>
            <w:pPr>
              <w:spacing w:after="0" w:line="257" w:lineRule="auto"/>
            </w:pPr>
            <w:r>
              <w:rPr>
                <w:sz w:val="16"/>
              </w:rPr>
              <w:t>Garantir que o consumo continue na versão anterior.</w:t>
            </w:r>
          </w:p>
        </w:tc>
      </w:tr>
    </w:tbl>
    <w:p>
      <w:pPr>
        <w:spacing w:after="0"/>
      </w:pPr>
    </w:p>
    <w:p>
      <w:pPr>
        <w:pStyle w:val="Heading2"/>
      </w:pPr>
      <w:r>
        <w:t>13.3 Modelo de caso de quarentena</w:t>
      </w:r>
    </w:p>
    <w:p>
      <w:pPr/>
      <w:r>
        <w:t>Cada ocorrência terá case_id, dataset_id, gate_id, scope_kind (arquivo/linha/período), source_reference, batch_id, contract_version, rule_id, severity, payload_reference, reason, status, owner, opened_at, due_at, remediation_action, resolution_evidence, replay_id e closed_at.</w:t>
      </w:r>
    </w:p>
    <w:p>
      <w:pPr/>
      <w:r>
        <w:t>Estados sugeridos: OPEN → ASSIGNED → FIX_PENDING → READY_FOR_REPLAY → REPLAYING → RESOLVED. Saídas alternativas: WAIVED (exceção aprovada), DISCARDED (descarte justificado) ou REOPENED. Evidências e alterações de estado devem ser auditáveis.</w:t>
      </w:r>
    </w:p>
    <w:p>
      <w:pPr/>
      <w:r>
        <w:t>Uma linha em quarentena não deve ser simplesmente editada para ser promovida. O mecanismo correto aplica correção na fonte ou transformação versionada, gera nova tentativa com rastreabilidade e revalida o dado pelos mesmos portões.</w:t>
      </w:r>
    </w:p>
    <w:p>
      <w:pPr>
        <w:pStyle w:val="Heading1"/>
      </w:pPr>
      <w:r>
        <w:t>14. Orquestração e dependências</w:t>
      </w:r>
    </w:p>
    <w:p>
      <w:pPr/>
      <w:r>
        <w:t>O encadeamento por horário fixo é inadequado quando o SLA depende da conclusão da etapa anterior. O orquestrador deve usar dependências, estados, gatilhos, checkpoints e unidades de trabalho por domínio, dataset ou grupos de SLA compatível.</w:t>
      </w:r>
    </w:p>
    <w:p>
      <w:pPr>
        <w:pStyle w:val="Heading2"/>
      </w:pPr>
      <w:r>
        <w:t>14.1 Desenho operacional</w:t>
      </w:r>
    </w:p>
    <w:p>
      <w:pPr>
        <w:spacing w:after="80"/>
        <w:ind w:left="329" w:hanging="329"/>
      </w:pPr>
      <w:r>
        <w:rPr>
          <w:b/>
          <w:color w:val="057D79"/>
        </w:rPr>
        <w:t xml:space="preserve">1.  </w:t>
      </w:r>
      <w:r>
        <w:t>Entrega/captura registra lote observado ou a ausência prevista.</w:t>
      </w:r>
    </w:p>
    <w:p>
      <w:pPr>
        <w:spacing w:after="80"/>
        <w:ind w:left="329" w:hanging="329"/>
      </w:pPr>
      <w:r>
        <w:rPr>
          <w:b/>
          <w:color w:val="057D79"/>
        </w:rPr>
        <w:t xml:space="preserve">2.  </w:t>
      </w:r>
      <w:r>
        <w:t>Preflight e Bronze materializam evidências e seus checkpoints.</w:t>
      </w:r>
    </w:p>
    <w:p>
      <w:pPr>
        <w:spacing w:after="80"/>
        <w:ind w:left="329" w:hanging="329"/>
      </w:pPr>
      <w:r>
        <w:rPr>
          <w:b/>
          <w:color w:val="057D79"/>
        </w:rPr>
        <w:t xml:space="preserve">3.  </w:t>
      </w:r>
      <w:r>
        <w:t>Silver Técnica é atualizada com lote/versionamento identificado.</w:t>
      </w:r>
    </w:p>
    <w:p>
      <w:pPr>
        <w:spacing w:after="80"/>
        <w:ind w:left="329" w:hanging="329"/>
      </w:pPr>
      <w:r>
        <w:rPr>
          <w:b/>
          <w:color w:val="057D79"/>
        </w:rPr>
        <w:t xml:space="preserve">4.  </w:t>
      </w:r>
      <w:r>
        <w:t>Silver Analítica e Gold são construídas apenas após dependências necessárias estarem prontas.</w:t>
      </w:r>
    </w:p>
    <w:p>
      <w:pPr>
        <w:spacing w:after="80"/>
        <w:ind w:left="329" w:hanging="329"/>
      </w:pPr>
      <w:r>
        <w:rPr>
          <w:b/>
          <w:color w:val="057D79"/>
        </w:rPr>
        <w:t xml:space="preserve">5.  </w:t>
      </w:r>
      <w:r>
        <w:t>Qualidade de publicação valida consistência e promove a revisão aprovada.</w:t>
      </w:r>
    </w:p>
    <w:p>
      <w:pPr>
        <w:spacing w:after="80"/>
        <w:ind w:left="329" w:hanging="329"/>
      </w:pPr>
      <w:r>
        <w:rPr>
          <w:b/>
          <w:color w:val="057D79"/>
        </w:rPr>
        <w:t xml:space="preserve">6.  </w:t>
      </w:r>
      <w:r>
        <w:t>Observabilidade informa sucesso, degradação, bloqueio e acionamento do runbook.</w:t>
      </w:r>
    </w:p>
    <w:p>
      <w:pPr>
        <w:pStyle w:val="Heading2"/>
      </w:pPr>
      <w:r>
        <w:t>14.2 Gatilhos e controle de concorrência</w:t>
      </w:r>
    </w:p>
    <w:p>
      <w:pPr/>
      <w:r>
        <w:t>Utilizar evento de arquivo quando uma entrega completa for detectada; atualização de tabela para dependência interna; agenda para fontes sem sinal confiável; disparo manual/API para replay. Impor concorrência por dataset/partição, evitando corridas entre duas tentativas do mesmo lote. Eventos podem ser entregues mais de uma vez; portanto o controller deve implementar deduplicação transacional.</w:t>
      </w:r>
    </w:p>
    <w:p>
      <w:pPr>
        <w:pStyle w:val="Heading2"/>
      </w:pPr>
      <w:r>
        <w:t>14.3 Fronteiras de ferramenta</w:t>
      </w:r>
    </w:p>
    <w:p>
      <w:pPr/>
      <w:r>
        <w:t>Não impor que um motor específico seja dono universal de cada camada. A arquitetura permite Lakeflow para ingestão e processamento declarativo, SQL/Python para casos particulares e dbt quando adequado às necessidades de testes e modelagem. Em laboratório com foco Databricks, a implementação pode concentrar-se em Lakeflow + Databricks SQL, sem exigir dbt.</w:t>
      </w:r>
    </w:p>
    <w:p>
      <w:pPr>
        <w:pStyle w:val="Heading1"/>
      </w:pPr>
      <w:r>
        <w:t>15. Publicação consistente e contrato de saída</w:t>
      </w:r>
    </w:p>
    <w:p>
      <w:pPr/>
      <w:r>
        <w:t>A conclusão da escrita de uma tabela não equivale à publicação de um produto composto por várias tabelas. Transações Delta protegem mudanças na unidade de tabela, mas não oferecem automaticamente atomicidade de domínio entre tabelas independentes.</w:t>
      </w:r>
    </w:p>
    <w:p>
      <w:pPr>
        <w:pStyle w:val="Heading2"/>
      </w:pPr>
      <w:r>
        <w:t>15.1 Padrão de publicação versionada</w:t>
      </w:r>
    </w:p>
    <w:p>
      <w:pPr>
        <w:spacing w:after="80"/>
        <w:ind w:left="329" w:hanging="329"/>
      </w:pPr>
      <w:r>
        <w:rPr>
          <w:b/>
          <w:color w:val="057D79"/>
        </w:rPr>
        <w:t xml:space="preserve">1.  </w:t>
      </w:r>
      <w:r>
        <w:t>Gerar revision_id para o conjunto de resultados e registrar a versão das fontes/contratos.</w:t>
      </w:r>
    </w:p>
    <w:p>
      <w:pPr>
        <w:spacing w:after="80"/>
        <w:ind w:left="329" w:hanging="329"/>
      </w:pPr>
      <w:r>
        <w:rPr>
          <w:b/>
          <w:color w:val="057D79"/>
        </w:rPr>
        <w:t xml:space="preserve">2.  </w:t>
      </w:r>
      <w:r>
        <w:t>Materializar tabelas de saída em área de preparação (staging) ou com coluna de revisão.</w:t>
      </w:r>
    </w:p>
    <w:p>
      <w:pPr>
        <w:spacing w:after="80"/>
        <w:ind w:left="329" w:hanging="329"/>
      </w:pPr>
      <w:r>
        <w:rPr>
          <w:b/>
          <w:color w:val="057D79"/>
        </w:rPr>
        <w:t xml:space="preserve">3.  </w:t>
      </w:r>
      <w:r>
        <w:t>Executar reconciliação cruzada, integridade e testes críticos.</w:t>
      </w:r>
    </w:p>
    <w:p>
      <w:pPr>
        <w:spacing w:after="80"/>
        <w:ind w:left="329" w:hanging="329"/>
      </w:pPr>
      <w:r>
        <w:rPr>
          <w:b/>
          <w:color w:val="057D79"/>
        </w:rPr>
        <w:t xml:space="preserve">4.  </w:t>
      </w:r>
      <w:r>
        <w:t>Se houver falha, registrar REJECTED e não modificar a referência de leitura da revisão aprovada.</w:t>
      </w:r>
    </w:p>
    <w:p>
      <w:pPr>
        <w:spacing w:after="80"/>
        <w:ind w:left="329" w:hanging="329"/>
      </w:pPr>
      <w:r>
        <w:rPr>
          <w:b/>
          <w:color w:val="057D79"/>
        </w:rPr>
        <w:t xml:space="preserve">5.  </w:t>
      </w:r>
      <w:r>
        <w:t>Se aprovado, atualizar de forma atômica o registro de revisão publicada, usado pelas views de consumo.</w:t>
      </w:r>
    </w:p>
    <w:p>
      <w:pPr>
        <w:spacing w:after="80"/>
        <w:ind w:left="329" w:hanging="329"/>
      </w:pPr>
      <w:r>
        <w:rPr>
          <w:b/>
          <w:color w:val="057D79"/>
        </w:rPr>
        <w:t xml:space="preserve">6.  </w:t>
      </w:r>
      <w:r>
        <w:t>Manter política de rollback, retenção e limpeza segura das revisões não publicadas.</w:t>
      </w:r>
    </w:p>
    <w:p>
      <w:pPr/>
      <w:r>
        <w:t>O desenho de publicação deverá garantir que o consumidor efetivamente utiliza a revisão indicada pelo registry. Isso exige views/consulta controlada que resolvam uma mesma revisão; não basta atualizar uma flag isolada em diferentes tabelas. Para leituras longas e concorrentes, a estratégia precisa ser validada com testes de consistência na ferramenta escolhida.</w:t>
      </w:r>
    </w:p>
    <w:p>
      <w:pPr>
        <w:pStyle w:val="Heading2"/>
      </w:pPr>
      <w:r>
        <w:t>15.2 Contrato de saída</w:t>
      </w:r>
    </w:p>
    <w:p>
      <w:pPr/>
      <w:r>
        <w:t>Definir grão, colunas e tipos compatíveis, métricas oficiais, frescor, classificação, política de dados tardios, exceções conhecidas, dependências, revision_id e orientação de depreciação. Mudanças incompatíveis exigem nova versão de contrato ou migração coordenada dos consumidores.</w:t>
      </w:r>
    </w:p>
    <w:p>
      <w:pPr>
        <w:pStyle w:val="Heading1"/>
      </w:pPr>
      <w:r>
        <w:t>16. Reprocessamento: recuperação planejada desde a origem</w:t>
      </w:r>
    </w:p>
    <w:p>
      <w:pPr/>
      <w:r>
        <w:t>Recuperar é identificar a menor unidade consistente de trabalho capaz de restaurar o contrato. O modo de replay é definido pela natureza do erro, alcance das dependências, disponibilidade do histórico e reversibilidade da escrita.</w:t>
      </w:r>
    </w:p>
    <w:p>
      <w:pPr>
        <w:pStyle w:val="Heading2"/>
      </w:pPr>
      <w:r>
        <w:t>16.1 Modos</w:t>
      </w:r>
    </w:p>
    <w:tbl>
      <w:tblPr>
        <w:tblW w:type="auto" w:w="0"/>
        <w:jc w:val="center"/>
        <w:tblLayout w:type="fixed"/>
        <w:tblLook w:firstColumn="1" w:firstRow="1" w:lastColumn="0" w:lastRow="0" w:noHBand="0" w:noVBand="1" w:val="04A0"/>
      </w:tblPr>
      <w:tblGrid>
        <w:gridCol w:w="1701"/>
        <w:gridCol w:w="2891"/>
        <w:gridCol w:w="3742"/>
      </w:tblGrid>
      <w:tr>
        <w:trPr>
          <w:tblHeader w:val="true"/>
          <w:cantSplit/>
        </w:trPr>
        <w:tc>
          <w:tcPr>
            <w:tcW w:type="dxa" w:w="3184"/>
            <w:shd w:fill="142439"/>
            <w:tcMar>
              <w:top w:w="95" w:type="dxa"/>
              <w:start w:w="100" w:type="dxa"/>
              <w:bottom w:w="95" w:type="dxa"/>
              <w:end w:w="100" w:type="dxa"/>
            </w:tcMar>
          </w:tcPr>
          <w:p>
            <w:pPr>
              <w:spacing w:after="0"/>
            </w:pPr>
            <w:r>
              <w:rPr>
                <w:b/>
                <w:color w:val="FFFFFF"/>
                <w:sz w:val="16"/>
              </w:rPr>
              <w:t>Modo</w:t>
            </w:r>
          </w:p>
        </w:tc>
        <w:tc>
          <w:tcPr>
            <w:tcW w:type="dxa" w:w="3184"/>
            <w:shd w:fill="142439"/>
            <w:tcMar>
              <w:top w:w="95" w:type="dxa"/>
              <w:start w:w="100" w:type="dxa"/>
              <w:bottom w:w="95" w:type="dxa"/>
              <w:end w:w="100" w:type="dxa"/>
            </w:tcMar>
          </w:tcPr>
          <w:p>
            <w:pPr>
              <w:spacing w:after="0"/>
            </w:pPr>
            <w:r>
              <w:rPr>
                <w:b/>
                <w:color w:val="FFFFFF"/>
                <w:sz w:val="16"/>
              </w:rPr>
              <w:t>Indicação</w:t>
            </w:r>
          </w:p>
        </w:tc>
        <w:tc>
          <w:tcPr>
            <w:tcW w:type="dxa" w:w="3184"/>
            <w:shd w:fill="142439"/>
            <w:tcMar>
              <w:top w:w="95" w:type="dxa"/>
              <w:start w:w="100" w:type="dxa"/>
              <w:bottom w:w="95" w:type="dxa"/>
              <w:end w:w="100" w:type="dxa"/>
            </w:tcMar>
          </w:tcPr>
          <w:p>
            <w:pPr>
              <w:spacing w:after="0"/>
            </w:pPr>
            <w:r>
              <w:rPr>
                <w:b/>
                <w:color w:val="FFFFFF"/>
                <w:sz w:val="16"/>
              </w:rPr>
              <w:t>Escopo/garantia</w:t>
            </w:r>
          </w:p>
        </w:tc>
      </w:tr>
      <w:tr>
        <w:trPr>
          <w:cantSplit/>
        </w:trPr>
        <w:tc>
          <w:tcPr>
            <w:tcW w:type="dxa" w:w="1701"/>
            <w:vAlign w:val="center"/>
            <w:tcMar>
              <w:top w:w="90" w:type="dxa"/>
              <w:start w:w="100" w:type="dxa"/>
              <w:bottom w:w="90" w:type="dxa"/>
              <w:end w:w="100" w:type="dxa"/>
            </w:tcMar>
            <w:tcBorders>
              <w:bottom w:val="single" w:sz="4" w:color="D9E1E6"/>
            </w:tcBorders>
          </w:tcPr>
          <w:p>
            <w:pPr>
              <w:spacing w:after="0" w:line="257" w:lineRule="auto"/>
            </w:pPr>
            <w:r>
              <w:rPr>
                <w:sz w:val="16"/>
              </w:rPr>
              <w:t>Repair run</w:t>
            </w:r>
          </w:p>
        </w:tc>
        <w:tc>
          <w:tcPr>
            <w:tcW w:type="dxa" w:w="2891"/>
            <w:vAlign w:val="center"/>
            <w:tcMar>
              <w:top w:w="90" w:type="dxa"/>
              <w:start w:w="100" w:type="dxa"/>
              <w:bottom w:w="90" w:type="dxa"/>
              <w:end w:w="100" w:type="dxa"/>
            </w:tcMar>
            <w:tcBorders>
              <w:bottom w:val="single" w:sz="4" w:color="D9E1E6"/>
            </w:tcBorders>
          </w:tcPr>
          <w:p>
            <w:pPr>
              <w:spacing w:after="0" w:line="257" w:lineRule="auto"/>
            </w:pPr>
            <w:r>
              <w:rPr>
                <w:sz w:val="16"/>
              </w:rPr>
              <w:t>Timeout, instabilidade, falha transitória</w:t>
            </w:r>
          </w:p>
        </w:tc>
        <w:tc>
          <w:tcPr>
            <w:tcW w:type="dxa" w:w="3742"/>
            <w:vAlign w:val="center"/>
            <w:tcMar>
              <w:top w:w="90" w:type="dxa"/>
              <w:start w:w="100" w:type="dxa"/>
              <w:bottom w:w="90" w:type="dxa"/>
              <w:end w:w="100" w:type="dxa"/>
            </w:tcMar>
            <w:tcBorders>
              <w:bottom w:val="single" w:sz="4" w:color="D9E1E6"/>
            </w:tcBorders>
          </w:tcPr>
          <w:p>
            <w:pPr>
              <w:spacing w:after="0" w:line="257" w:lineRule="auto"/>
            </w:pPr>
            <w:r>
              <w:rPr>
                <w:sz w:val="16"/>
              </w:rPr>
              <w:t>Retenta tarefas falhas, sem presumir idempotência dos efeitos já gravados.</w:t>
            </w:r>
          </w:p>
        </w:tc>
      </w:tr>
      <w:tr>
        <w:trPr>
          <w:cantSplit/>
        </w:trPr>
        <w:tc>
          <w:tcPr>
            <w:tcW w:type="dxa" w:w="1701"/>
            <w:vAlign w:val="center"/>
            <w:tcMar>
              <w:top w:w="90" w:type="dxa"/>
              <w:start w:w="100" w:type="dxa"/>
              <w:bottom w:w="90" w:type="dxa"/>
              <w:end w:w="100" w:type="dxa"/>
            </w:tcMar>
            <w:shd w:fill="F3F6F8"/>
            <w:tcBorders>
              <w:bottom w:val="single" w:sz="4" w:color="D9E1E6"/>
            </w:tcBorders>
          </w:tcPr>
          <w:p>
            <w:pPr>
              <w:spacing w:after="0" w:line="257" w:lineRule="auto"/>
            </w:pPr>
            <w:r>
              <w:rPr>
                <w:sz w:val="16"/>
              </w:rPr>
              <w:t>Por arquivo</w:t>
            </w:r>
          </w:p>
        </w:tc>
        <w:tc>
          <w:tcPr>
            <w:tcW w:type="dxa" w:w="2891"/>
            <w:vAlign w:val="center"/>
            <w:tcMar>
              <w:top w:w="90" w:type="dxa"/>
              <w:start w:w="100" w:type="dxa"/>
              <w:bottom w:w="90" w:type="dxa"/>
              <w:end w:w="100" w:type="dxa"/>
            </w:tcMar>
            <w:shd w:fill="F3F6F8"/>
            <w:tcBorders>
              <w:bottom w:val="single" w:sz="4" w:color="D9E1E6"/>
            </w:tcBorders>
          </w:tcPr>
          <w:p>
            <w:pPr>
              <w:spacing w:after="0" w:line="257" w:lineRule="auto"/>
            </w:pPr>
            <w:r>
              <w:rPr>
                <w:sz w:val="16"/>
              </w:rPr>
              <w:t>Arquivo corrigido ou liberado</w:t>
            </w:r>
          </w:p>
        </w:tc>
        <w:tc>
          <w:tcPr>
            <w:tcW w:type="dxa" w:w="3742"/>
            <w:vAlign w:val="center"/>
            <w:tcMar>
              <w:top w:w="90" w:type="dxa"/>
              <w:start w:w="100" w:type="dxa"/>
              <w:bottom w:w="90" w:type="dxa"/>
              <w:end w:w="100" w:type="dxa"/>
            </w:tcMar>
            <w:shd w:fill="F3F6F8"/>
            <w:tcBorders>
              <w:bottom w:val="single" w:sz="4" w:color="D9E1E6"/>
            </w:tcBorders>
          </w:tcPr>
          <w:p>
            <w:pPr>
              <w:spacing w:after="0" w:line="257" w:lineRule="auto"/>
            </w:pPr>
            <w:r>
              <w:rPr>
                <w:sz w:val="16"/>
              </w:rPr>
              <w:t>Novo lote/objeto e mesmo contrato de aceite; reconciliar duplicidade.</w:t>
            </w:r>
          </w:p>
        </w:tc>
      </w:tr>
      <w:tr>
        <w:trPr>
          <w:cantSplit/>
        </w:trPr>
        <w:tc>
          <w:tcPr>
            <w:tcW w:type="dxa" w:w="1701"/>
            <w:vAlign w:val="center"/>
            <w:tcMar>
              <w:top w:w="90" w:type="dxa"/>
              <w:start w:w="100" w:type="dxa"/>
              <w:bottom w:w="90" w:type="dxa"/>
              <w:end w:w="100" w:type="dxa"/>
            </w:tcMar>
            <w:tcBorders>
              <w:bottom w:val="single" w:sz="4" w:color="D9E1E6"/>
            </w:tcBorders>
          </w:tcPr>
          <w:p>
            <w:pPr>
              <w:spacing w:after="0" w:line="257" w:lineRule="auto"/>
            </w:pPr>
            <w:r>
              <w:rPr>
                <w:sz w:val="16"/>
              </w:rPr>
              <w:t>Por período</w:t>
            </w:r>
          </w:p>
        </w:tc>
        <w:tc>
          <w:tcPr>
            <w:tcW w:type="dxa" w:w="2891"/>
            <w:vAlign w:val="center"/>
            <w:tcMar>
              <w:top w:w="90" w:type="dxa"/>
              <w:start w:w="100" w:type="dxa"/>
              <w:bottom w:w="90" w:type="dxa"/>
              <w:end w:w="100" w:type="dxa"/>
            </w:tcMar>
            <w:tcBorders>
              <w:bottom w:val="single" w:sz="4" w:color="D9E1E6"/>
            </w:tcBorders>
          </w:tcPr>
          <w:p>
            <w:pPr>
              <w:spacing w:after="0" w:line="257" w:lineRule="auto"/>
            </w:pPr>
            <w:r>
              <w:rPr>
                <w:sz w:val="16"/>
              </w:rPr>
              <w:t>Regra corrigida ou dados de uma janela afetados</w:t>
            </w:r>
          </w:p>
        </w:tc>
        <w:tc>
          <w:tcPr>
            <w:tcW w:type="dxa" w:w="3742"/>
            <w:vAlign w:val="center"/>
            <w:tcMar>
              <w:top w:w="90" w:type="dxa"/>
              <w:start w:w="100" w:type="dxa"/>
              <w:bottom w:w="90" w:type="dxa"/>
              <w:end w:w="100" w:type="dxa"/>
            </w:tcMar>
            <w:tcBorders>
              <w:bottom w:val="single" w:sz="4" w:color="D9E1E6"/>
            </w:tcBorders>
          </w:tcPr>
          <w:p>
            <w:pPr>
              <w:spacing w:after="0" w:line="257" w:lineRule="auto"/>
            </w:pPr>
            <w:r>
              <w:rPr>
                <w:sz w:val="16"/>
              </w:rPr>
              <w:t>Recalcula período e dependências, com substituição seletiva/merge controlado.</w:t>
            </w:r>
          </w:p>
        </w:tc>
      </w:tr>
      <w:tr>
        <w:trPr>
          <w:cantSplit/>
        </w:trPr>
        <w:tc>
          <w:tcPr>
            <w:tcW w:type="dxa" w:w="1701"/>
            <w:vAlign w:val="center"/>
            <w:tcMar>
              <w:top w:w="90" w:type="dxa"/>
              <w:start w:w="100" w:type="dxa"/>
              <w:bottom w:w="90" w:type="dxa"/>
              <w:end w:w="100" w:type="dxa"/>
            </w:tcMar>
            <w:shd w:fill="F3F6F8"/>
            <w:tcBorders>
              <w:bottom w:val="single" w:sz="4" w:color="D9E1E6"/>
            </w:tcBorders>
          </w:tcPr>
          <w:p>
            <w:pPr>
              <w:spacing w:after="0" w:line="257" w:lineRule="auto"/>
            </w:pPr>
            <w:r>
              <w:rPr>
                <w:sz w:val="16"/>
              </w:rPr>
              <w:t>Backfill</w:t>
            </w:r>
          </w:p>
        </w:tc>
        <w:tc>
          <w:tcPr>
            <w:tcW w:type="dxa" w:w="2891"/>
            <w:vAlign w:val="center"/>
            <w:tcMar>
              <w:top w:w="90" w:type="dxa"/>
              <w:start w:w="100" w:type="dxa"/>
              <w:bottom w:w="90" w:type="dxa"/>
              <w:end w:w="100" w:type="dxa"/>
            </w:tcMar>
            <w:shd w:fill="F3F6F8"/>
            <w:tcBorders>
              <w:bottom w:val="single" w:sz="4" w:color="D9E1E6"/>
            </w:tcBorders>
          </w:tcPr>
          <w:p>
            <w:pPr>
              <w:spacing w:after="0" w:line="257" w:lineRule="auto"/>
            </w:pPr>
            <w:r>
              <w:rPr>
                <w:sz w:val="16"/>
              </w:rPr>
              <w:t>Histórico amplo ou novo atributo</w:t>
            </w:r>
          </w:p>
        </w:tc>
        <w:tc>
          <w:tcPr>
            <w:tcW w:type="dxa" w:w="3742"/>
            <w:vAlign w:val="center"/>
            <w:tcMar>
              <w:top w:w="90" w:type="dxa"/>
              <w:start w:w="100" w:type="dxa"/>
              <w:bottom w:w="90" w:type="dxa"/>
              <w:end w:w="100" w:type="dxa"/>
            </w:tcMar>
            <w:shd w:fill="F3F6F8"/>
            <w:tcBorders>
              <w:bottom w:val="single" w:sz="4" w:color="D9E1E6"/>
            </w:tcBorders>
          </w:tcPr>
          <w:p>
            <w:pPr>
              <w:spacing w:after="0" w:line="257" w:lineRule="auto"/>
            </w:pPr>
            <w:r>
              <w:rPr>
                <w:sz w:val="16"/>
              </w:rPr>
              <w:t>Execução em lotes, com checkpoints, custo e monitoramento.</w:t>
            </w:r>
          </w:p>
        </w:tc>
      </w:tr>
      <w:tr>
        <w:trPr>
          <w:cantSplit/>
        </w:trPr>
        <w:tc>
          <w:tcPr>
            <w:tcW w:type="dxa" w:w="1701"/>
            <w:vAlign w:val="center"/>
            <w:tcMar>
              <w:top w:w="90" w:type="dxa"/>
              <w:start w:w="100" w:type="dxa"/>
              <w:bottom w:w="90" w:type="dxa"/>
              <w:end w:w="100" w:type="dxa"/>
            </w:tcMar>
            <w:tcBorders>
              <w:bottom w:val="single" w:sz="4" w:color="D9E1E6"/>
            </w:tcBorders>
          </w:tcPr>
          <w:p>
            <w:pPr>
              <w:spacing w:after="0" w:line="257" w:lineRule="auto"/>
            </w:pPr>
            <w:r>
              <w:rPr>
                <w:sz w:val="16"/>
              </w:rPr>
              <w:t>Full refresh controlado</w:t>
            </w:r>
          </w:p>
        </w:tc>
        <w:tc>
          <w:tcPr>
            <w:tcW w:type="dxa" w:w="2891"/>
            <w:vAlign w:val="center"/>
            <w:tcMar>
              <w:top w:w="90" w:type="dxa"/>
              <w:start w:w="100" w:type="dxa"/>
              <w:bottom w:w="90" w:type="dxa"/>
              <w:end w:w="100" w:type="dxa"/>
            </w:tcMar>
            <w:tcBorders>
              <w:bottom w:val="single" w:sz="4" w:color="D9E1E6"/>
            </w:tcBorders>
          </w:tcPr>
          <w:p>
            <w:pPr>
              <w:spacing w:after="0" w:line="257" w:lineRule="auto"/>
            </w:pPr>
            <w:r>
              <w:rPr>
                <w:sz w:val="16"/>
              </w:rPr>
              <w:t>Mudança estrutural que invalida a tabela</w:t>
            </w:r>
          </w:p>
        </w:tc>
        <w:tc>
          <w:tcPr>
            <w:tcW w:type="dxa" w:w="3742"/>
            <w:vAlign w:val="center"/>
            <w:tcMar>
              <w:top w:w="90" w:type="dxa"/>
              <w:start w:w="100" w:type="dxa"/>
              <w:bottom w:w="90" w:type="dxa"/>
              <w:end w:w="100" w:type="dxa"/>
            </w:tcMar>
            <w:tcBorders>
              <w:bottom w:val="single" w:sz="4" w:color="D9E1E6"/>
            </w:tcBorders>
          </w:tcPr>
          <w:p>
            <w:pPr>
              <w:spacing w:after="0" w:line="257" w:lineRule="auto"/>
            </w:pPr>
            <w:r>
              <w:rPr>
                <w:sz w:val="16"/>
              </w:rPr>
              <w:t>Recria tabela/dependentes após verificar base restaurável e aprovação.</w:t>
            </w:r>
          </w:p>
        </w:tc>
      </w:tr>
    </w:tbl>
    <w:p>
      <w:pPr>
        <w:spacing w:after="0"/>
      </w:pPr>
    </w:p>
    <w:p>
      <w:pPr>
        <w:pStyle w:val="Heading2"/>
      </w:pPr>
      <w:r>
        <w:t>16.2 Máquina de estados</w:t>
      </w:r>
    </w:p>
    <w:tbl>
      <w:tblPr>
        <w:tblW w:type="auto" w:w="0"/>
        <w:tblLook w:firstColumn="1" w:firstRow="1" w:lastColumn="0" w:lastRow="0" w:noHBand="0" w:noVBand="1" w:val="04A0"/>
      </w:tblPr>
      <w:tblGrid>
        <w:gridCol w:w="9553"/>
      </w:tblGrid>
      <w:tr>
        <w:tc>
          <w:tcPr>
            <w:tcW w:type="dxa" w:w="9553"/>
            <w:shd w:fill="F3F6F8"/>
            <w:tcMar>
              <w:top w:w="140" w:type="dxa"/>
              <w:start w:w="170" w:type="dxa"/>
              <w:bottom w:w="140" w:type="dxa"/>
              <w:end w:w="170" w:type="dxa"/>
            </w:tcMar>
          </w:tcPr>
          <w:p>
            <w:pPr>
              <w:pStyle w:val="MonoBlock"/>
            </w:pPr>
            <w:r>
              <w:t>DETECTED → TRIAGED → SCOPED → APPROVED → QUEUED → RUNNING</w:t>
            </w:r>
          </w:p>
          <w:p>
            <w:pPr>
              <w:pStyle w:val="MonoBlock"/>
            </w:pPr>
            <w:r>
              <w:t xml:space="preserve">                                    ↓</w:t>
            </w:r>
          </w:p>
          <w:p>
            <w:pPr>
              <w:pStyle w:val="MonoBlock"/>
            </w:pPr>
            <w:r>
              <w:t xml:space="preserve">                                VERIFIED → CLOSED</w:t>
            </w:r>
          </w:p>
          <w:p>
            <w:pPr>
              <w:pStyle w:val="MonoBlock"/>
            </w:pPr>
            <w:r>
              <w:t xml:space="preserve">                                    ↘ FAILED → RETRY_PENDING / ESCALATED</w:t>
            </w:r>
          </w:p>
        </w:tc>
      </w:tr>
    </w:tbl>
    <w:p>
      <w:pPr>
        <w:spacing w:after="0"/>
      </w:pPr>
    </w:p>
    <w:p>
      <w:pPr>
        <w:pStyle w:val="Heading2"/>
      </w:pPr>
      <w:r>
        <w:t>16.3 Planejamento de impacto</w:t>
      </w:r>
    </w:p>
    <w:p>
      <w:pPr/>
      <w:r>
        <w:t>A solicitação de reprocessamento registra cause, dataset_id, batch_id, intervalo de evento, intervalo de ingestão, versão do contrato, fontes necessárias, dependentes via lineage, modo, previsão de custo e aprovadores. O plano executável produz um DAG de recuperação, evitando refazer objetos comprovadamente inalterados.</w:t>
      </w:r>
    </w:p>
    <w:p>
      <w:pPr>
        <w:pStyle w:val="Heading2"/>
      </w:pPr>
      <w:r>
        <w:t>16.4 Quatro garantias</w:t>
      </w:r>
    </w:p>
    <w:p>
      <w:pPr>
        <w:pStyle w:val="ListBullet"/>
      </w:pPr>
      <w:r>
        <w:t>Idempotência: repetir a mesma solicitação não duplica nem corrompe o resultado.</w:t>
      </w:r>
    </w:p>
    <w:p>
      <w:pPr>
        <w:pStyle w:val="ListBullet"/>
      </w:pPr>
      <w:r>
        <w:t>Rastreabilidade: qualquer linha publicada pode ser associada a lote, transformação e versão.</w:t>
      </w:r>
    </w:p>
    <w:p>
      <w:pPr>
        <w:pStyle w:val="ListBullet"/>
      </w:pPr>
      <w:r>
        <w:t>Completude: o escopo afetado é totalmente recalculado e reconciliado.</w:t>
      </w:r>
    </w:p>
    <w:p>
      <w:pPr>
        <w:pStyle w:val="ListBullet"/>
      </w:pPr>
      <w:r>
        <w:t>Segurança de publicação: consumidores não enxergam resultados intermediários ou parciais.</w:t>
      </w:r>
    </w:p>
    <w:p>
      <w:pPr>
        <w:pStyle w:val="Heading2"/>
      </w:pPr>
      <w:r>
        <w:t>16.5 Ausência de entrega: incidente sem arquivo</w:t>
      </w:r>
    </w:p>
    <w:p>
      <w:pPr/>
      <w:r>
        <w:t>O controller de delivery_expectation contém as entregas esperadas. Um verificador de prazo identifica falta de objeto/manifesto e cria MISSING_DELIVERY. Quando a fonte entrega tardiamente, o novo objeto é relacionado à expectativa pendente, validado e promovido. A execução corrige somente os períodos dependentes e registra o cumprimento tardio do SLA.</w:t>
      </w:r>
    </w:p>
    <w:p>
      <w:pPr>
        <w:pStyle w:val="Heading1"/>
      </w:pPr>
      <w:r>
        <w:t>17. Segurança, privacidade e governança</w:t>
      </w:r>
    </w:p>
    <w:p>
      <w:pPr/>
      <w:r>
        <w:t>A camada de governança é transversal: cada recurso tem responsável, identidade de serviço, escopo de autorização e registro de auditoria. Dados pessoais, segredos e artefatos de debug são protegidos em todas as fases, inclusive quarentena e histórico frio.</w:t>
      </w:r>
    </w:p>
    <w:p>
      <w:pPr>
        <w:pStyle w:val="Heading2"/>
      </w:pPr>
      <w:r>
        <w:t>17.1 Controles mínimos</w:t>
      </w:r>
    </w:p>
    <w:p>
      <w:pPr>
        <w:pStyle w:val="ListBullet"/>
      </w:pPr>
      <w:r>
        <w:t>Contas/identidades de serviço separadas para recepção, transformação, publicação e operação quando justificadas.</w:t>
      </w:r>
    </w:p>
    <w:p>
      <w:pPr>
        <w:pStyle w:val="ListBullet"/>
      </w:pPr>
      <w:r>
        <w:t>Menor privilégio por bucket, volume, catálogo, schema e tabela, com revisão de acessos.</w:t>
      </w:r>
    </w:p>
    <w:p>
      <w:pPr>
        <w:pStyle w:val="ListBullet"/>
      </w:pPr>
      <w:r>
        <w:t>Segredos em gerenciador apropriado, nunca em notebooks, YAML de contrato ou logs.</w:t>
      </w:r>
    </w:p>
    <w:p>
      <w:pPr>
        <w:pStyle w:val="ListBullet"/>
      </w:pPr>
      <w:r>
        <w:t>Criptografia, proteção de rede, política de saída e auditoria de ações administrativas.</w:t>
      </w:r>
    </w:p>
    <w:p>
      <w:pPr>
        <w:pStyle w:val="ListBullet"/>
      </w:pPr>
      <w:r>
        <w:t>Classificação e mascaramento/filtragem conforme sensibilidade e finalidade de consumo.</w:t>
      </w:r>
    </w:p>
    <w:p>
      <w:pPr>
        <w:pStyle w:val="ListBullet"/>
      </w:pPr>
      <w:r>
        <w:t>Retenção, arquivamento, direito de eliminação e legal hold subordinados aos requisitos aplicáveis.</w:t>
      </w:r>
    </w:p>
    <w:p>
      <w:pPr>
        <w:pStyle w:val="ListBullet"/>
      </w:pPr>
      <w:r>
        <w:t>Quarentenas têm proteção equivalente ou superior à fonte, pois guardam dados problemáticos, não dados públicos.</w:t>
      </w:r>
    </w:p>
    <w:p>
      <w:pPr>
        <w:pStyle w:val="Heading2"/>
      </w:pPr>
      <w:r>
        <w:t>17.2 Unity Catalog como implementação</w:t>
      </w:r>
    </w:p>
    <w:p>
      <w:pPr/>
      <w:r>
        <w:t>Unity Catalog pode centralizar permissões, registro de conexões, volumes, linhagem e políticas. Para governança por atributos, políticas ABAC, row filters e column masks podem ser avaliadas conforme disponibilidade e compatibilidade com os objetos usados. Não assumir que uma implementação de filtro funciona igualmente em tabelas, views e pipelines sem teste.</w:t>
      </w:r>
    </w:p>
    <w:p>
      <w:pPr>
        <w:pStyle w:val="Heading1"/>
      </w:pPr>
      <w:r>
        <w:t>18. Observabilidade, confiabilidade e FinOps</w:t>
      </w:r>
    </w:p>
    <w:p>
      <w:pPr/>
      <w:r>
        <w:t>Observabilidade precisa responder: o que era esperado, o que chegou, o que foi rejeitado, o que foi publicado, por que falhou, a quem impacta e qual custo estimado ou observado da operação. Métricas e logs da ferramenta são insumos, mas o produto de observabilidade deve representar o significado operacional do dado.</w:t>
      </w:r>
    </w:p>
    <w:p>
      <w:pPr>
        <w:pStyle w:val="Heading2"/>
      </w:pPr>
      <w:r>
        <w:t>18.1 Indicadores por dataset</w:t>
      </w:r>
    </w:p>
    <w:tbl>
      <w:tblPr>
        <w:tblW w:type="auto" w:w="0"/>
        <w:jc w:val="center"/>
        <w:tblLayout w:type="fixed"/>
        <w:tblLook w:firstColumn="1" w:firstRow="1" w:lastColumn="0" w:lastRow="0" w:noHBand="0" w:noVBand="1" w:val="04A0"/>
      </w:tblPr>
      <w:tblGrid>
        <w:gridCol w:w="2438"/>
        <w:gridCol w:w="5896"/>
      </w:tblGrid>
      <w:tr>
        <w:trPr>
          <w:tblHeader w:val="true"/>
          <w:cantSplit/>
        </w:trPr>
        <w:tc>
          <w:tcPr>
            <w:tcW w:type="dxa" w:w="4776"/>
            <w:shd w:fill="142439"/>
            <w:tcMar>
              <w:top w:w="95" w:type="dxa"/>
              <w:start w:w="100" w:type="dxa"/>
              <w:bottom w:w="95" w:type="dxa"/>
              <w:end w:w="100" w:type="dxa"/>
            </w:tcMar>
          </w:tcPr>
          <w:p>
            <w:pPr>
              <w:spacing w:after="0"/>
            </w:pPr>
            <w:r>
              <w:rPr>
                <w:b/>
                <w:color w:val="FFFFFF"/>
                <w:sz w:val="16"/>
              </w:rPr>
              <w:t>Indicador</w:t>
            </w:r>
          </w:p>
        </w:tc>
        <w:tc>
          <w:tcPr>
            <w:tcW w:type="dxa" w:w="4776"/>
            <w:shd w:fill="142439"/>
            <w:tcMar>
              <w:top w:w="95" w:type="dxa"/>
              <w:start w:w="100" w:type="dxa"/>
              <w:bottom w:w="95" w:type="dxa"/>
              <w:end w:w="100" w:type="dxa"/>
            </w:tcMar>
          </w:tcPr>
          <w:p>
            <w:pPr>
              <w:spacing w:after="0"/>
            </w:pPr>
            <w:r>
              <w:rPr>
                <w:b/>
                <w:color w:val="FFFFFF"/>
                <w:sz w:val="16"/>
              </w:rPr>
              <w:t>Definição operacional</w:t>
            </w:r>
          </w:p>
        </w:tc>
      </w:tr>
      <w:tr>
        <w:trPr>
          <w:cantSplit/>
        </w:trPr>
        <w:tc>
          <w:tcPr>
            <w:tcW w:type="dxa" w:w="2438"/>
            <w:vAlign w:val="center"/>
            <w:tcMar>
              <w:top w:w="90" w:type="dxa"/>
              <w:start w:w="100" w:type="dxa"/>
              <w:bottom w:w="90" w:type="dxa"/>
              <w:end w:w="100" w:type="dxa"/>
            </w:tcMar>
            <w:tcBorders>
              <w:bottom w:val="single" w:sz="4" w:color="D9E1E6"/>
            </w:tcBorders>
          </w:tcPr>
          <w:p>
            <w:pPr>
              <w:spacing w:after="0" w:line="257" w:lineRule="auto"/>
            </w:pPr>
            <w:r>
              <w:rPr>
                <w:sz w:val="16"/>
              </w:rPr>
              <w:t>Freshness lag</w:t>
            </w:r>
          </w:p>
        </w:tc>
        <w:tc>
          <w:tcPr>
            <w:tcW w:type="dxa" w:w="5896"/>
            <w:vAlign w:val="center"/>
            <w:tcMar>
              <w:top w:w="90" w:type="dxa"/>
              <w:start w:w="100" w:type="dxa"/>
              <w:bottom w:w="90" w:type="dxa"/>
              <w:end w:w="100" w:type="dxa"/>
            </w:tcMar>
            <w:tcBorders>
              <w:bottom w:val="single" w:sz="4" w:color="D9E1E6"/>
            </w:tcBorders>
          </w:tcPr>
          <w:p>
            <w:pPr>
              <w:spacing w:after="0" w:line="257" w:lineRule="auto"/>
            </w:pPr>
            <w:r>
              <w:rPr>
                <w:sz w:val="16"/>
              </w:rPr>
              <w:t>Tempo desde o evento/captura mais recente conforme a origem e SLA.</w:t>
            </w:r>
          </w:p>
        </w:tc>
      </w:tr>
      <w:tr>
        <w:trPr>
          <w:cantSplit/>
        </w:trPr>
        <w:tc>
          <w:tcPr>
            <w:tcW w:type="dxa" w:w="2438"/>
            <w:vAlign w:val="center"/>
            <w:tcMar>
              <w:top w:w="90" w:type="dxa"/>
              <w:start w:w="100" w:type="dxa"/>
              <w:bottom w:w="90" w:type="dxa"/>
              <w:end w:w="100" w:type="dxa"/>
            </w:tcMar>
            <w:shd w:fill="F3F6F8"/>
            <w:tcBorders>
              <w:bottom w:val="single" w:sz="4" w:color="D9E1E6"/>
            </w:tcBorders>
          </w:tcPr>
          <w:p>
            <w:pPr>
              <w:spacing w:after="0" w:line="257" w:lineRule="auto"/>
            </w:pPr>
            <w:r>
              <w:rPr>
                <w:sz w:val="16"/>
              </w:rPr>
              <w:t>Delivery completeness</w:t>
            </w:r>
          </w:p>
        </w:tc>
        <w:tc>
          <w:tcPr>
            <w:tcW w:type="dxa" w:w="5896"/>
            <w:vAlign w:val="center"/>
            <w:tcMar>
              <w:top w:w="90" w:type="dxa"/>
              <w:start w:w="100" w:type="dxa"/>
              <w:bottom w:w="90" w:type="dxa"/>
              <w:end w:w="100" w:type="dxa"/>
            </w:tcMar>
            <w:shd w:fill="F3F6F8"/>
            <w:tcBorders>
              <w:bottom w:val="single" w:sz="4" w:color="D9E1E6"/>
            </w:tcBorders>
          </w:tcPr>
          <w:p>
            <w:pPr>
              <w:spacing w:after="0" w:line="257" w:lineRule="auto"/>
            </w:pPr>
            <w:r>
              <w:rPr>
                <w:sz w:val="16"/>
              </w:rPr>
              <w:t>Entregas aceitas / entregas esperadas na janela.</w:t>
            </w:r>
          </w:p>
        </w:tc>
      </w:tr>
      <w:tr>
        <w:trPr>
          <w:cantSplit/>
        </w:trPr>
        <w:tc>
          <w:tcPr>
            <w:tcW w:type="dxa" w:w="2438"/>
            <w:vAlign w:val="center"/>
            <w:tcMar>
              <w:top w:w="90" w:type="dxa"/>
              <w:start w:w="100" w:type="dxa"/>
              <w:bottom w:w="90" w:type="dxa"/>
              <w:end w:w="100" w:type="dxa"/>
            </w:tcMar>
            <w:tcBorders>
              <w:bottom w:val="single" w:sz="4" w:color="D9E1E6"/>
            </w:tcBorders>
          </w:tcPr>
          <w:p>
            <w:pPr>
              <w:spacing w:after="0" w:line="257" w:lineRule="auto"/>
            </w:pPr>
            <w:r>
              <w:rPr>
                <w:sz w:val="16"/>
              </w:rPr>
              <w:t>Rejection rate</w:t>
            </w:r>
          </w:p>
        </w:tc>
        <w:tc>
          <w:tcPr>
            <w:tcW w:type="dxa" w:w="5896"/>
            <w:vAlign w:val="center"/>
            <w:tcMar>
              <w:top w:w="90" w:type="dxa"/>
              <w:start w:w="100" w:type="dxa"/>
              <w:bottom w:w="90" w:type="dxa"/>
              <w:end w:w="100" w:type="dxa"/>
            </w:tcMar>
            <w:tcBorders>
              <w:bottom w:val="single" w:sz="4" w:color="D9E1E6"/>
            </w:tcBorders>
          </w:tcPr>
          <w:p>
            <w:pPr>
              <w:spacing w:after="0" w:line="257" w:lineRule="auto"/>
            </w:pPr>
            <w:r>
              <w:rPr>
                <w:sz w:val="16"/>
              </w:rPr>
              <w:t>Registros ou arquivos rejeitados / recebidos, por portão.</w:t>
            </w:r>
          </w:p>
        </w:tc>
      </w:tr>
      <w:tr>
        <w:trPr>
          <w:cantSplit/>
        </w:trPr>
        <w:tc>
          <w:tcPr>
            <w:tcW w:type="dxa" w:w="2438"/>
            <w:vAlign w:val="center"/>
            <w:tcMar>
              <w:top w:w="90" w:type="dxa"/>
              <w:start w:w="100" w:type="dxa"/>
              <w:bottom w:w="90" w:type="dxa"/>
              <w:end w:w="100" w:type="dxa"/>
            </w:tcMar>
            <w:shd w:fill="F3F6F8"/>
            <w:tcBorders>
              <w:bottom w:val="single" w:sz="4" w:color="D9E1E6"/>
            </w:tcBorders>
          </w:tcPr>
          <w:p>
            <w:pPr>
              <w:spacing w:after="0" w:line="257" w:lineRule="auto"/>
            </w:pPr>
            <w:r>
              <w:rPr>
                <w:sz w:val="16"/>
              </w:rPr>
              <w:t>Reconciliation</w:t>
            </w:r>
          </w:p>
        </w:tc>
        <w:tc>
          <w:tcPr>
            <w:tcW w:type="dxa" w:w="5896"/>
            <w:vAlign w:val="center"/>
            <w:tcMar>
              <w:top w:w="90" w:type="dxa"/>
              <w:start w:w="100" w:type="dxa"/>
              <w:bottom w:w="90" w:type="dxa"/>
              <w:end w:w="100" w:type="dxa"/>
            </w:tcMar>
            <w:shd w:fill="F3F6F8"/>
            <w:tcBorders>
              <w:bottom w:val="single" w:sz="4" w:color="D9E1E6"/>
            </w:tcBorders>
          </w:tcPr>
          <w:p>
            <w:pPr>
              <w:spacing w:after="0" w:line="257" w:lineRule="auto"/>
            </w:pPr>
            <w:r>
              <w:rPr>
                <w:sz w:val="16"/>
              </w:rPr>
              <w:t>Diferença por contagem, soma, chaves ou hash entre estágios.</w:t>
            </w:r>
          </w:p>
        </w:tc>
      </w:tr>
      <w:tr>
        <w:trPr>
          <w:cantSplit/>
        </w:trPr>
        <w:tc>
          <w:tcPr>
            <w:tcW w:type="dxa" w:w="2438"/>
            <w:vAlign w:val="center"/>
            <w:tcMar>
              <w:top w:w="90" w:type="dxa"/>
              <w:start w:w="100" w:type="dxa"/>
              <w:bottom w:w="90" w:type="dxa"/>
              <w:end w:w="100" w:type="dxa"/>
            </w:tcMar>
            <w:tcBorders>
              <w:bottom w:val="single" w:sz="4" w:color="D9E1E6"/>
            </w:tcBorders>
          </w:tcPr>
          <w:p>
            <w:pPr>
              <w:spacing w:after="0" w:line="257" w:lineRule="auto"/>
            </w:pPr>
            <w:r>
              <w:rPr>
                <w:sz w:val="16"/>
              </w:rPr>
              <w:t>Recovery time</w:t>
            </w:r>
          </w:p>
        </w:tc>
        <w:tc>
          <w:tcPr>
            <w:tcW w:type="dxa" w:w="5896"/>
            <w:vAlign w:val="center"/>
            <w:tcMar>
              <w:top w:w="90" w:type="dxa"/>
              <w:start w:w="100" w:type="dxa"/>
              <w:bottom w:w="90" w:type="dxa"/>
              <w:end w:w="100" w:type="dxa"/>
            </w:tcMar>
            <w:tcBorders>
              <w:bottom w:val="single" w:sz="4" w:color="D9E1E6"/>
            </w:tcBorders>
          </w:tcPr>
          <w:p>
            <w:pPr>
              <w:spacing w:after="0" w:line="257" w:lineRule="auto"/>
            </w:pPr>
            <w:r>
              <w:rPr>
                <w:sz w:val="16"/>
              </w:rPr>
              <w:t>Tempo entre detecção e fechamento comprovado do incidente.</w:t>
            </w:r>
          </w:p>
        </w:tc>
      </w:tr>
      <w:tr>
        <w:trPr>
          <w:cantSplit/>
        </w:trPr>
        <w:tc>
          <w:tcPr>
            <w:tcW w:type="dxa" w:w="2438"/>
            <w:vAlign w:val="center"/>
            <w:tcMar>
              <w:top w:w="90" w:type="dxa"/>
              <w:start w:w="100" w:type="dxa"/>
              <w:bottom w:w="90" w:type="dxa"/>
              <w:end w:w="100" w:type="dxa"/>
            </w:tcMar>
            <w:shd w:fill="F3F6F8"/>
            <w:tcBorders>
              <w:bottom w:val="single" w:sz="4" w:color="D9E1E6"/>
            </w:tcBorders>
          </w:tcPr>
          <w:p>
            <w:pPr>
              <w:spacing w:after="0" w:line="257" w:lineRule="auto"/>
            </w:pPr>
            <w:r>
              <w:rPr>
                <w:sz w:val="16"/>
              </w:rPr>
              <w:t>Replay success</w:t>
            </w:r>
          </w:p>
        </w:tc>
        <w:tc>
          <w:tcPr>
            <w:tcW w:type="dxa" w:w="5896"/>
            <w:vAlign w:val="center"/>
            <w:tcMar>
              <w:top w:w="90" w:type="dxa"/>
              <w:start w:w="100" w:type="dxa"/>
              <w:bottom w:w="90" w:type="dxa"/>
              <w:end w:w="100" w:type="dxa"/>
            </w:tcMar>
            <w:shd w:fill="F3F6F8"/>
            <w:tcBorders>
              <w:bottom w:val="single" w:sz="4" w:color="D9E1E6"/>
            </w:tcBorders>
          </w:tcPr>
          <w:p>
            <w:pPr>
              <w:spacing w:after="0" w:line="257" w:lineRule="auto"/>
            </w:pPr>
            <w:r>
              <w:rPr>
                <w:sz w:val="16"/>
              </w:rPr>
              <w:t>Solicitações verificadas / tentativas concluídas.</w:t>
            </w:r>
          </w:p>
        </w:tc>
      </w:tr>
      <w:tr>
        <w:trPr>
          <w:cantSplit/>
        </w:trPr>
        <w:tc>
          <w:tcPr>
            <w:tcW w:type="dxa" w:w="2438"/>
            <w:vAlign w:val="center"/>
            <w:tcMar>
              <w:top w:w="90" w:type="dxa"/>
              <w:start w:w="100" w:type="dxa"/>
              <w:bottom w:w="90" w:type="dxa"/>
              <w:end w:w="100" w:type="dxa"/>
            </w:tcMar>
            <w:tcBorders>
              <w:bottom w:val="single" w:sz="4" w:color="D9E1E6"/>
            </w:tcBorders>
          </w:tcPr>
          <w:p>
            <w:pPr>
              <w:spacing w:after="0" w:line="257" w:lineRule="auto"/>
            </w:pPr>
            <w:r>
              <w:rPr>
                <w:sz w:val="16"/>
              </w:rPr>
              <w:t>Publication age</w:t>
            </w:r>
          </w:p>
        </w:tc>
        <w:tc>
          <w:tcPr>
            <w:tcW w:type="dxa" w:w="5896"/>
            <w:vAlign w:val="center"/>
            <w:tcMar>
              <w:top w:w="90" w:type="dxa"/>
              <w:start w:w="100" w:type="dxa"/>
              <w:bottom w:w="90" w:type="dxa"/>
              <w:end w:w="100" w:type="dxa"/>
            </w:tcMar>
            <w:tcBorders>
              <w:bottom w:val="single" w:sz="4" w:color="D9E1E6"/>
            </w:tcBorders>
          </w:tcPr>
          <w:p>
            <w:pPr>
              <w:spacing w:after="0" w:line="257" w:lineRule="auto"/>
            </w:pPr>
            <w:r>
              <w:rPr>
                <w:sz w:val="16"/>
              </w:rPr>
              <w:t>Tempo desde a última revisão publicada aprovada.</w:t>
            </w:r>
          </w:p>
        </w:tc>
      </w:tr>
      <w:tr>
        <w:trPr>
          <w:cantSplit/>
        </w:trPr>
        <w:tc>
          <w:tcPr>
            <w:tcW w:type="dxa" w:w="2438"/>
            <w:vAlign w:val="center"/>
            <w:tcMar>
              <w:top w:w="90" w:type="dxa"/>
              <w:start w:w="100" w:type="dxa"/>
              <w:bottom w:w="90" w:type="dxa"/>
              <w:end w:w="100" w:type="dxa"/>
            </w:tcMar>
            <w:shd w:fill="F3F6F8"/>
            <w:tcBorders>
              <w:bottom w:val="single" w:sz="4" w:color="D9E1E6"/>
            </w:tcBorders>
          </w:tcPr>
          <w:p>
            <w:pPr>
              <w:spacing w:after="0" w:line="257" w:lineRule="auto"/>
            </w:pPr>
            <w:r>
              <w:rPr>
                <w:sz w:val="16"/>
              </w:rPr>
              <w:t>Cost attribution</w:t>
            </w:r>
          </w:p>
        </w:tc>
        <w:tc>
          <w:tcPr>
            <w:tcW w:type="dxa" w:w="5896"/>
            <w:vAlign w:val="center"/>
            <w:tcMar>
              <w:top w:w="90" w:type="dxa"/>
              <w:start w:w="100" w:type="dxa"/>
              <w:bottom w:w="90" w:type="dxa"/>
              <w:end w:w="100" w:type="dxa"/>
            </w:tcMar>
            <w:shd w:fill="F3F6F8"/>
            <w:tcBorders>
              <w:bottom w:val="single" w:sz="4" w:color="D9E1E6"/>
            </w:tcBorders>
          </w:tcPr>
          <w:p>
            <w:pPr>
              <w:spacing w:after="0" w:line="257" w:lineRule="auto"/>
            </w:pPr>
            <w:r>
              <w:rPr>
                <w:sz w:val="16"/>
              </w:rPr>
              <w:t>Custo observado ou rateado, sempre identificado pelo método.</w:t>
            </w:r>
          </w:p>
        </w:tc>
      </w:tr>
    </w:tbl>
    <w:p>
      <w:pPr>
        <w:spacing w:after="0"/>
      </w:pPr>
    </w:p>
    <w:p>
      <w:pPr/>
      <w:r>
        <w:t>O LakeSentinel poderá ser usado no laboratório como produto opcional de observabilidade e FinOps, mas a arquitetura não dependerá dele. Qualquer estimativa de custo por tabela deve declarar se é medição direta, rateio, derivação ou hipótese de cálculo.</w:t>
      </w:r>
    </w:p>
    <w:p>
      <w:pPr>
        <w:pStyle w:val="Heading2"/>
      </w:pPr>
      <w:r>
        <w:t>18.2 Alertas acionáveis</w:t>
      </w:r>
    </w:p>
    <w:p>
      <w:pPr/>
      <w:r>
        <w:t>A severidade decorre do impacto e do prazo do contrato, não da mera existência de falha de job. Alerta deve incluir dataset, SLA, último sucesso, primeira falha, escopo, dependentes, contato de quem resolve, link para evidências e ação de contenção. Reduzir alertas repetidos usando agrupamento por incidente.</w:t>
      </w:r>
    </w:p>
    <w:p>
      <w:pPr>
        <w:pStyle w:val="Heading1"/>
      </w:pPr>
      <w:r>
        <w:t>19. Engenharia de software, CI/CD e ambientes</w:t>
      </w:r>
    </w:p>
    <w:p>
      <w:pPr/>
      <w:r>
        <w:t>A arquitetura será implementada como código: contratos, infraestrutura, pipelines, testes e políticas serão versionados, revisados e promovidos por ambientes. Dados reais sensíveis não devem ser copiados indiscriminadamente para desenvolvimento.</w:t>
      </w:r>
    </w:p>
    <w:p>
      <w:pPr>
        <w:pStyle w:val="Heading2"/>
      </w:pPr>
      <w:r>
        <w:t>19.1 Pipeline de entrega</w:t>
      </w:r>
    </w:p>
    <w:p>
      <w:pPr>
        <w:spacing w:after="80"/>
        <w:ind w:left="329" w:hanging="329"/>
      </w:pPr>
      <w:r>
        <w:rPr>
          <w:b/>
          <w:color w:val="057D79"/>
        </w:rPr>
        <w:t xml:space="preserve">1.  </w:t>
      </w:r>
      <w:r>
        <w:t>Lint e validação estrutural de contratos e scripts.</w:t>
      </w:r>
    </w:p>
    <w:p>
      <w:pPr>
        <w:spacing w:after="80"/>
        <w:ind w:left="329" w:hanging="329"/>
      </w:pPr>
      <w:r>
        <w:rPr>
          <w:b/>
          <w:color w:val="057D79"/>
        </w:rPr>
        <w:t xml:space="preserve">2.  </w:t>
      </w:r>
      <w:r>
        <w:t>Testes unitários de normalização, hashes, datas e regras isoladas.</w:t>
      </w:r>
    </w:p>
    <w:p>
      <w:pPr>
        <w:spacing w:after="80"/>
        <w:ind w:left="329" w:hanging="329"/>
      </w:pPr>
      <w:r>
        <w:rPr>
          <w:b/>
          <w:color w:val="057D79"/>
        </w:rPr>
        <w:t xml:space="preserve">3.  </w:t>
      </w:r>
      <w:r>
        <w:t>Testes de integração com datasets sintéticos e banco de laboratório.</w:t>
      </w:r>
    </w:p>
    <w:p>
      <w:pPr>
        <w:spacing w:after="80"/>
        <w:ind w:left="329" w:hanging="329"/>
      </w:pPr>
      <w:r>
        <w:rPr>
          <w:b/>
          <w:color w:val="057D79"/>
        </w:rPr>
        <w:t xml:space="preserve">4.  </w:t>
      </w:r>
      <w:r>
        <w:t>Testes de contratos e compatibilidade de schemas.</w:t>
      </w:r>
    </w:p>
    <w:p>
      <w:pPr>
        <w:spacing w:after="80"/>
        <w:ind w:left="329" w:hanging="329"/>
      </w:pPr>
      <w:r>
        <w:rPr>
          <w:b/>
          <w:color w:val="057D79"/>
        </w:rPr>
        <w:t xml:space="preserve">5.  </w:t>
      </w:r>
      <w:r>
        <w:t>Testes de replay, SCD, delete, atraso e falha parcial.</w:t>
      </w:r>
    </w:p>
    <w:p>
      <w:pPr>
        <w:spacing w:after="80"/>
        <w:ind w:left="329" w:hanging="329"/>
      </w:pPr>
      <w:r>
        <w:rPr>
          <w:b/>
          <w:color w:val="057D79"/>
        </w:rPr>
        <w:t xml:space="preserve">6.  </w:t>
      </w:r>
      <w:r>
        <w:t>Deploy em ambiente de teste e smoke test de linhagem/permissões.</w:t>
      </w:r>
    </w:p>
    <w:p>
      <w:pPr>
        <w:spacing w:after="80"/>
        <w:ind w:left="329" w:hanging="329"/>
      </w:pPr>
      <w:r>
        <w:rPr>
          <w:b/>
          <w:color w:val="057D79"/>
        </w:rPr>
        <w:t xml:space="preserve">7.  </w:t>
      </w:r>
      <w:r>
        <w:t>Validação de publicação e promoção com identidade controlada.</w:t>
      </w:r>
    </w:p>
    <w:p>
      <w:pPr>
        <w:pStyle w:val="Heading2"/>
      </w:pPr>
      <w:r>
        <w:t>19.2 Artefatos versionados</w:t>
      </w:r>
    </w:p>
    <w:p>
      <w:pPr>
        <w:pStyle w:val="ListBullet"/>
      </w:pPr>
      <w:r>
        <w:t>Contratos YAML/JSON e migrações de controller.</w:t>
      </w:r>
    </w:p>
    <w:p>
      <w:pPr>
        <w:pStyle w:val="ListBullet"/>
      </w:pPr>
      <w:r>
        <w:t>Recursos declarativos de pipelines, jobs, compute e permissões.</w:t>
      </w:r>
    </w:p>
    <w:p>
      <w:pPr>
        <w:pStyle w:val="ListBullet"/>
      </w:pPr>
      <w:r>
        <w:t>SQL/Python com docstrings, propósito, entradas, saídas, parâmetros e erros.</w:t>
      </w:r>
    </w:p>
    <w:p>
      <w:pPr>
        <w:pStyle w:val="ListBullet"/>
      </w:pPr>
      <w:r>
        <w:t>Cenários de teste, fixtures sintéticos e runbooks.</w:t>
      </w:r>
    </w:p>
    <w:p>
      <w:pPr>
        <w:pStyle w:val="ListBullet"/>
      </w:pPr>
      <w:r>
        <w:t>ADRs e versões do documento arquitetural.</w:t>
      </w:r>
    </w:p>
    <w:p>
      <w:pPr/>
      <w:r>
        <w:t>No Databricks, Declarative Automation Bundles permitem declarar jobs e pipelines e integrar CI/CD. O uso do recurso deve ser validado conforme os tipos de compute e conectores disponíveis no workspace do laboratório.</w:t>
      </w:r>
    </w:p>
    <w:p>
      <w:pPr>
        <w:pStyle w:val="Heading1"/>
      </w:pPr>
      <w:r>
        <w:t>20. Mapeamento conceitual para Databricks + GCP</w:t>
      </w:r>
    </w:p>
    <w:tbl>
      <w:tblPr>
        <w:tblW w:type="auto" w:w="0"/>
        <w:jc w:val="center"/>
        <w:tblLayout w:type="fixed"/>
        <w:tblLook w:firstColumn="1" w:firstRow="1" w:lastColumn="0" w:lastRow="0" w:noHBand="0" w:noVBand="1" w:val="04A0"/>
      </w:tblPr>
      <w:tblGrid>
        <w:gridCol w:w="1928"/>
        <w:gridCol w:w="3572"/>
        <w:gridCol w:w="2835"/>
      </w:tblGrid>
      <w:tr>
        <w:trPr>
          <w:tblHeader w:val="true"/>
          <w:cantSplit/>
        </w:trPr>
        <w:tc>
          <w:tcPr>
            <w:tcW w:type="dxa" w:w="3184"/>
            <w:shd w:fill="142439"/>
            <w:tcMar>
              <w:top w:w="95" w:type="dxa"/>
              <w:start w:w="100" w:type="dxa"/>
              <w:bottom w:w="95" w:type="dxa"/>
              <w:end w:w="100" w:type="dxa"/>
            </w:tcMar>
          </w:tcPr>
          <w:p>
            <w:pPr>
              <w:spacing w:after="0"/>
            </w:pPr>
            <w:r>
              <w:rPr>
                <w:b/>
                <w:color w:val="FFFFFF"/>
                <w:sz w:val="16"/>
              </w:rPr>
              <w:t>Capacidade genérica</w:t>
            </w:r>
          </w:p>
        </w:tc>
        <w:tc>
          <w:tcPr>
            <w:tcW w:type="dxa" w:w="3184"/>
            <w:shd w:fill="142439"/>
            <w:tcMar>
              <w:top w:w="95" w:type="dxa"/>
              <w:start w:w="100" w:type="dxa"/>
              <w:bottom w:w="95" w:type="dxa"/>
              <w:end w:w="100" w:type="dxa"/>
            </w:tcMar>
          </w:tcPr>
          <w:p>
            <w:pPr>
              <w:spacing w:after="0"/>
            </w:pPr>
            <w:r>
              <w:rPr>
                <w:b/>
                <w:color w:val="FFFFFF"/>
                <w:sz w:val="16"/>
              </w:rPr>
              <w:t>Implementação preferencial no laboratório</w:t>
            </w:r>
          </w:p>
        </w:tc>
        <w:tc>
          <w:tcPr>
            <w:tcW w:type="dxa" w:w="3184"/>
            <w:shd w:fill="142439"/>
            <w:tcMar>
              <w:top w:w="95" w:type="dxa"/>
              <w:start w:w="100" w:type="dxa"/>
              <w:bottom w:w="95" w:type="dxa"/>
              <w:end w:w="100" w:type="dxa"/>
            </w:tcMar>
          </w:tcPr>
          <w:p>
            <w:pPr>
              <w:spacing w:after="0"/>
            </w:pPr>
            <w:r>
              <w:rPr>
                <w:b/>
                <w:color w:val="FFFFFF"/>
                <w:sz w:val="16"/>
              </w:rPr>
              <w:t>Alternativa / nota</w:t>
            </w:r>
          </w:p>
        </w:tc>
      </w:tr>
      <w:tr>
        <w:trPr>
          <w:cantSplit/>
        </w:trPr>
        <w:tc>
          <w:tcPr>
            <w:tcW w:type="dxa" w:w="1928"/>
            <w:vAlign w:val="center"/>
            <w:tcMar>
              <w:top w:w="90" w:type="dxa"/>
              <w:start w:w="100" w:type="dxa"/>
              <w:bottom w:w="90" w:type="dxa"/>
              <w:end w:w="100" w:type="dxa"/>
            </w:tcMar>
            <w:tcBorders>
              <w:bottom w:val="single" w:sz="4" w:color="D9E1E6"/>
            </w:tcBorders>
          </w:tcPr>
          <w:p>
            <w:pPr>
              <w:spacing w:after="0" w:line="257" w:lineRule="auto"/>
            </w:pPr>
            <w:r>
              <w:rPr>
                <w:sz w:val="16"/>
              </w:rPr>
              <w:t>Recepção multicanal</w:t>
            </w:r>
          </w:p>
        </w:tc>
        <w:tc>
          <w:tcPr>
            <w:tcW w:type="dxa" w:w="3572"/>
            <w:vAlign w:val="center"/>
            <w:tcMar>
              <w:top w:w="90" w:type="dxa"/>
              <w:start w:w="100" w:type="dxa"/>
              <w:bottom w:w="90" w:type="dxa"/>
              <w:end w:w="100" w:type="dxa"/>
            </w:tcMar>
            <w:tcBorders>
              <w:bottom w:val="single" w:sz="4" w:color="D9E1E6"/>
            </w:tcBorders>
          </w:tcPr>
          <w:p>
            <w:pPr>
              <w:spacing w:after="0" w:line="257" w:lineRule="auto"/>
            </w:pPr>
            <w:r>
              <w:rPr>
                <w:sz w:val="16"/>
              </w:rPr>
              <w:t>Cloud Storage + Cloud Run/Eventarc</w:t>
            </w:r>
          </w:p>
        </w:tc>
        <w:tc>
          <w:tcPr>
            <w:tcW w:type="dxa" w:w="2835"/>
            <w:vAlign w:val="center"/>
            <w:tcMar>
              <w:top w:w="90" w:type="dxa"/>
              <w:start w:w="100" w:type="dxa"/>
              <w:bottom w:w="90" w:type="dxa"/>
              <w:end w:w="100" w:type="dxa"/>
            </w:tcMar>
            <w:tcBorders>
              <w:bottom w:val="single" w:sz="4" w:color="D9E1E6"/>
            </w:tcBorders>
          </w:tcPr>
          <w:p>
            <w:pPr>
              <w:spacing w:after="0" w:line="257" w:lineRule="auto"/>
            </w:pPr>
            <w:r>
              <w:rPr>
                <w:sz w:val="16"/>
              </w:rPr>
              <w:t>SFTP gerenciado/gateway; integração por API/portal.</w:t>
            </w:r>
          </w:p>
        </w:tc>
      </w:tr>
      <w:tr>
        <w:trPr>
          <w:cantSplit/>
        </w:trPr>
        <w:tc>
          <w:tcPr>
            <w:tcW w:type="dxa" w:w="1928"/>
            <w:vAlign w:val="center"/>
            <w:tcMar>
              <w:top w:w="90" w:type="dxa"/>
              <w:start w:w="100" w:type="dxa"/>
              <w:bottom w:w="90" w:type="dxa"/>
              <w:end w:w="100" w:type="dxa"/>
            </w:tcMar>
            <w:shd w:fill="F3F6F8"/>
            <w:tcBorders>
              <w:bottom w:val="single" w:sz="4" w:color="D9E1E6"/>
            </w:tcBorders>
          </w:tcPr>
          <w:p>
            <w:pPr>
              <w:spacing w:after="0" w:line="257" w:lineRule="auto"/>
            </w:pPr>
            <w:r>
              <w:rPr>
                <w:sz w:val="16"/>
              </w:rPr>
              <w:t>Identidade e credenciais</w:t>
            </w:r>
          </w:p>
        </w:tc>
        <w:tc>
          <w:tcPr>
            <w:tcW w:type="dxa" w:w="3572"/>
            <w:vAlign w:val="center"/>
            <w:tcMar>
              <w:top w:w="90" w:type="dxa"/>
              <w:start w:w="100" w:type="dxa"/>
              <w:bottom w:w="90" w:type="dxa"/>
              <w:end w:w="100" w:type="dxa"/>
            </w:tcMar>
            <w:shd w:fill="F3F6F8"/>
            <w:tcBorders>
              <w:bottom w:val="single" w:sz="4" w:color="D9E1E6"/>
            </w:tcBorders>
          </w:tcPr>
          <w:p>
            <w:pPr>
              <w:spacing w:after="0" w:line="257" w:lineRule="auto"/>
            </w:pPr>
            <w:r>
              <w:rPr>
                <w:sz w:val="16"/>
              </w:rPr>
              <w:t>GCP IAM + Databricks Unity Catalog</w:t>
            </w:r>
          </w:p>
        </w:tc>
        <w:tc>
          <w:tcPr>
            <w:tcW w:type="dxa" w:w="2835"/>
            <w:vAlign w:val="center"/>
            <w:tcMar>
              <w:top w:w="90" w:type="dxa"/>
              <w:start w:w="100" w:type="dxa"/>
              <w:bottom w:w="90" w:type="dxa"/>
              <w:end w:w="100" w:type="dxa"/>
            </w:tcMar>
            <w:shd w:fill="F3F6F8"/>
            <w:tcBorders>
              <w:bottom w:val="single" w:sz="4" w:color="D9E1E6"/>
            </w:tcBorders>
          </w:tcPr>
          <w:p>
            <w:pPr>
              <w:spacing w:after="0" w:line="257" w:lineRule="auto"/>
            </w:pPr>
            <w:r>
              <w:rPr>
                <w:sz w:val="16"/>
              </w:rPr>
              <w:t>Segredos em serviço dedicado; escopo mínimo.</w:t>
            </w:r>
          </w:p>
        </w:tc>
      </w:tr>
      <w:tr>
        <w:trPr>
          <w:cantSplit/>
        </w:trPr>
        <w:tc>
          <w:tcPr>
            <w:tcW w:type="dxa" w:w="1928"/>
            <w:vAlign w:val="center"/>
            <w:tcMar>
              <w:top w:w="90" w:type="dxa"/>
              <w:start w:w="100" w:type="dxa"/>
              <w:bottom w:w="90" w:type="dxa"/>
              <w:end w:w="100" w:type="dxa"/>
            </w:tcMar>
            <w:tcBorders>
              <w:bottom w:val="single" w:sz="4" w:color="D9E1E6"/>
            </w:tcBorders>
          </w:tcPr>
          <w:p>
            <w:pPr>
              <w:spacing w:after="0" w:line="257" w:lineRule="auto"/>
            </w:pPr>
            <w:r>
              <w:rPr>
                <w:sz w:val="16"/>
              </w:rPr>
              <w:t>Landing</w:t>
            </w:r>
          </w:p>
        </w:tc>
        <w:tc>
          <w:tcPr>
            <w:tcW w:type="dxa" w:w="3572"/>
            <w:vAlign w:val="center"/>
            <w:tcMar>
              <w:top w:w="90" w:type="dxa"/>
              <w:start w:w="100" w:type="dxa"/>
              <w:bottom w:w="90" w:type="dxa"/>
              <w:end w:w="100" w:type="dxa"/>
            </w:tcMar>
            <w:tcBorders>
              <w:bottom w:val="single" w:sz="4" w:color="D9E1E6"/>
            </w:tcBorders>
          </w:tcPr>
          <w:p>
            <w:pPr>
              <w:spacing w:after="0" w:line="257" w:lineRule="auto"/>
            </w:pPr>
            <w:r>
              <w:rPr>
                <w:sz w:val="16"/>
              </w:rPr>
              <w:t>Cloud Storage em external location/volume UC</w:t>
            </w:r>
          </w:p>
        </w:tc>
        <w:tc>
          <w:tcPr>
            <w:tcW w:type="dxa" w:w="2835"/>
            <w:vAlign w:val="center"/>
            <w:tcMar>
              <w:top w:w="90" w:type="dxa"/>
              <w:start w:w="100" w:type="dxa"/>
              <w:bottom w:w="90" w:type="dxa"/>
              <w:end w:w="100" w:type="dxa"/>
            </w:tcMar>
            <w:tcBorders>
              <w:bottom w:val="single" w:sz="4" w:color="D9E1E6"/>
            </w:tcBorders>
          </w:tcPr>
          <w:p>
            <w:pPr>
              <w:spacing w:after="0" w:line="257" w:lineRule="auto"/>
            </w:pPr>
            <w:r>
              <w:rPr>
                <w:sz w:val="16"/>
              </w:rPr>
              <w:t>Gatilhos por arquivo quando disponíveis.</w:t>
            </w:r>
          </w:p>
        </w:tc>
      </w:tr>
      <w:tr>
        <w:trPr>
          <w:cantSplit/>
        </w:trPr>
        <w:tc>
          <w:tcPr>
            <w:tcW w:type="dxa" w:w="1928"/>
            <w:vAlign w:val="center"/>
            <w:tcMar>
              <w:top w:w="90" w:type="dxa"/>
              <w:start w:w="100" w:type="dxa"/>
              <w:bottom w:w="90" w:type="dxa"/>
              <w:end w:w="100" w:type="dxa"/>
            </w:tcMar>
            <w:shd w:fill="F3F6F8"/>
            <w:tcBorders>
              <w:bottom w:val="single" w:sz="4" w:color="D9E1E6"/>
            </w:tcBorders>
          </w:tcPr>
          <w:p>
            <w:pPr>
              <w:spacing w:after="0" w:line="257" w:lineRule="auto"/>
            </w:pPr>
            <w:r>
              <w:rPr>
                <w:sz w:val="16"/>
              </w:rPr>
              <w:t>Ingestão arquivos</w:t>
            </w:r>
          </w:p>
        </w:tc>
        <w:tc>
          <w:tcPr>
            <w:tcW w:type="dxa" w:w="3572"/>
            <w:vAlign w:val="center"/>
            <w:tcMar>
              <w:top w:w="90" w:type="dxa"/>
              <w:start w:w="100" w:type="dxa"/>
              <w:bottom w:w="90" w:type="dxa"/>
              <w:end w:w="100" w:type="dxa"/>
            </w:tcMar>
            <w:shd w:fill="F3F6F8"/>
            <w:tcBorders>
              <w:bottom w:val="single" w:sz="4" w:color="D9E1E6"/>
            </w:tcBorders>
          </w:tcPr>
          <w:p>
            <w:pPr>
              <w:spacing w:after="0" w:line="257" w:lineRule="auto"/>
            </w:pPr>
            <w:r>
              <w:rPr>
                <w:sz w:val="16"/>
              </w:rPr>
              <w:t>Databricks Auto Loader</w:t>
            </w:r>
          </w:p>
        </w:tc>
        <w:tc>
          <w:tcPr>
            <w:tcW w:type="dxa" w:w="2835"/>
            <w:vAlign w:val="center"/>
            <w:tcMar>
              <w:top w:w="90" w:type="dxa"/>
              <w:start w:w="100" w:type="dxa"/>
              <w:bottom w:w="90" w:type="dxa"/>
              <w:end w:w="100" w:type="dxa"/>
            </w:tcMar>
            <w:shd w:fill="F3F6F8"/>
            <w:tcBorders>
              <w:bottom w:val="single" w:sz="4" w:color="D9E1E6"/>
            </w:tcBorders>
          </w:tcPr>
          <w:p>
            <w:pPr>
              <w:spacing w:after="0" w:line="257" w:lineRule="auto"/>
            </w:pPr>
            <w:r>
              <w:rPr>
                <w:sz w:val="16"/>
              </w:rPr>
              <w:t>COPY INTO ou processo controlado em contextos menores.</w:t>
            </w:r>
          </w:p>
        </w:tc>
      </w:tr>
      <w:tr>
        <w:trPr>
          <w:cantSplit/>
        </w:trPr>
        <w:tc>
          <w:tcPr>
            <w:tcW w:type="dxa" w:w="1928"/>
            <w:vAlign w:val="center"/>
            <w:tcMar>
              <w:top w:w="90" w:type="dxa"/>
              <w:start w:w="100" w:type="dxa"/>
              <w:bottom w:w="90" w:type="dxa"/>
              <w:end w:w="100" w:type="dxa"/>
            </w:tcMar>
            <w:tcBorders>
              <w:bottom w:val="single" w:sz="4" w:color="D9E1E6"/>
            </w:tcBorders>
          </w:tcPr>
          <w:p>
            <w:pPr>
              <w:spacing w:after="0" w:line="257" w:lineRule="auto"/>
            </w:pPr>
            <w:r>
              <w:rPr>
                <w:sz w:val="16"/>
              </w:rPr>
              <w:t>SGBD CDC</w:t>
            </w:r>
          </w:p>
        </w:tc>
        <w:tc>
          <w:tcPr>
            <w:tcW w:type="dxa" w:w="3572"/>
            <w:vAlign w:val="center"/>
            <w:tcMar>
              <w:top w:w="90" w:type="dxa"/>
              <w:start w:w="100" w:type="dxa"/>
              <w:bottom w:w="90" w:type="dxa"/>
              <w:end w:w="100" w:type="dxa"/>
            </w:tcMar>
            <w:tcBorders>
              <w:bottom w:val="single" w:sz="4" w:color="D9E1E6"/>
            </w:tcBorders>
          </w:tcPr>
          <w:p>
            <w:pPr>
              <w:spacing w:after="0" w:line="257" w:lineRule="auto"/>
            </w:pPr>
            <w:r>
              <w:rPr>
                <w:sz w:val="16"/>
              </w:rPr>
              <w:t>Lakeflow Connect, conector suportado</w:t>
            </w:r>
          </w:p>
        </w:tc>
        <w:tc>
          <w:tcPr>
            <w:tcW w:type="dxa" w:w="2835"/>
            <w:vAlign w:val="center"/>
            <w:tcMar>
              <w:top w:w="90" w:type="dxa"/>
              <w:start w:w="100" w:type="dxa"/>
              <w:bottom w:w="90" w:type="dxa"/>
              <w:end w:w="100" w:type="dxa"/>
            </w:tcMar>
            <w:tcBorders>
              <w:bottom w:val="single" w:sz="4" w:color="D9E1E6"/>
            </w:tcBorders>
          </w:tcPr>
          <w:p>
            <w:pPr>
              <w:spacing w:after="0" w:line="257" w:lineRule="auto"/>
            </w:pPr>
            <w:r>
              <w:rPr>
                <w:sz w:val="16"/>
              </w:rPr>
              <w:t>Extração customizada ou snapshot diff, conforme capacidade.</w:t>
            </w:r>
          </w:p>
        </w:tc>
      </w:tr>
      <w:tr>
        <w:trPr>
          <w:cantSplit/>
        </w:trPr>
        <w:tc>
          <w:tcPr>
            <w:tcW w:type="dxa" w:w="1928"/>
            <w:vAlign w:val="center"/>
            <w:tcMar>
              <w:top w:w="90" w:type="dxa"/>
              <w:start w:w="100" w:type="dxa"/>
              <w:bottom w:w="90" w:type="dxa"/>
              <w:end w:w="100" w:type="dxa"/>
            </w:tcMar>
            <w:shd w:fill="F3F6F8"/>
            <w:tcBorders>
              <w:bottom w:val="single" w:sz="4" w:color="D9E1E6"/>
            </w:tcBorders>
          </w:tcPr>
          <w:p>
            <w:pPr>
              <w:spacing w:after="0" w:line="257" w:lineRule="auto"/>
            </w:pPr>
            <w:r>
              <w:rPr>
                <w:sz w:val="16"/>
              </w:rPr>
              <w:t>Pipelines técnicos</w:t>
            </w:r>
          </w:p>
        </w:tc>
        <w:tc>
          <w:tcPr>
            <w:tcW w:type="dxa" w:w="3572"/>
            <w:vAlign w:val="center"/>
            <w:tcMar>
              <w:top w:w="90" w:type="dxa"/>
              <w:start w:w="100" w:type="dxa"/>
              <w:bottom w:w="90" w:type="dxa"/>
              <w:end w:w="100" w:type="dxa"/>
            </w:tcMar>
            <w:shd w:fill="F3F6F8"/>
            <w:tcBorders>
              <w:bottom w:val="single" w:sz="4" w:color="D9E1E6"/>
            </w:tcBorders>
          </w:tcPr>
          <w:p>
            <w:pPr>
              <w:spacing w:after="0" w:line="257" w:lineRule="auto"/>
            </w:pPr>
            <w:r>
              <w:rPr>
                <w:sz w:val="16"/>
              </w:rPr>
              <w:t>Lakeflow Spark Declarative Pipelines</w:t>
            </w:r>
          </w:p>
        </w:tc>
        <w:tc>
          <w:tcPr>
            <w:tcW w:type="dxa" w:w="2835"/>
            <w:vAlign w:val="center"/>
            <w:tcMar>
              <w:top w:w="90" w:type="dxa"/>
              <w:start w:w="100" w:type="dxa"/>
              <w:bottom w:w="90" w:type="dxa"/>
              <w:end w:w="100" w:type="dxa"/>
            </w:tcMar>
            <w:shd w:fill="F3F6F8"/>
            <w:tcBorders>
              <w:bottom w:val="single" w:sz="4" w:color="D9E1E6"/>
            </w:tcBorders>
          </w:tcPr>
          <w:p>
            <w:pPr>
              <w:spacing w:after="0" w:line="257" w:lineRule="auto"/>
            </w:pPr>
            <w:r>
              <w:rPr>
                <w:sz w:val="16"/>
              </w:rPr>
              <w:t>Jobs SQL/Python declarativos e incrementais.</w:t>
            </w:r>
          </w:p>
        </w:tc>
      </w:tr>
      <w:tr>
        <w:trPr>
          <w:cantSplit/>
        </w:trPr>
        <w:tc>
          <w:tcPr>
            <w:tcW w:type="dxa" w:w="1928"/>
            <w:vAlign w:val="center"/>
            <w:tcMar>
              <w:top w:w="90" w:type="dxa"/>
              <w:start w:w="100" w:type="dxa"/>
              <w:bottom w:w="90" w:type="dxa"/>
              <w:end w:w="100" w:type="dxa"/>
            </w:tcMar>
            <w:tcBorders>
              <w:bottom w:val="single" w:sz="4" w:color="D9E1E6"/>
            </w:tcBorders>
          </w:tcPr>
          <w:p>
            <w:pPr>
              <w:spacing w:after="0" w:line="257" w:lineRule="auto"/>
            </w:pPr>
            <w:r>
              <w:rPr>
                <w:sz w:val="16"/>
              </w:rPr>
              <w:t>Orquestração</w:t>
            </w:r>
          </w:p>
        </w:tc>
        <w:tc>
          <w:tcPr>
            <w:tcW w:type="dxa" w:w="3572"/>
            <w:vAlign w:val="center"/>
            <w:tcMar>
              <w:top w:w="90" w:type="dxa"/>
              <w:start w:w="100" w:type="dxa"/>
              <w:bottom w:w="90" w:type="dxa"/>
              <w:end w:w="100" w:type="dxa"/>
            </w:tcMar>
            <w:tcBorders>
              <w:bottom w:val="single" w:sz="4" w:color="D9E1E6"/>
            </w:tcBorders>
          </w:tcPr>
          <w:p>
            <w:pPr>
              <w:spacing w:after="0" w:line="257" w:lineRule="auto"/>
            </w:pPr>
            <w:r>
              <w:rPr>
                <w:sz w:val="16"/>
              </w:rPr>
              <w:t>Lakeflow Jobs e triggers</w:t>
            </w:r>
          </w:p>
        </w:tc>
        <w:tc>
          <w:tcPr>
            <w:tcW w:type="dxa" w:w="2835"/>
            <w:vAlign w:val="center"/>
            <w:tcMar>
              <w:top w:w="90" w:type="dxa"/>
              <w:start w:w="100" w:type="dxa"/>
              <w:bottom w:w="90" w:type="dxa"/>
              <w:end w:w="100" w:type="dxa"/>
            </w:tcMar>
            <w:tcBorders>
              <w:bottom w:val="single" w:sz="4" w:color="D9E1E6"/>
            </w:tcBorders>
          </w:tcPr>
          <w:p>
            <w:pPr>
              <w:spacing w:after="0" w:line="257" w:lineRule="auto"/>
            </w:pPr>
            <w:r>
              <w:rPr>
                <w:sz w:val="16"/>
              </w:rPr>
              <w:t>Ferramenta externa quando houver dependência real.</w:t>
            </w:r>
          </w:p>
        </w:tc>
      </w:tr>
      <w:tr>
        <w:trPr>
          <w:cantSplit/>
        </w:trPr>
        <w:tc>
          <w:tcPr>
            <w:tcW w:type="dxa" w:w="1928"/>
            <w:vAlign w:val="center"/>
            <w:tcMar>
              <w:top w:w="90" w:type="dxa"/>
              <w:start w:w="100" w:type="dxa"/>
              <w:bottom w:w="90" w:type="dxa"/>
              <w:end w:w="100" w:type="dxa"/>
            </w:tcMar>
            <w:shd w:fill="F3F6F8"/>
            <w:tcBorders>
              <w:bottom w:val="single" w:sz="4" w:color="D9E1E6"/>
            </w:tcBorders>
          </w:tcPr>
          <w:p>
            <w:pPr>
              <w:spacing w:after="0" w:line="257" w:lineRule="auto"/>
            </w:pPr>
            <w:r>
              <w:rPr>
                <w:sz w:val="16"/>
              </w:rPr>
              <w:t>Modelo analítico</w:t>
            </w:r>
          </w:p>
        </w:tc>
        <w:tc>
          <w:tcPr>
            <w:tcW w:type="dxa" w:w="3572"/>
            <w:vAlign w:val="center"/>
            <w:tcMar>
              <w:top w:w="90" w:type="dxa"/>
              <w:start w:w="100" w:type="dxa"/>
              <w:bottom w:w="90" w:type="dxa"/>
              <w:end w:w="100" w:type="dxa"/>
            </w:tcMar>
            <w:shd w:fill="F3F6F8"/>
            <w:tcBorders>
              <w:bottom w:val="single" w:sz="4" w:color="D9E1E6"/>
            </w:tcBorders>
          </w:tcPr>
          <w:p>
            <w:pPr>
              <w:spacing w:after="0" w:line="257" w:lineRule="auto"/>
            </w:pPr>
            <w:r>
              <w:rPr>
                <w:sz w:val="16"/>
              </w:rPr>
              <w:t>Databricks SQL + Delta</w:t>
            </w:r>
          </w:p>
        </w:tc>
        <w:tc>
          <w:tcPr>
            <w:tcW w:type="dxa" w:w="2835"/>
            <w:vAlign w:val="center"/>
            <w:tcMar>
              <w:top w:w="90" w:type="dxa"/>
              <w:start w:w="100" w:type="dxa"/>
              <w:bottom w:w="90" w:type="dxa"/>
              <w:end w:w="100" w:type="dxa"/>
            </w:tcMar>
            <w:shd w:fill="F3F6F8"/>
            <w:tcBorders>
              <w:bottom w:val="single" w:sz="4" w:color="D9E1E6"/>
            </w:tcBorders>
          </w:tcPr>
          <w:p>
            <w:pPr>
              <w:spacing w:after="0" w:line="257" w:lineRule="auto"/>
            </w:pPr>
            <w:r>
              <w:rPr>
                <w:sz w:val="16"/>
              </w:rPr>
              <w:t>dbt opcional, não obrigatório.</w:t>
            </w:r>
          </w:p>
        </w:tc>
      </w:tr>
      <w:tr>
        <w:trPr>
          <w:cantSplit/>
        </w:trPr>
        <w:tc>
          <w:tcPr>
            <w:tcW w:type="dxa" w:w="1928"/>
            <w:vAlign w:val="center"/>
            <w:tcMar>
              <w:top w:w="90" w:type="dxa"/>
              <w:start w:w="100" w:type="dxa"/>
              <w:bottom w:w="90" w:type="dxa"/>
              <w:end w:w="100" w:type="dxa"/>
            </w:tcMar>
            <w:tcBorders>
              <w:bottom w:val="single" w:sz="4" w:color="D9E1E6"/>
            </w:tcBorders>
          </w:tcPr>
          <w:p>
            <w:pPr>
              <w:spacing w:after="0" w:line="257" w:lineRule="auto"/>
            </w:pPr>
            <w:r>
              <w:rPr>
                <w:sz w:val="16"/>
              </w:rPr>
              <w:t>Qualidade</w:t>
            </w:r>
          </w:p>
        </w:tc>
        <w:tc>
          <w:tcPr>
            <w:tcW w:type="dxa" w:w="3572"/>
            <w:vAlign w:val="center"/>
            <w:tcMar>
              <w:top w:w="90" w:type="dxa"/>
              <w:start w:w="100" w:type="dxa"/>
              <w:bottom w:w="90" w:type="dxa"/>
              <w:end w:w="100" w:type="dxa"/>
            </w:tcMar>
            <w:tcBorders>
              <w:bottom w:val="single" w:sz="4" w:color="D9E1E6"/>
            </w:tcBorders>
          </w:tcPr>
          <w:p>
            <w:pPr>
              <w:spacing w:after="0" w:line="257" w:lineRule="auto"/>
            </w:pPr>
            <w:r>
              <w:rPr>
                <w:sz w:val="16"/>
              </w:rPr>
              <w:t>Expectations + fluxos de quarentena + testes SQL</w:t>
            </w:r>
          </w:p>
        </w:tc>
        <w:tc>
          <w:tcPr>
            <w:tcW w:type="dxa" w:w="2835"/>
            <w:vAlign w:val="center"/>
            <w:tcMar>
              <w:top w:w="90" w:type="dxa"/>
              <w:start w:w="100" w:type="dxa"/>
              <w:bottom w:w="90" w:type="dxa"/>
              <w:end w:w="100" w:type="dxa"/>
            </w:tcMar>
            <w:tcBorders>
              <w:bottom w:val="single" w:sz="4" w:color="D9E1E6"/>
            </w:tcBorders>
          </w:tcPr>
          <w:p>
            <w:pPr>
              <w:spacing w:after="0" w:line="257" w:lineRule="auto"/>
            </w:pPr>
            <w:r>
              <w:rPr>
                <w:sz w:val="16"/>
              </w:rPr>
              <w:t>Framework de teste externo se necessário.</w:t>
            </w:r>
          </w:p>
        </w:tc>
      </w:tr>
      <w:tr>
        <w:trPr>
          <w:cantSplit/>
        </w:trPr>
        <w:tc>
          <w:tcPr>
            <w:tcW w:type="dxa" w:w="1928"/>
            <w:vAlign w:val="center"/>
            <w:tcMar>
              <w:top w:w="90" w:type="dxa"/>
              <w:start w:w="100" w:type="dxa"/>
              <w:bottom w:w="90" w:type="dxa"/>
              <w:end w:w="100" w:type="dxa"/>
            </w:tcMar>
            <w:shd w:fill="F3F6F8"/>
            <w:tcBorders>
              <w:bottom w:val="single" w:sz="4" w:color="D9E1E6"/>
            </w:tcBorders>
          </w:tcPr>
          <w:p>
            <w:pPr>
              <w:spacing w:after="0" w:line="257" w:lineRule="auto"/>
            </w:pPr>
            <w:r>
              <w:rPr>
                <w:sz w:val="16"/>
              </w:rPr>
              <w:t>Segurança e metadados</w:t>
            </w:r>
          </w:p>
        </w:tc>
        <w:tc>
          <w:tcPr>
            <w:tcW w:type="dxa" w:w="3572"/>
            <w:vAlign w:val="center"/>
            <w:tcMar>
              <w:top w:w="90" w:type="dxa"/>
              <w:start w:w="100" w:type="dxa"/>
              <w:bottom w:w="90" w:type="dxa"/>
              <w:end w:w="100" w:type="dxa"/>
            </w:tcMar>
            <w:shd w:fill="F3F6F8"/>
            <w:tcBorders>
              <w:bottom w:val="single" w:sz="4" w:color="D9E1E6"/>
            </w:tcBorders>
          </w:tcPr>
          <w:p>
            <w:pPr>
              <w:spacing w:after="0" w:line="257" w:lineRule="auto"/>
            </w:pPr>
            <w:r>
              <w:rPr>
                <w:sz w:val="16"/>
              </w:rPr>
              <w:t>Unity Catalog</w:t>
            </w:r>
          </w:p>
        </w:tc>
        <w:tc>
          <w:tcPr>
            <w:tcW w:type="dxa" w:w="2835"/>
            <w:vAlign w:val="center"/>
            <w:tcMar>
              <w:top w:w="90" w:type="dxa"/>
              <w:start w:w="100" w:type="dxa"/>
              <w:bottom w:w="90" w:type="dxa"/>
              <w:end w:w="100" w:type="dxa"/>
            </w:tcMar>
            <w:shd w:fill="F3F6F8"/>
            <w:tcBorders>
              <w:bottom w:val="single" w:sz="4" w:color="D9E1E6"/>
            </w:tcBorders>
          </w:tcPr>
          <w:p>
            <w:pPr>
              <w:spacing w:after="0" w:line="257" w:lineRule="auto"/>
            </w:pPr>
            <w:r>
              <w:rPr>
                <w:sz w:val="16"/>
              </w:rPr>
              <w:t>Políticas explícitas e logs operacionais.</w:t>
            </w:r>
          </w:p>
        </w:tc>
      </w:tr>
      <w:tr>
        <w:trPr>
          <w:cantSplit/>
        </w:trPr>
        <w:tc>
          <w:tcPr>
            <w:tcW w:type="dxa" w:w="1928"/>
            <w:vAlign w:val="center"/>
            <w:tcMar>
              <w:top w:w="90" w:type="dxa"/>
              <w:start w:w="100" w:type="dxa"/>
              <w:bottom w:w="90" w:type="dxa"/>
              <w:end w:w="100" w:type="dxa"/>
            </w:tcMar>
            <w:tcBorders>
              <w:bottom w:val="single" w:sz="4" w:color="D9E1E6"/>
            </w:tcBorders>
          </w:tcPr>
          <w:p>
            <w:pPr>
              <w:spacing w:after="0" w:line="257" w:lineRule="auto"/>
            </w:pPr>
            <w:r>
              <w:rPr>
                <w:sz w:val="16"/>
              </w:rPr>
              <w:t>Implantação</w:t>
            </w:r>
          </w:p>
        </w:tc>
        <w:tc>
          <w:tcPr>
            <w:tcW w:type="dxa" w:w="3572"/>
            <w:vAlign w:val="center"/>
            <w:tcMar>
              <w:top w:w="90" w:type="dxa"/>
              <w:start w:w="100" w:type="dxa"/>
              <w:bottom w:w="90" w:type="dxa"/>
              <w:end w:w="100" w:type="dxa"/>
            </w:tcMar>
            <w:tcBorders>
              <w:bottom w:val="single" w:sz="4" w:color="D9E1E6"/>
            </w:tcBorders>
          </w:tcPr>
          <w:p>
            <w:pPr>
              <w:spacing w:after="0" w:line="257" w:lineRule="auto"/>
            </w:pPr>
            <w:r>
              <w:rPr>
                <w:sz w:val="16"/>
              </w:rPr>
              <w:t>Declarative Automation Bundles + Git</w:t>
            </w:r>
          </w:p>
        </w:tc>
        <w:tc>
          <w:tcPr>
            <w:tcW w:type="dxa" w:w="2835"/>
            <w:vAlign w:val="center"/>
            <w:tcMar>
              <w:top w:w="90" w:type="dxa"/>
              <w:start w:w="100" w:type="dxa"/>
              <w:bottom w:w="90" w:type="dxa"/>
              <w:end w:w="100" w:type="dxa"/>
            </w:tcMar>
            <w:tcBorders>
              <w:bottom w:val="single" w:sz="4" w:color="D9E1E6"/>
            </w:tcBorders>
          </w:tcPr>
          <w:p>
            <w:pPr>
              <w:spacing w:after="0" w:line="257" w:lineRule="auto"/>
            </w:pPr>
            <w:r>
              <w:rPr>
                <w:sz w:val="16"/>
              </w:rPr>
              <w:t>Infra como código na nuvem.</w:t>
            </w:r>
          </w:p>
        </w:tc>
      </w:tr>
      <w:tr>
        <w:trPr>
          <w:cantSplit/>
        </w:trPr>
        <w:tc>
          <w:tcPr>
            <w:tcW w:type="dxa" w:w="1928"/>
            <w:vAlign w:val="center"/>
            <w:tcMar>
              <w:top w:w="90" w:type="dxa"/>
              <w:start w:w="100" w:type="dxa"/>
              <w:bottom w:w="90" w:type="dxa"/>
              <w:end w:w="100" w:type="dxa"/>
            </w:tcMar>
            <w:shd w:fill="F3F6F8"/>
            <w:tcBorders>
              <w:bottom w:val="single" w:sz="4" w:color="D9E1E6"/>
            </w:tcBorders>
          </w:tcPr>
          <w:p>
            <w:pPr>
              <w:spacing w:after="0" w:line="257" w:lineRule="auto"/>
            </w:pPr>
            <w:r>
              <w:rPr>
                <w:sz w:val="16"/>
              </w:rPr>
              <w:t>Observabilidade</w:t>
            </w:r>
          </w:p>
        </w:tc>
        <w:tc>
          <w:tcPr>
            <w:tcW w:type="dxa" w:w="3572"/>
            <w:vAlign w:val="center"/>
            <w:tcMar>
              <w:top w:w="90" w:type="dxa"/>
              <w:start w:w="100" w:type="dxa"/>
              <w:bottom w:w="90" w:type="dxa"/>
              <w:end w:w="100" w:type="dxa"/>
            </w:tcMar>
            <w:shd w:fill="F3F6F8"/>
            <w:tcBorders>
              <w:bottom w:val="single" w:sz="4" w:color="D9E1E6"/>
            </w:tcBorders>
          </w:tcPr>
          <w:p>
            <w:pPr>
              <w:spacing w:after="0" w:line="257" w:lineRule="auto"/>
            </w:pPr>
            <w:r>
              <w:rPr>
                <w:sz w:val="16"/>
              </w:rPr>
              <w:t>Event logs, system tables, métricas próprias</w:t>
            </w:r>
          </w:p>
        </w:tc>
        <w:tc>
          <w:tcPr>
            <w:tcW w:type="dxa" w:w="2835"/>
            <w:vAlign w:val="center"/>
            <w:tcMar>
              <w:top w:w="90" w:type="dxa"/>
              <w:start w:w="100" w:type="dxa"/>
              <w:bottom w:w="90" w:type="dxa"/>
              <w:end w:w="100" w:type="dxa"/>
            </w:tcMar>
            <w:shd w:fill="F3F6F8"/>
            <w:tcBorders>
              <w:bottom w:val="single" w:sz="4" w:color="D9E1E6"/>
            </w:tcBorders>
          </w:tcPr>
          <w:p>
            <w:pPr>
              <w:spacing w:after="0" w:line="257" w:lineRule="auto"/>
            </w:pPr>
            <w:r>
              <w:rPr>
                <w:sz w:val="16"/>
              </w:rPr>
              <w:t>LakeSentinel como experimento opcional.</w:t>
            </w:r>
          </w:p>
        </w:tc>
      </w:tr>
    </w:tbl>
    <w:p>
      <w:pPr>
        <w:spacing w:after="0"/>
      </w:pPr>
    </w:p>
    <w:tbl>
      <w:tblPr>
        <w:tblW w:type="auto" w:w="0"/>
        <w:tblLook w:firstColumn="1" w:firstRow="1" w:lastColumn="0" w:lastRow="0" w:noHBand="0" w:noVBand="1" w:val="04A0"/>
      </w:tblPr>
      <w:tblGrid>
        <w:gridCol w:w="9553"/>
      </w:tblGrid>
      <w:tr>
        <w:tc>
          <w:tcPr>
            <w:tcW w:type="dxa" w:w="9553"/>
            <w:shd w:fill="EBF5F3"/>
            <w:tcMar>
              <w:top w:w="160" w:type="dxa"/>
              <w:start w:w="220" w:type="dxa"/>
              <w:bottom w:w="160" w:type="dxa"/>
              <w:end w:w="220" w:type="dxa"/>
            </w:tcMar>
          </w:tcPr>
          <w:p>
            <w:r>
              <w:rPr>
                <w:b/>
                <w:color w:val="057D79"/>
              </w:rPr>
              <w:t>Regra de implementação</w:t>
            </w:r>
          </w:p>
          <w:p>
            <w:pPr>
              <w:spacing w:after="0"/>
            </w:pPr>
            <w:r>
              <w:rPr>
                <w:sz w:val="18"/>
              </w:rPr>
              <w:t>A escolha da ferramenta não altera o contrato. Quando um conector nativo não suporta a semântica exigida (por exemplo, preservar o log histórico bruto), criaremos o estágio adicional necessário ou adotaremos uma estratégia alternativa verificada.</w:t>
            </w:r>
          </w:p>
        </w:tc>
      </w:tr>
    </w:tbl>
    <w:p>
      <w:pPr>
        <w:spacing w:after="0"/>
      </w:pPr>
    </w:p>
    <w:p>
      <w:pPr>
        <w:pStyle w:val="Heading1"/>
      </w:pPr>
      <w:r>
        <w:t>21. Cenários práticos de engenharia</w:t>
      </w:r>
    </w:p>
    <w:p>
      <w:pPr>
        <w:pStyle w:val="Heading2"/>
      </w:pPr>
      <w:r>
        <w:t>21.1 Layout alterado pelo fornecedor</w:t>
      </w:r>
    </w:p>
    <w:p>
      <w:pPr/>
      <w:r>
        <w:t>Situação: o campo identificador mudou de nome e o arquivo foi reenviado. Comportamento esperado: gate 1 identifica a divergência e mantém arquivo original na quarentena; o owner corrige o contrato ou solicita arquivo compatível. O arquivo corrigido entra com novo batch_id e SHA-256, passa novamente pelos gates e reprocessa só o lote e seus dependentes.</w:t>
      </w:r>
    </w:p>
    <w:p>
      <w:pPr>
        <w:pStyle w:val="Heading2"/>
      </w:pPr>
      <w:r>
        <w:t>21.2 Hard delete em SGBD sem CDC</w:t>
      </w:r>
    </w:p>
    <w:p>
      <w:pPr/>
      <w:r>
        <w:t>Situação: um registro foi removido sem coluna de exclusão. Comportamento: watermark não detecta o caso; uma varredura completa de chaves ou snapshot periódico reconcilia o universo e cria evento inferido de ausência somente quando o extrato é completo. A observabilidade sinaliza que se trata de delete inferido por comparação, não de evento original.</w:t>
      </w:r>
    </w:p>
    <w:p>
      <w:pPr>
        <w:pStyle w:val="Heading2"/>
      </w:pPr>
      <w:r>
        <w:t>21.3 API com paginação instável e rate limit</w:t>
      </w:r>
    </w:p>
    <w:p>
      <w:pPr/>
      <w:r>
        <w:t>Situação: API entrega 100 itens por página e sofre atualizações durante a leitura. Comportamento: preferir cursor/snapshot token estável; se indisponível, utilizar janela de sobreposição, chaves idempotentes, retries exponenciais, checkpoint por página e reconciliação de totais. Falha intermediária retoma do cursor seguro, sem regravar cegamente páginas antigas.</w:t>
      </w:r>
    </w:p>
    <w:p>
      <w:pPr>
        <w:pStyle w:val="Heading2"/>
      </w:pPr>
      <w:r>
        <w:t>21.4 Evento CDC chega fora de ordem</w:t>
      </w:r>
    </w:p>
    <w:p>
      <w:pPr/>
      <w:r>
        <w:t>Situação: update posterior chega antes do anterior. Comportamento: ordenar por sequência da origem, não pelo instante de ingestão. Sem sequência confiável, a linha é desviada ou aplica-se política explicitamente limitada. Os registros corretos são reprocessados por BK/intervalo e a Silver Técnica mantém vigências coerentes.</w:t>
      </w:r>
    </w:p>
    <w:p>
      <w:pPr>
        <w:pStyle w:val="Heading2"/>
      </w:pPr>
      <w:r>
        <w:t>21.5 Falha após escrita parcial na Gold</w:t>
      </w:r>
    </w:p>
    <w:p>
      <w:pPr/>
      <w:r>
        <w:t>Situação: a primeira tabela de um mart foi escrita, mas outra falhou. Comportamento: revisão candidata fica não publicada; consumidores continuam na revisão anterior. O repair verifica idempotência, reconstrói apenas os artefatos necessários e só promove o revision_id quando o conjunto passar por reconciliação cruzada.</w:t>
      </w:r>
    </w:p>
    <w:p>
      <w:pPr>
        <w:pStyle w:val="Heading2"/>
      </w:pPr>
      <w:r>
        <w:t>21.6 Dois domínios compartilham cadastro</w:t>
      </w:r>
    </w:p>
    <w:p>
      <w:pPr/>
      <w:r>
        <w:t>Situação: um domínio quer somente entidades ativas, outro exige as encerradas. Comportamento: Silver Técnica preserva o histórico neutro; Silver Analítica publica contratos específicos, sem replicar lógica de captura nem excluir linhas comuns. A Gold declara regras temporais adequadas ao seu grão.</w:t>
      </w:r>
    </w:p>
    <w:p>
      <w:pPr>
        <w:pStyle w:val="Heading1"/>
      </w:pPr>
      <w:r>
        <w:t>22. Laboratório de validação ponta a ponta</w:t>
      </w:r>
    </w:p>
    <w:p>
      <w:pPr/>
      <w:r>
        <w:t>O laboratório deverá provar a arquitetura por comportamento observável, não apenas pela execução bem-sucedida dos notebooks. Dados totalmente sintéticos representarão: fornecedor externo de arquivos, SGBD relacional com e sem CDC, API paginada e consumidores analíticos.</w:t>
      </w:r>
    </w:p>
    <w:p>
      <w:pPr>
        <w:pStyle w:val="Heading2"/>
      </w:pPr>
      <w:r>
        <w:t>22.1 Fases e evidências</w:t>
      </w:r>
    </w:p>
    <w:tbl>
      <w:tblPr>
        <w:tblW w:type="auto" w:w="0"/>
        <w:jc w:val="center"/>
        <w:tblLayout w:type="fixed"/>
        <w:tblLook w:firstColumn="1" w:firstRow="1" w:lastColumn="0" w:lastRow="0" w:noHBand="0" w:noVBand="1" w:val="04A0"/>
      </w:tblPr>
      <w:tblGrid>
        <w:gridCol w:w="1417"/>
        <w:gridCol w:w="3061"/>
        <w:gridCol w:w="3855"/>
      </w:tblGrid>
      <w:tr>
        <w:trPr>
          <w:tblHeader w:val="true"/>
          <w:cantSplit/>
        </w:trPr>
        <w:tc>
          <w:tcPr>
            <w:tcW w:type="dxa" w:w="3184"/>
            <w:shd w:fill="142439"/>
            <w:tcMar>
              <w:top w:w="95" w:type="dxa"/>
              <w:start w:w="100" w:type="dxa"/>
              <w:bottom w:w="95" w:type="dxa"/>
              <w:end w:w="100" w:type="dxa"/>
            </w:tcMar>
          </w:tcPr>
          <w:p>
            <w:pPr>
              <w:spacing w:after="0"/>
            </w:pPr>
            <w:r>
              <w:rPr>
                <w:b/>
                <w:color w:val="FFFFFF"/>
                <w:sz w:val="16"/>
              </w:rPr>
              <w:t>Fase</w:t>
            </w:r>
          </w:p>
        </w:tc>
        <w:tc>
          <w:tcPr>
            <w:tcW w:type="dxa" w:w="3184"/>
            <w:shd w:fill="142439"/>
            <w:tcMar>
              <w:top w:w="95" w:type="dxa"/>
              <w:start w:w="100" w:type="dxa"/>
              <w:bottom w:w="95" w:type="dxa"/>
              <w:end w:w="100" w:type="dxa"/>
            </w:tcMar>
          </w:tcPr>
          <w:p>
            <w:pPr>
              <w:spacing w:after="0"/>
            </w:pPr>
            <w:r>
              <w:rPr>
                <w:b/>
                <w:color w:val="FFFFFF"/>
                <w:sz w:val="16"/>
              </w:rPr>
              <w:t>Entrega prática</w:t>
            </w:r>
          </w:p>
        </w:tc>
        <w:tc>
          <w:tcPr>
            <w:tcW w:type="dxa" w:w="3184"/>
            <w:shd w:fill="142439"/>
            <w:tcMar>
              <w:top w:w="95" w:type="dxa"/>
              <w:start w:w="100" w:type="dxa"/>
              <w:bottom w:w="95" w:type="dxa"/>
              <w:end w:w="100" w:type="dxa"/>
            </w:tcMar>
          </w:tcPr>
          <w:p>
            <w:pPr>
              <w:spacing w:after="0"/>
            </w:pPr>
            <w:r>
              <w:rPr>
                <w:b/>
                <w:color w:val="FFFFFF"/>
                <w:sz w:val="16"/>
              </w:rPr>
              <w:t>Critério de conclusão</w:t>
            </w:r>
          </w:p>
        </w:tc>
      </w:tr>
      <w:tr>
        <w:trPr>
          <w:cantSplit/>
        </w:trPr>
        <w:tc>
          <w:tcPr>
            <w:tcW w:type="dxa" w:w="1417"/>
            <w:vAlign w:val="center"/>
            <w:tcMar>
              <w:top w:w="90" w:type="dxa"/>
              <w:start w:w="100" w:type="dxa"/>
              <w:bottom w:w="90" w:type="dxa"/>
              <w:end w:w="100" w:type="dxa"/>
            </w:tcMar>
            <w:tcBorders>
              <w:bottom w:val="single" w:sz="4" w:color="D9E1E6"/>
            </w:tcBorders>
          </w:tcPr>
          <w:p>
            <w:pPr>
              <w:spacing w:after="0" w:line="257" w:lineRule="auto"/>
            </w:pPr>
            <w:r>
              <w:rPr>
                <w:sz w:val="16"/>
              </w:rPr>
              <w:t>0 — Fundação</w:t>
            </w:r>
          </w:p>
        </w:tc>
        <w:tc>
          <w:tcPr>
            <w:tcW w:type="dxa" w:w="3061"/>
            <w:vAlign w:val="center"/>
            <w:tcMar>
              <w:top w:w="90" w:type="dxa"/>
              <w:start w:w="100" w:type="dxa"/>
              <w:bottom w:w="90" w:type="dxa"/>
              <w:end w:w="100" w:type="dxa"/>
            </w:tcMar>
            <w:tcBorders>
              <w:bottom w:val="single" w:sz="4" w:color="D9E1E6"/>
            </w:tcBorders>
          </w:tcPr>
          <w:p>
            <w:pPr>
              <w:spacing w:after="0" w:line="257" w:lineRule="auto"/>
            </w:pPr>
            <w:r>
              <w:rPr>
                <w:sz w:val="16"/>
              </w:rPr>
              <w:t>Repositório, catálogo, áreas de storage, identidade e contratos</w:t>
            </w:r>
          </w:p>
        </w:tc>
        <w:tc>
          <w:tcPr>
            <w:tcW w:type="dxa" w:w="3855"/>
            <w:vAlign w:val="center"/>
            <w:tcMar>
              <w:top w:w="90" w:type="dxa"/>
              <w:start w:w="100" w:type="dxa"/>
              <w:bottom w:w="90" w:type="dxa"/>
              <w:end w:w="100" w:type="dxa"/>
            </w:tcMar>
            <w:tcBorders>
              <w:bottom w:val="single" w:sz="4" w:color="D9E1E6"/>
            </w:tcBorders>
          </w:tcPr>
          <w:p>
            <w:pPr>
              <w:spacing w:after="0" w:line="257" w:lineRule="auto"/>
            </w:pPr>
            <w:r>
              <w:rPr>
                <w:sz w:val="16"/>
              </w:rPr>
              <w:t>Deploy reproduzível, permissões verificadas.</w:t>
            </w:r>
          </w:p>
        </w:tc>
      </w:tr>
      <w:tr>
        <w:trPr>
          <w:cantSplit/>
        </w:trPr>
        <w:tc>
          <w:tcPr>
            <w:tcW w:type="dxa" w:w="1417"/>
            <w:vAlign w:val="center"/>
            <w:tcMar>
              <w:top w:w="90" w:type="dxa"/>
              <w:start w:w="100" w:type="dxa"/>
              <w:bottom w:w="90" w:type="dxa"/>
              <w:end w:w="100" w:type="dxa"/>
            </w:tcMar>
            <w:shd w:fill="F3F6F8"/>
            <w:tcBorders>
              <w:bottom w:val="single" w:sz="4" w:color="D9E1E6"/>
            </w:tcBorders>
          </w:tcPr>
          <w:p>
            <w:pPr>
              <w:spacing w:after="0" w:line="257" w:lineRule="auto"/>
            </w:pPr>
            <w:r>
              <w:rPr>
                <w:sz w:val="16"/>
              </w:rPr>
              <w:t>1 — Recepção</w:t>
            </w:r>
          </w:p>
        </w:tc>
        <w:tc>
          <w:tcPr>
            <w:tcW w:type="dxa" w:w="3061"/>
            <w:vAlign w:val="center"/>
            <w:tcMar>
              <w:top w:w="90" w:type="dxa"/>
              <w:start w:w="100" w:type="dxa"/>
              <w:bottom w:w="90" w:type="dxa"/>
              <w:end w:w="100" w:type="dxa"/>
            </w:tcMar>
            <w:shd w:fill="F3F6F8"/>
            <w:tcBorders>
              <w:bottom w:val="single" w:sz="4" w:color="D9E1E6"/>
            </w:tcBorders>
          </w:tcPr>
          <w:p>
            <w:pPr>
              <w:spacing w:after="0" w:line="257" w:lineRule="auto"/>
            </w:pPr>
            <w:r>
              <w:rPr>
                <w:sz w:val="16"/>
              </w:rPr>
              <w:t>Hub simples com upload HTTPS e manifesto</w:t>
            </w:r>
          </w:p>
        </w:tc>
        <w:tc>
          <w:tcPr>
            <w:tcW w:type="dxa" w:w="3855"/>
            <w:vAlign w:val="center"/>
            <w:tcMar>
              <w:top w:w="90" w:type="dxa"/>
              <w:start w:w="100" w:type="dxa"/>
              <w:bottom w:w="90" w:type="dxa"/>
              <w:end w:w="100" w:type="dxa"/>
            </w:tcMar>
            <w:shd w:fill="F3F6F8"/>
            <w:tcBorders>
              <w:bottom w:val="single" w:sz="4" w:color="D9E1E6"/>
            </w:tcBorders>
          </w:tcPr>
          <w:p>
            <w:pPr>
              <w:spacing w:after="0" w:line="257" w:lineRule="auto"/>
            </w:pPr>
            <w:r>
              <w:rPr>
                <w:sz w:val="16"/>
              </w:rPr>
              <w:t>Lote íntegro aceito; corrompido isolado e auditado.</w:t>
            </w:r>
          </w:p>
        </w:tc>
      </w:tr>
      <w:tr>
        <w:trPr>
          <w:cantSplit/>
        </w:trPr>
        <w:tc>
          <w:tcPr>
            <w:tcW w:type="dxa" w:w="1417"/>
            <w:vAlign w:val="center"/>
            <w:tcMar>
              <w:top w:w="90" w:type="dxa"/>
              <w:start w:w="100" w:type="dxa"/>
              <w:bottom w:w="90" w:type="dxa"/>
              <w:end w:w="100" w:type="dxa"/>
            </w:tcMar>
            <w:tcBorders>
              <w:bottom w:val="single" w:sz="4" w:color="D9E1E6"/>
            </w:tcBorders>
          </w:tcPr>
          <w:p>
            <w:pPr>
              <w:spacing w:after="0" w:line="257" w:lineRule="auto"/>
            </w:pPr>
            <w:r>
              <w:rPr>
                <w:sz w:val="16"/>
              </w:rPr>
              <w:t>2 — Captura</w:t>
            </w:r>
          </w:p>
        </w:tc>
        <w:tc>
          <w:tcPr>
            <w:tcW w:type="dxa" w:w="3061"/>
            <w:vAlign w:val="center"/>
            <w:tcMar>
              <w:top w:w="90" w:type="dxa"/>
              <w:start w:w="100" w:type="dxa"/>
              <w:bottom w:w="90" w:type="dxa"/>
              <w:end w:w="100" w:type="dxa"/>
            </w:tcMar>
            <w:tcBorders>
              <w:bottom w:val="single" w:sz="4" w:color="D9E1E6"/>
            </w:tcBorders>
          </w:tcPr>
          <w:p>
            <w:pPr>
              <w:spacing w:after="0" w:line="257" w:lineRule="auto"/>
            </w:pPr>
            <w:r>
              <w:rPr>
                <w:sz w:val="16"/>
              </w:rPr>
              <w:t>Arquivos + snapshot SGBD + API</w:t>
            </w:r>
          </w:p>
        </w:tc>
        <w:tc>
          <w:tcPr>
            <w:tcW w:type="dxa" w:w="3855"/>
            <w:vAlign w:val="center"/>
            <w:tcMar>
              <w:top w:w="90" w:type="dxa"/>
              <w:start w:w="100" w:type="dxa"/>
              <w:bottom w:w="90" w:type="dxa"/>
              <w:end w:w="100" w:type="dxa"/>
            </w:tcMar>
            <w:tcBorders>
              <w:bottom w:val="single" w:sz="4" w:color="D9E1E6"/>
            </w:tcBorders>
          </w:tcPr>
          <w:p>
            <w:pPr>
              <w:spacing w:after="0" w:line="257" w:lineRule="auto"/>
            </w:pPr>
            <w:r>
              <w:rPr>
                <w:sz w:val="16"/>
              </w:rPr>
              <w:t>Full inicial, incrementais e checkpoints demonstrados.</w:t>
            </w:r>
          </w:p>
        </w:tc>
      </w:tr>
      <w:tr>
        <w:trPr>
          <w:cantSplit/>
        </w:trPr>
        <w:tc>
          <w:tcPr>
            <w:tcW w:type="dxa" w:w="1417"/>
            <w:vAlign w:val="center"/>
            <w:tcMar>
              <w:top w:w="90" w:type="dxa"/>
              <w:start w:w="100" w:type="dxa"/>
              <w:bottom w:w="90" w:type="dxa"/>
              <w:end w:w="100" w:type="dxa"/>
            </w:tcMar>
            <w:shd w:fill="F3F6F8"/>
            <w:tcBorders>
              <w:bottom w:val="single" w:sz="4" w:color="D9E1E6"/>
            </w:tcBorders>
          </w:tcPr>
          <w:p>
            <w:pPr>
              <w:spacing w:after="0" w:line="257" w:lineRule="auto"/>
            </w:pPr>
            <w:r>
              <w:rPr>
                <w:sz w:val="16"/>
              </w:rPr>
              <w:t>3 — Bronze</w:t>
            </w:r>
          </w:p>
        </w:tc>
        <w:tc>
          <w:tcPr>
            <w:tcW w:type="dxa" w:w="3061"/>
            <w:vAlign w:val="center"/>
            <w:tcMar>
              <w:top w:w="90" w:type="dxa"/>
              <w:start w:w="100" w:type="dxa"/>
              <w:bottom w:w="90" w:type="dxa"/>
              <w:end w:w="100" w:type="dxa"/>
            </w:tcMar>
            <w:shd w:fill="F3F6F8"/>
            <w:tcBorders>
              <w:bottom w:val="single" w:sz="4" w:color="D9E1E6"/>
            </w:tcBorders>
          </w:tcPr>
          <w:p>
            <w:pPr>
              <w:spacing w:after="0" w:line="257" w:lineRule="auto"/>
            </w:pPr>
            <w:r>
              <w:rPr>
                <w:sz w:val="16"/>
              </w:rPr>
              <w:t>Tabelas brutas + trilha de metadados</w:t>
            </w:r>
          </w:p>
        </w:tc>
        <w:tc>
          <w:tcPr>
            <w:tcW w:type="dxa" w:w="3855"/>
            <w:vAlign w:val="center"/>
            <w:tcMar>
              <w:top w:w="90" w:type="dxa"/>
              <w:start w:w="100" w:type="dxa"/>
              <w:bottom w:w="90" w:type="dxa"/>
              <w:end w:w="100" w:type="dxa"/>
            </w:tcMar>
            <w:shd w:fill="F3F6F8"/>
            <w:tcBorders>
              <w:bottom w:val="single" w:sz="4" w:color="D9E1E6"/>
            </w:tcBorders>
          </w:tcPr>
          <w:p>
            <w:pPr>
              <w:spacing w:after="0" w:line="257" w:lineRule="auto"/>
            </w:pPr>
            <w:r>
              <w:rPr>
                <w:sz w:val="16"/>
              </w:rPr>
              <w:t>Reenvio idempotente e retenção demonstrada.</w:t>
            </w:r>
          </w:p>
        </w:tc>
      </w:tr>
      <w:tr>
        <w:trPr>
          <w:cantSplit/>
        </w:trPr>
        <w:tc>
          <w:tcPr>
            <w:tcW w:type="dxa" w:w="1417"/>
            <w:vAlign w:val="center"/>
            <w:tcMar>
              <w:top w:w="90" w:type="dxa"/>
              <w:start w:w="100" w:type="dxa"/>
              <w:bottom w:w="90" w:type="dxa"/>
              <w:end w:w="100" w:type="dxa"/>
            </w:tcMar>
            <w:tcBorders>
              <w:bottom w:val="single" w:sz="4" w:color="D9E1E6"/>
            </w:tcBorders>
          </w:tcPr>
          <w:p>
            <w:pPr>
              <w:spacing w:after="0" w:line="257" w:lineRule="auto"/>
            </w:pPr>
            <w:r>
              <w:rPr>
                <w:sz w:val="16"/>
              </w:rPr>
              <w:t>4 — Silver</w:t>
            </w:r>
          </w:p>
        </w:tc>
        <w:tc>
          <w:tcPr>
            <w:tcW w:type="dxa" w:w="3061"/>
            <w:vAlign w:val="center"/>
            <w:tcMar>
              <w:top w:w="90" w:type="dxa"/>
              <w:start w:w="100" w:type="dxa"/>
              <w:bottom w:w="90" w:type="dxa"/>
              <w:end w:w="100" w:type="dxa"/>
            </w:tcMar>
            <w:tcBorders>
              <w:bottom w:val="single" w:sz="4" w:color="D9E1E6"/>
            </w:tcBorders>
          </w:tcPr>
          <w:p>
            <w:pPr>
              <w:spacing w:after="0" w:line="257" w:lineRule="auto"/>
            </w:pPr>
            <w:r>
              <w:rPr>
                <w:sz w:val="16"/>
              </w:rPr>
              <w:t>Silver Técnica persistida e Silver Analítica</w:t>
            </w:r>
          </w:p>
        </w:tc>
        <w:tc>
          <w:tcPr>
            <w:tcW w:type="dxa" w:w="3855"/>
            <w:vAlign w:val="center"/>
            <w:tcMar>
              <w:top w:w="90" w:type="dxa"/>
              <w:start w:w="100" w:type="dxa"/>
              <w:bottom w:w="90" w:type="dxa"/>
              <w:end w:w="100" w:type="dxa"/>
            </w:tcMar>
            <w:tcBorders>
              <w:bottom w:val="single" w:sz="4" w:color="D9E1E6"/>
            </w:tcBorders>
          </w:tcPr>
          <w:p>
            <w:pPr>
              <w:spacing w:after="0" w:line="257" w:lineRule="auto"/>
            </w:pPr>
            <w:r>
              <w:rPr>
                <w:sz w:val="16"/>
              </w:rPr>
              <w:t>SCD1/SCD2, deletes e domínios testados.</w:t>
            </w:r>
          </w:p>
        </w:tc>
      </w:tr>
      <w:tr>
        <w:trPr>
          <w:cantSplit/>
        </w:trPr>
        <w:tc>
          <w:tcPr>
            <w:tcW w:type="dxa" w:w="1417"/>
            <w:vAlign w:val="center"/>
            <w:tcMar>
              <w:top w:w="90" w:type="dxa"/>
              <w:start w:w="100" w:type="dxa"/>
              <w:bottom w:w="90" w:type="dxa"/>
              <w:end w:w="100" w:type="dxa"/>
            </w:tcMar>
            <w:shd w:fill="F3F6F8"/>
            <w:tcBorders>
              <w:bottom w:val="single" w:sz="4" w:color="D9E1E6"/>
            </w:tcBorders>
          </w:tcPr>
          <w:p>
            <w:pPr>
              <w:spacing w:after="0" w:line="257" w:lineRule="auto"/>
            </w:pPr>
            <w:r>
              <w:rPr>
                <w:sz w:val="16"/>
              </w:rPr>
              <w:t>5 — Gold</w:t>
            </w:r>
          </w:p>
        </w:tc>
        <w:tc>
          <w:tcPr>
            <w:tcW w:type="dxa" w:w="3061"/>
            <w:vAlign w:val="center"/>
            <w:tcMar>
              <w:top w:w="90" w:type="dxa"/>
              <w:start w:w="100" w:type="dxa"/>
              <w:bottom w:w="90" w:type="dxa"/>
              <w:end w:w="100" w:type="dxa"/>
            </w:tcMar>
            <w:shd w:fill="F3F6F8"/>
            <w:tcBorders>
              <w:bottom w:val="single" w:sz="4" w:color="D9E1E6"/>
            </w:tcBorders>
          </w:tcPr>
          <w:p>
            <w:pPr>
              <w:spacing w:after="0" w:line="257" w:lineRule="auto"/>
            </w:pPr>
            <w:r>
              <w:rPr>
                <w:sz w:val="16"/>
              </w:rPr>
              <w:t>Fato e dimensão com publicação versionada</w:t>
            </w:r>
          </w:p>
        </w:tc>
        <w:tc>
          <w:tcPr>
            <w:tcW w:type="dxa" w:w="3855"/>
            <w:vAlign w:val="center"/>
            <w:tcMar>
              <w:top w:w="90" w:type="dxa"/>
              <w:start w:w="100" w:type="dxa"/>
              <w:bottom w:w="90" w:type="dxa"/>
              <w:end w:w="100" w:type="dxa"/>
            </w:tcMar>
            <w:shd w:fill="F3F6F8"/>
            <w:tcBorders>
              <w:bottom w:val="single" w:sz="4" w:color="D9E1E6"/>
            </w:tcBorders>
          </w:tcPr>
          <w:p>
            <w:pPr>
              <w:spacing w:after="0" w:line="257" w:lineRule="auto"/>
            </w:pPr>
            <w:r>
              <w:rPr>
                <w:sz w:val="16"/>
              </w:rPr>
              <w:t>Grão e SK válidos, revisão anterior protegida.</w:t>
            </w:r>
          </w:p>
        </w:tc>
      </w:tr>
      <w:tr>
        <w:trPr>
          <w:cantSplit/>
        </w:trPr>
        <w:tc>
          <w:tcPr>
            <w:tcW w:type="dxa" w:w="1417"/>
            <w:vAlign w:val="center"/>
            <w:tcMar>
              <w:top w:w="90" w:type="dxa"/>
              <w:start w:w="100" w:type="dxa"/>
              <w:bottom w:w="90" w:type="dxa"/>
              <w:end w:w="100" w:type="dxa"/>
            </w:tcMar>
            <w:tcBorders>
              <w:bottom w:val="single" w:sz="4" w:color="D9E1E6"/>
            </w:tcBorders>
          </w:tcPr>
          <w:p>
            <w:pPr>
              <w:spacing w:after="0" w:line="257" w:lineRule="auto"/>
            </w:pPr>
            <w:r>
              <w:rPr>
                <w:sz w:val="16"/>
              </w:rPr>
              <w:t>6 — Confiabilidade</w:t>
            </w:r>
          </w:p>
        </w:tc>
        <w:tc>
          <w:tcPr>
            <w:tcW w:type="dxa" w:w="3061"/>
            <w:vAlign w:val="center"/>
            <w:tcMar>
              <w:top w:w="90" w:type="dxa"/>
              <w:start w:w="100" w:type="dxa"/>
              <w:bottom w:w="90" w:type="dxa"/>
              <w:end w:w="100" w:type="dxa"/>
            </w:tcMar>
            <w:tcBorders>
              <w:bottom w:val="single" w:sz="4" w:color="D9E1E6"/>
            </w:tcBorders>
          </w:tcPr>
          <w:p>
            <w:pPr>
              <w:spacing w:after="0" w:line="257" w:lineRule="auto"/>
            </w:pPr>
            <w:r>
              <w:rPr>
                <w:sz w:val="16"/>
              </w:rPr>
              <w:t>Portões, quarentenas, replay e alertas</w:t>
            </w:r>
          </w:p>
        </w:tc>
        <w:tc>
          <w:tcPr>
            <w:tcW w:type="dxa" w:w="3855"/>
            <w:vAlign w:val="center"/>
            <w:tcMar>
              <w:top w:w="90" w:type="dxa"/>
              <w:start w:w="100" w:type="dxa"/>
              <w:bottom w:w="90" w:type="dxa"/>
              <w:end w:w="100" w:type="dxa"/>
            </w:tcMar>
            <w:tcBorders>
              <w:bottom w:val="single" w:sz="4" w:color="D9E1E6"/>
            </w:tcBorders>
          </w:tcPr>
          <w:p>
            <w:pPr>
              <w:spacing w:after="0" w:line="257" w:lineRule="auto"/>
            </w:pPr>
            <w:r>
              <w:rPr>
                <w:sz w:val="16"/>
              </w:rPr>
              <w:t>Cenários negativos reproduzidos sem perda silenciosa.</w:t>
            </w:r>
          </w:p>
        </w:tc>
      </w:tr>
      <w:tr>
        <w:trPr>
          <w:cantSplit/>
        </w:trPr>
        <w:tc>
          <w:tcPr>
            <w:tcW w:type="dxa" w:w="1417"/>
            <w:vAlign w:val="center"/>
            <w:tcMar>
              <w:top w:w="90" w:type="dxa"/>
              <w:start w:w="100" w:type="dxa"/>
              <w:bottom w:w="90" w:type="dxa"/>
              <w:end w:w="100" w:type="dxa"/>
            </w:tcMar>
            <w:shd w:fill="F3F6F8"/>
            <w:tcBorders>
              <w:bottom w:val="single" w:sz="4" w:color="D9E1E6"/>
            </w:tcBorders>
          </w:tcPr>
          <w:p>
            <w:pPr>
              <w:spacing w:after="0" w:line="257" w:lineRule="auto"/>
            </w:pPr>
            <w:r>
              <w:rPr>
                <w:sz w:val="16"/>
              </w:rPr>
              <w:t>7 — Operação</w:t>
            </w:r>
          </w:p>
        </w:tc>
        <w:tc>
          <w:tcPr>
            <w:tcW w:type="dxa" w:w="3061"/>
            <w:vAlign w:val="center"/>
            <w:tcMar>
              <w:top w:w="90" w:type="dxa"/>
              <w:start w:w="100" w:type="dxa"/>
              <w:bottom w:w="90" w:type="dxa"/>
              <w:end w:w="100" w:type="dxa"/>
            </w:tcMar>
            <w:shd w:fill="F3F6F8"/>
            <w:tcBorders>
              <w:bottom w:val="single" w:sz="4" w:color="D9E1E6"/>
            </w:tcBorders>
          </w:tcPr>
          <w:p>
            <w:pPr>
              <w:spacing w:after="0" w:line="257" w:lineRule="auto"/>
            </w:pPr>
            <w:r>
              <w:rPr>
                <w:sz w:val="16"/>
              </w:rPr>
              <w:t>Observabilidade, custo e runbook</w:t>
            </w:r>
          </w:p>
        </w:tc>
        <w:tc>
          <w:tcPr>
            <w:tcW w:type="dxa" w:w="3855"/>
            <w:vAlign w:val="center"/>
            <w:tcMar>
              <w:top w:w="90" w:type="dxa"/>
              <w:start w:w="100" w:type="dxa"/>
              <w:bottom w:w="90" w:type="dxa"/>
              <w:end w:w="100" w:type="dxa"/>
            </w:tcMar>
            <w:shd w:fill="F3F6F8"/>
            <w:tcBorders>
              <w:bottom w:val="single" w:sz="4" w:color="D9E1E6"/>
            </w:tcBorders>
          </w:tcPr>
          <w:p>
            <w:pPr>
              <w:spacing w:after="0" w:line="257" w:lineRule="auto"/>
            </w:pPr>
            <w:r>
              <w:rPr>
                <w:sz w:val="16"/>
              </w:rPr>
              <w:t>Indicadores auditáveis e rastreio de ponta a ponta.</w:t>
            </w:r>
          </w:p>
        </w:tc>
      </w:tr>
    </w:tbl>
    <w:p>
      <w:pPr>
        <w:spacing w:after="0"/>
      </w:pPr>
    </w:p>
    <w:p>
      <w:pPr>
        <w:pStyle w:val="Heading2"/>
      </w:pPr>
      <w:r>
        <w:t>22.2 Dataset sintético sugerido</w:t>
      </w:r>
    </w:p>
    <w:p>
      <w:pPr/>
      <w:r>
        <w:t>Usar um domínio neutro de operações: cadastro de entidades, ordens/solicitações, itens e eventos de status. A origem SGBD atualiza e exclui registros; o fornecedor entrega arquivos CSV com campos que mudam; uma API fornece status por cursor. Na Gold, construir dim_entidade (SCD2), dim_calendario e ft_eventos (grão evento) e, opcionalmente, um snapshot periódico.</w:t>
      </w:r>
    </w:p>
    <w:p>
      <w:pPr>
        <w:pStyle w:val="Heading1"/>
      </w:pPr>
      <w:r>
        <w:t>23. Critérios de aceite da arquitetura</w:t>
      </w:r>
    </w:p>
    <w:tbl>
      <w:tblPr>
        <w:tblW w:type="auto" w:w="0"/>
        <w:jc w:val="center"/>
        <w:tblLayout w:type="fixed"/>
        <w:tblLook w:firstColumn="1" w:firstRow="1" w:lastColumn="0" w:lastRow="0" w:noHBand="0" w:noVBand="1" w:val="04A0"/>
      </w:tblPr>
      <w:tblGrid>
        <w:gridCol w:w="907"/>
        <w:gridCol w:w="3231"/>
        <w:gridCol w:w="4195"/>
      </w:tblGrid>
      <w:tr>
        <w:trPr>
          <w:tblHeader w:val="true"/>
          <w:cantSplit/>
        </w:trPr>
        <w:tc>
          <w:tcPr>
            <w:tcW w:type="dxa" w:w="3184"/>
            <w:shd w:fill="142439"/>
            <w:tcMar>
              <w:top w:w="95" w:type="dxa"/>
              <w:start w:w="100" w:type="dxa"/>
              <w:bottom w:w="95" w:type="dxa"/>
              <w:end w:w="100" w:type="dxa"/>
            </w:tcMar>
          </w:tcPr>
          <w:p>
            <w:pPr>
              <w:spacing w:after="0"/>
            </w:pPr>
            <w:r>
              <w:rPr>
                <w:b/>
                <w:color w:val="FFFFFF"/>
                <w:sz w:val="16"/>
              </w:rPr>
              <w:t>ID</w:t>
            </w:r>
          </w:p>
        </w:tc>
        <w:tc>
          <w:tcPr>
            <w:tcW w:type="dxa" w:w="3184"/>
            <w:shd w:fill="142439"/>
            <w:tcMar>
              <w:top w:w="95" w:type="dxa"/>
              <w:start w:w="100" w:type="dxa"/>
              <w:bottom w:w="95" w:type="dxa"/>
              <w:end w:w="100" w:type="dxa"/>
            </w:tcMar>
          </w:tcPr>
          <w:p>
            <w:pPr>
              <w:spacing w:after="0"/>
            </w:pPr>
            <w:r>
              <w:rPr>
                <w:b/>
                <w:color w:val="FFFFFF"/>
                <w:sz w:val="16"/>
              </w:rPr>
              <w:t>Teste</w:t>
            </w:r>
          </w:p>
        </w:tc>
        <w:tc>
          <w:tcPr>
            <w:tcW w:type="dxa" w:w="3184"/>
            <w:shd w:fill="142439"/>
            <w:tcMar>
              <w:top w:w="95" w:type="dxa"/>
              <w:start w:w="100" w:type="dxa"/>
              <w:bottom w:w="95" w:type="dxa"/>
              <w:end w:w="100" w:type="dxa"/>
            </w:tcMar>
          </w:tcPr>
          <w:p>
            <w:pPr>
              <w:spacing w:after="0"/>
            </w:pPr>
            <w:r>
              <w:rPr>
                <w:b/>
                <w:color w:val="FFFFFF"/>
                <w:sz w:val="16"/>
              </w:rPr>
              <w:t>Aceite</w:t>
            </w:r>
          </w:p>
        </w:tc>
      </w:tr>
      <w:tr>
        <w:trPr>
          <w:cantSplit/>
        </w:trPr>
        <w:tc>
          <w:tcPr>
            <w:tcW w:type="dxa" w:w="907"/>
            <w:vAlign w:val="center"/>
            <w:tcMar>
              <w:top w:w="90" w:type="dxa"/>
              <w:start w:w="100" w:type="dxa"/>
              <w:bottom w:w="90" w:type="dxa"/>
              <w:end w:w="100" w:type="dxa"/>
            </w:tcMar>
            <w:tcBorders>
              <w:bottom w:val="single" w:sz="4" w:color="D9E1E6"/>
            </w:tcBorders>
          </w:tcPr>
          <w:p>
            <w:pPr>
              <w:spacing w:after="0" w:line="257" w:lineRule="auto"/>
            </w:pPr>
            <w:r>
              <w:rPr>
                <w:sz w:val="16"/>
              </w:rPr>
              <w:t>AC-01</w:t>
            </w:r>
          </w:p>
        </w:tc>
        <w:tc>
          <w:tcPr>
            <w:tcW w:type="dxa" w:w="3231"/>
            <w:vAlign w:val="center"/>
            <w:tcMar>
              <w:top w:w="90" w:type="dxa"/>
              <w:start w:w="100" w:type="dxa"/>
              <w:bottom w:w="90" w:type="dxa"/>
              <w:end w:w="100" w:type="dxa"/>
            </w:tcMar>
            <w:tcBorders>
              <w:bottom w:val="single" w:sz="4" w:color="D9E1E6"/>
            </w:tcBorders>
          </w:tcPr>
          <w:p>
            <w:pPr>
              <w:spacing w:after="0" w:line="257" w:lineRule="auto"/>
            </w:pPr>
            <w:r>
              <w:rPr>
                <w:sz w:val="16"/>
              </w:rPr>
              <w:t>Enviar arquivo idêntico duas vezes</w:t>
            </w:r>
          </w:p>
        </w:tc>
        <w:tc>
          <w:tcPr>
            <w:tcW w:type="dxa" w:w="4195"/>
            <w:vAlign w:val="center"/>
            <w:tcMar>
              <w:top w:w="90" w:type="dxa"/>
              <w:start w:w="100" w:type="dxa"/>
              <w:bottom w:w="90" w:type="dxa"/>
              <w:end w:w="100" w:type="dxa"/>
            </w:tcMar>
            <w:tcBorders>
              <w:bottom w:val="single" w:sz="4" w:color="D9E1E6"/>
            </w:tcBorders>
          </w:tcPr>
          <w:p>
            <w:pPr>
              <w:spacing w:after="0" w:line="257" w:lineRule="auto"/>
            </w:pPr>
            <w:r>
              <w:rPr>
                <w:sz w:val="16"/>
              </w:rPr>
              <w:t>Uma única unidade lógica publicada; ambas as tentativas auditadas.</w:t>
            </w:r>
          </w:p>
        </w:tc>
      </w:tr>
      <w:tr>
        <w:trPr>
          <w:cantSplit/>
        </w:trPr>
        <w:tc>
          <w:tcPr>
            <w:tcW w:type="dxa" w:w="907"/>
            <w:vAlign w:val="center"/>
            <w:tcMar>
              <w:top w:w="90" w:type="dxa"/>
              <w:start w:w="100" w:type="dxa"/>
              <w:bottom w:w="90" w:type="dxa"/>
              <w:end w:w="100" w:type="dxa"/>
            </w:tcMar>
            <w:shd w:fill="F3F6F8"/>
            <w:tcBorders>
              <w:bottom w:val="single" w:sz="4" w:color="D9E1E6"/>
            </w:tcBorders>
          </w:tcPr>
          <w:p>
            <w:pPr>
              <w:spacing w:after="0" w:line="257" w:lineRule="auto"/>
            </w:pPr>
            <w:r>
              <w:rPr>
                <w:sz w:val="16"/>
              </w:rPr>
              <w:t>AC-02</w:t>
            </w:r>
          </w:p>
        </w:tc>
        <w:tc>
          <w:tcPr>
            <w:tcW w:type="dxa" w:w="3231"/>
            <w:vAlign w:val="center"/>
            <w:tcMar>
              <w:top w:w="90" w:type="dxa"/>
              <w:start w:w="100" w:type="dxa"/>
              <w:bottom w:w="90" w:type="dxa"/>
              <w:end w:w="100" w:type="dxa"/>
            </w:tcMar>
            <w:shd w:fill="F3F6F8"/>
            <w:tcBorders>
              <w:bottom w:val="single" w:sz="4" w:color="D9E1E6"/>
            </w:tcBorders>
          </w:tcPr>
          <w:p>
            <w:pPr>
              <w:spacing w:after="0" w:line="257" w:lineRule="auto"/>
            </w:pPr>
            <w:r>
              <w:rPr>
                <w:sz w:val="16"/>
              </w:rPr>
              <w:t>Trocar nome/tipo de coluna</w:t>
            </w:r>
          </w:p>
        </w:tc>
        <w:tc>
          <w:tcPr>
            <w:tcW w:type="dxa" w:w="4195"/>
            <w:vAlign w:val="center"/>
            <w:tcMar>
              <w:top w:w="90" w:type="dxa"/>
              <w:start w:w="100" w:type="dxa"/>
              <w:bottom w:w="90" w:type="dxa"/>
              <w:end w:w="100" w:type="dxa"/>
            </w:tcMar>
            <w:shd w:fill="F3F6F8"/>
            <w:tcBorders>
              <w:bottom w:val="single" w:sz="4" w:color="D9E1E6"/>
            </w:tcBorders>
          </w:tcPr>
          <w:p>
            <w:pPr>
              <w:spacing w:after="0" w:line="257" w:lineRule="auto"/>
            </w:pPr>
            <w:r>
              <w:rPr>
                <w:sz w:val="16"/>
              </w:rPr>
              <w:t>Quarentena e bloqueio conforme contrato, sem evolução silenciosa.</w:t>
            </w:r>
          </w:p>
        </w:tc>
      </w:tr>
      <w:tr>
        <w:trPr>
          <w:cantSplit/>
        </w:trPr>
        <w:tc>
          <w:tcPr>
            <w:tcW w:type="dxa" w:w="907"/>
            <w:vAlign w:val="center"/>
            <w:tcMar>
              <w:top w:w="90" w:type="dxa"/>
              <w:start w:w="100" w:type="dxa"/>
              <w:bottom w:w="90" w:type="dxa"/>
              <w:end w:w="100" w:type="dxa"/>
            </w:tcMar>
            <w:tcBorders>
              <w:bottom w:val="single" w:sz="4" w:color="D9E1E6"/>
            </w:tcBorders>
          </w:tcPr>
          <w:p>
            <w:pPr>
              <w:spacing w:after="0" w:line="257" w:lineRule="auto"/>
            </w:pPr>
            <w:r>
              <w:rPr>
                <w:sz w:val="16"/>
              </w:rPr>
              <w:t>AC-03</w:t>
            </w:r>
          </w:p>
        </w:tc>
        <w:tc>
          <w:tcPr>
            <w:tcW w:type="dxa" w:w="3231"/>
            <w:vAlign w:val="center"/>
            <w:tcMar>
              <w:top w:w="90" w:type="dxa"/>
              <w:start w:w="100" w:type="dxa"/>
              <w:bottom w:w="90" w:type="dxa"/>
              <w:end w:w="100" w:type="dxa"/>
            </w:tcMar>
            <w:tcBorders>
              <w:bottom w:val="single" w:sz="4" w:color="D9E1E6"/>
            </w:tcBorders>
          </w:tcPr>
          <w:p>
            <w:pPr>
              <w:spacing w:after="0" w:line="257" w:lineRule="auto"/>
            </w:pPr>
            <w:r>
              <w:rPr>
                <w:sz w:val="16"/>
              </w:rPr>
              <w:t>Atrasar entrega</w:t>
            </w:r>
          </w:p>
        </w:tc>
        <w:tc>
          <w:tcPr>
            <w:tcW w:type="dxa" w:w="4195"/>
            <w:vAlign w:val="center"/>
            <w:tcMar>
              <w:top w:w="90" w:type="dxa"/>
              <w:start w:w="100" w:type="dxa"/>
              <w:bottom w:w="90" w:type="dxa"/>
              <w:end w:w="100" w:type="dxa"/>
            </w:tcMar>
            <w:tcBorders>
              <w:bottom w:val="single" w:sz="4" w:color="D9E1E6"/>
            </w:tcBorders>
          </w:tcPr>
          <w:p>
            <w:pPr>
              <w:spacing w:after="0" w:line="257" w:lineRule="auto"/>
            </w:pPr>
            <w:r>
              <w:rPr>
                <w:sz w:val="16"/>
              </w:rPr>
              <w:t>Incidente criado antes de receber qualquer arquivo.</w:t>
            </w:r>
          </w:p>
        </w:tc>
      </w:tr>
      <w:tr>
        <w:trPr>
          <w:cantSplit/>
        </w:trPr>
        <w:tc>
          <w:tcPr>
            <w:tcW w:type="dxa" w:w="907"/>
            <w:vAlign w:val="center"/>
            <w:tcMar>
              <w:top w:w="90" w:type="dxa"/>
              <w:start w:w="100" w:type="dxa"/>
              <w:bottom w:w="90" w:type="dxa"/>
              <w:end w:w="100" w:type="dxa"/>
            </w:tcMar>
            <w:shd w:fill="F3F6F8"/>
            <w:tcBorders>
              <w:bottom w:val="single" w:sz="4" w:color="D9E1E6"/>
            </w:tcBorders>
          </w:tcPr>
          <w:p>
            <w:pPr>
              <w:spacing w:after="0" w:line="257" w:lineRule="auto"/>
            </w:pPr>
            <w:r>
              <w:rPr>
                <w:sz w:val="16"/>
              </w:rPr>
              <w:t>AC-04</w:t>
            </w:r>
          </w:p>
        </w:tc>
        <w:tc>
          <w:tcPr>
            <w:tcW w:type="dxa" w:w="3231"/>
            <w:vAlign w:val="center"/>
            <w:tcMar>
              <w:top w:w="90" w:type="dxa"/>
              <w:start w:w="100" w:type="dxa"/>
              <w:bottom w:w="90" w:type="dxa"/>
              <w:end w:w="100" w:type="dxa"/>
            </w:tcMar>
            <w:shd w:fill="F3F6F8"/>
            <w:tcBorders>
              <w:bottom w:val="single" w:sz="4" w:color="D9E1E6"/>
            </w:tcBorders>
          </w:tcPr>
          <w:p>
            <w:pPr>
              <w:spacing w:after="0" w:line="257" w:lineRule="auto"/>
            </w:pPr>
            <w:r>
              <w:rPr>
                <w:sz w:val="16"/>
              </w:rPr>
              <w:t>Corrigir arquivo rejeitado</w:t>
            </w:r>
          </w:p>
        </w:tc>
        <w:tc>
          <w:tcPr>
            <w:tcW w:type="dxa" w:w="4195"/>
            <w:vAlign w:val="center"/>
            <w:tcMar>
              <w:top w:w="90" w:type="dxa"/>
              <w:start w:w="100" w:type="dxa"/>
              <w:bottom w:w="90" w:type="dxa"/>
              <w:end w:w="100" w:type="dxa"/>
            </w:tcMar>
            <w:shd w:fill="F3F6F8"/>
            <w:tcBorders>
              <w:bottom w:val="single" w:sz="4" w:color="D9E1E6"/>
            </w:tcBorders>
          </w:tcPr>
          <w:p>
            <w:pPr>
              <w:spacing w:after="0" w:line="257" w:lineRule="auto"/>
            </w:pPr>
            <w:r>
              <w:rPr>
                <w:sz w:val="16"/>
              </w:rPr>
              <w:t>Novo lote promove apenas dependências afetadas.</w:t>
            </w:r>
          </w:p>
        </w:tc>
      </w:tr>
      <w:tr>
        <w:trPr>
          <w:cantSplit/>
        </w:trPr>
        <w:tc>
          <w:tcPr>
            <w:tcW w:type="dxa" w:w="907"/>
            <w:vAlign w:val="center"/>
            <w:tcMar>
              <w:top w:w="90" w:type="dxa"/>
              <w:start w:w="100" w:type="dxa"/>
              <w:bottom w:w="90" w:type="dxa"/>
              <w:end w:w="100" w:type="dxa"/>
            </w:tcMar>
            <w:tcBorders>
              <w:bottom w:val="single" w:sz="4" w:color="D9E1E6"/>
            </w:tcBorders>
          </w:tcPr>
          <w:p>
            <w:pPr>
              <w:spacing w:after="0" w:line="257" w:lineRule="auto"/>
            </w:pPr>
            <w:r>
              <w:rPr>
                <w:sz w:val="16"/>
              </w:rPr>
              <w:t>AC-05</w:t>
            </w:r>
          </w:p>
        </w:tc>
        <w:tc>
          <w:tcPr>
            <w:tcW w:type="dxa" w:w="3231"/>
            <w:vAlign w:val="center"/>
            <w:tcMar>
              <w:top w:w="90" w:type="dxa"/>
              <w:start w:w="100" w:type="dxa"/>
              <w:bottom w:w="90" w:type="dxa"/>
              <w:end w:w="100" w:type="dxa"/>
            </w:tcMar>
            <w:tcBorders>
              <w:bottom w:val="single" w:sz="4" w:color="D9E1E6"/>
            </w:tcBorders>
          </w:tcPr>
          <w:p>
            <w:pPr>
              <w:spacing w:after="0" w:line="257" w:lineRule="auto"/>
            </w:pPr>
            <w:r>
              <w:rPr>
                <w:sz w:val="16"/>
              </w:rPr>
              <w:t>Atualizar e excluir registro na origem</w:t>
            </w:r>
          </w:p>
        </w:tc>
        <w:tc>
          <w:tcPr>
            <w:tcW w:type="dxa" w:w="4195"/>
            <w:vAlign w:val="center"/>
            <w:tcMar>
              <w:top w:w="90" w:type="dxa"/>
              <w:start w:w="100" w:type="dxa"/>
              <w:bottom w:w="90" w:type="dxa"/>
              <w:end w:w="100" w:type="dxa"/>
            </w:tcMar>
            <w:tcBorders>
              <w:bottom w:val="single" w:sz="4" w:color="D9E1E6"/>
            </w:tcBorders>
          </w:tcPr>
          <w:p>
            <w:pPr>
              <w:spacing w:after="0" w:line="257" w:lineRule="auto"/>
            </w:pPr>
            <w:r>
              <w:rPr>
                <w:sz w:val="16"/>
              </w:rPr>
              <w:t>Captura ou reconciliação documentada reproduz estado esperado.</w:t>
            </w:r>
          </w:p>
        </w:tc>
      </w:tr>
      <w:tr>
        <w:trPr>
          <w:cantSplit/>
        </w:trPr>
        <w:tc>
          <w:tcPr>
            <w:tcW w:type="dxa" w:w="907"/>
            <w:vAlign w:val="center"/>
            <w:tcMar>
              <w:top w:w="90" w:type="dxa"/>
              <w:start w:w="100" w:type="dxa"/>
              <w:bottom w:w="90" w:type="dxa"/>
              <w:end w:w="100" w:type="dxa"/>
            </w:tcMar>
            <w:shd w:fill="F3F6F8"/>
            <w:tcBorders>
              <w:bottom w:val="single" w:sz="4" w:color="D9E1E6"/>
            </w:tcBorders>
          </w:tcPr>
          <w:p>
            <w:pPr>
              <w:spacing w:after="0" w:line="257" w:lineRule="auto"/>
            </w:pPr>
            <w:r>
              <w:rPr>
                <w:sz w:val="16"/>
              </w:rPr>
              <w:t>AC-06</w:t>
            </w:r>
          </w:p>
        </w:tc>
        <w:tc>
          <w:tcPr>
            <w:tcW w:type="dxa" w:w="3231"/>
            <w:vAlign w:val="center"/>
            <w:tcMar>
              <w:top w:w="90" w:type="dxa"/>
              <w:start w:w="100" w:type="dxa"/>
              <w:bottom w:w="90" w:type="dxa"/>
              <w:end w:w="100" w:type="dxa"/>
            </w:tcMar>
            <w:shd w:fill="F3F6F8"/>
            <w:tcBorders>
              <w:bottom w:val="single" w:sz="4" w:color="D9E1E6"/>
            </w:tcBorders>
          </w:tcPr>
          <w:p>
            <w:pPr>
              <w:spacing w:after="0" w:line="257" w:lineRule="auto"/>
            </w:pPr>
            <w:r>
              <w:rPr>
                <w:sz w:val="16"/>
              </w:rPr>
              <w:t>Reordenar eventos CDC</w:t>
            </w:r>
          </w:p>
        </w:tc>
        <w:tc>
          <w:tcPr>
            <w:tcW w:type="dxa" w:w="4195"/>
            <w:vAlign w:val="center"/>
            <w:tcMar>
              <w:top w:w="90" w:type="dxa"/>
              <w:start w:w="100" w:type="dxa"/>
              <w:bottom w:w="90" w:type="dxa"/>
              <w:end w:w="100" w:type="dxa"/>
            </w:tcMar>
            <w:shd w:fill="F3F6F8"/>
            <w:tcBorders>
              <w:bottom w:val="single" w:sz="4" w:color="D9E1E6"/>
            </w:tcBorders>
          </w:tcPr>
          <w:p>
            <w:pPr>
              <w:spacing w:after="0" w:line="257" w:lineRule="auto"/>
            </w:pPr>
            <w:r>
              <w:rPr>
                <w:sz w:val="16"/>
              </w:rPr>
              <w:t>Resultado determinístico de vigências e estado atual.</w:t>
            </w:r>
          </w:p>
        </w:tc>
      </w:tr>
      <w:tr>
        <w:trPr>
          <w:cantSplit/>
        </w:trPr>
        <w:tc>
          <w:tcPr>
            <w:tcW w:type="dxa" w:w="907"/>
            <w:vAlign w:val="center"/>
            <w:tcMar>
              <w:top w:w="90" w:type="dxa"/>
              <w:start w:w="100" w:type="dxa"/>
              <w:bottom w:w="90" w:type="dxa"/>
              <w:end w:w="100" w:type="dxa"/>
            </w:tcMar>
            <w:tcBorders>
              <w:bottom w:val="single" w:sz="4" w:color="D9E1E6"/>
            </w:tcBorders>
          </w:tcPr>
          <w:p>
            <w:pPr>
              <w:spacing w:after="0" w:line="257" w:lineRule="auto"/>
            </w:pPr>
            <w:r>
              <w:rPr>
                <w:sz w:val="16"/>
              </w:rPr>
              <w:t>AC-07</w:t>
            </w:r>
          </w:p>
        </w:tc>
        <w:tc>
          <w:tcPr>
            <w:tcW w:type="dxa" w:w="3231"/>
            <w:vAlign w:val="center"/>
            <w:tcMar>
              <w:top w:w="90" w:type="dxa"/>
              <w:start w:w="100" w:type="dxa"/>
              <w:bottom w:w="90" w:type="dxa"/>
              <w:end w:w="100" w:type="dxa"/>
            </w:tcMar>
            <w:tcBorders>
              <w:bottom w:val="single" w:sz="4" w:color="D9E1E6"/>
            </w:tcBorders>
          </w:tcPr>
          <w:p>
            <w:pPr>
              <w:spacing w:after="0" w:line="257" w:lineRule="auto"/>
            </w:pPr>
            <w:r>
              <w:rPr>
                <w:sz w:val="16"/>
              </w:rPr>
              <w:t>Forçar falha parcial da Gold</w:t>
            </w:r>
          </w:p>
        </w:tc>
        <w:tc>
          <w:tcPr>
            <w:tcW w:type="dxa" w:w="4195"/>
            <w:vAlign w:val="center"/>
            <w:tcMar>
              <w:top w:w="90" w:type="dxa"/>
              <w:start w:w="100" w:type="dxa"/>
              <w:bottom w:w="90" w:type="dxa"/>
              <w:end w:w="100" w:type="dxa"/>
            </w:tcMar>
            <w:tcBorders>
              <w:bottom w:val="single" w:sz="4" w:color="D9E1E6"/>
            </w:tcBorders>
          </w:tcPr>
          <w:p>
            <w:pPr>
              <w:spacing w:after="0" w:line="257" w:lineRule="auto"/>
            </w:pPr>
            <w:r>
              <w:rPr>
                <w:sz w:val="16"/>
              </w:rPr>
              <w:t>Consumidor permanece na revisão anterior.</w:t>
            </w:r>
          </w:p>
        </w:tc>
      </w:tr>
      <w:tr>
        <w:trPr>
          <w:cantSplit/>
        </w:trPr>
        <w:tc>
          <w:tcPr>
            <w:tcW w:type="dxa" w:w="907"/>
            <w:vAlign w:val="center"/>
            <w:tcMar>
              <w:top w:w="90" w:type="dxa"/>
              <w:start w:w="100" w:type="dxa"/>
              <w:bottom w:w="90" w:type="dxa"/>
              <w:end w:w="100" w:type="dxa"/>
            </w:tcMar>
            <w:shd w:fill="F3F6F8"/>
            <w:tcBorders>
              <w:bottom w:val="single" w:sz="4" w:color="D9E1E6"/>
            </w:tcBorders>
          </w:tcPr>
          <w:p>
            <w:pPr>
              <w:spacing w:after="0" w:line="257" w:lineRule="auto"/>
            </w:pPr>
            <w:r>
              <w:rPr>
                <w:sz w:val="16"/>
              </w:rPr>
              <w:t>AC-08</w:t>
            </w:r>
          </w:p>
        </w:tc>
        <w:tc>
          <w:tcPr>
            <w:tcW w:type="dxa" w:w="3231"/>
            <w:vAlign w:val="center"/>
            <w:tcMar>
              <w:top w:w="90" w:type="dxa"/>
              <w:start w:w="100" w:type="dxa"/>
              <w:bottom w:w="90" w:type="dxa"/>
              <w:end w:w="100" w:type="dxa"/>
            </w:tcMar>
            <w:shd w:fill="F3F6F8"/>
            <w:tcBorders>
              <w:bottom w:val="single" w:sz="4" w:color="D9E1E6"/>
            </w:tcBorders>
          </w:tcPr>
          <w:p>
            <w:pPr>
              <w:spacing w:after="0" w:line="257" w:lineRule="auto"/>
            </w:pPr>
            <w:r>
              <w:rPr>
                <w:sz w:val="16"/>
              </w:rPr>
              <w:t>Executar o mesmo replay duas vezes</w:t>
            </w:r>
          </w:p>
        </w:tc>
        <w:tc>
          <w:tcPr>
            <w:tcW w:type="dxa" w:w="4195"/>
            <w:vAlign w:val="center"/>
            <w:tcMar>
              <w:top w:w="90" w:type="dxa"/>
              <w:start w:w="100" w:type="dxa"/>
              <w:bottom w:w="90" w:type="dxa"/>
              <w:end w:w="100" w:type="dxa"/>
            </w:tcMar>
            <w:shd w:fill="F3F6F8"/>
            <w:tcBorders>
              <w:bottom w:val="single" w:sz="4" w:color="D9E1E6"/>
            </w:tcBorders>
          </w:tcPr>
          <w:p>
            <w:pPr>
              <w:spacing w:after="0" w:line="257" w:lineRule="auto"/>
            </w:pPr>
            <w:r>
              <w:rPr>
                <w:sz w:val="16"/>
              </w:rPr>
              <w:t>Resultado e contagens finais idênticos.</w:t>
            </w:r>
          </w:p>
        </w:tc>
      </w:tr>
      <w:tr>
        <w:trPr>
          <w:cantSplit/>
        </w:trPr>
        <w:tc>
          <w:tcPr>
            <w:tcW w:type="dxa" w:w="907"/>
            <w:vAlign w:val="center"/>
            <w:tcMar>
              <w:top w:w="90" w:type="dxa"/>
              <w:start w:w="100" w:type="dxa"/>
              <w:bottom w:w="90" w:type="dxa"/>
              <w:end w:w="100" w:type="dxa"/>
            </w:tcMar>
            <w:tcBorders>
              <w:bottom w:val="single" w:sz="4" w:color="D9E1E6"/>
            </w:tcBorders>
          </w:tcPr>
          <w:p>
            <w:pPr>
              <w:spacing w:after="0" w:line="257" w:lineRule="auto"/>
            </w:pPr>
            <w:r>
              <w:rPr>
                <w:sz w:val="16"/>
              </w:rPr>
              <w:t>AC-09</w:t>
            </w:r>
          </w:p>
        </w:tc>
        <w:tc>
          <w:tcPr>
            <w:tcW w:type="dxa" w:w="3231"/>
            <w:vAlign w:val="center"/>
            <w:tcMar>
              <w:top w:w="90" w:type="dxa"/>
              <w:start w:w="100" w:type="dxa"/>
              <w:bottom w:w="90" w:type="dxa"/>
              <w:end w:w="100" w:type="dxa"/>
            </w:tcMar>
            <w:tcBorders>
              <w:bottom w:val="single" w:sz="4" w:color="D9E1E6"/>
            </w:tcBorders>
          </w:tcPr>
          <w:p>
            <w:pPr>
              <w:spacing w:after="0" w:line="257" w:lineRule="auto"/>
            </w:pPr>
            <w:r>
              <w:rPr>
                <w:sz w:val="16"/>
              </w:rPr>
              <w:t>Arquivar dados Bronze</w:t>
            </w:r>
          </w:p>
        </w:tc>
        <w:tc>
          <w:tcPr>
            <w:tcW w:type="dxa" w:w="4195"/>
            <w:vAlign w:val="center"/>
            <w:tcMar>
              <w:top w:w="90" w:type="dxa"/>
              <w:start w:w="100" w:type="dxa"/>
              <w:bottom w:w="90" w:type="dxa"/>
              <w:end w:w="100" w:type="dxa"/>
            </w:tcMar>
            <w:tcBorders>
              <w:bottom w:val="single" w:sz="4" w:color="D9E1E6"/>
            </w:tcBorders>
          </w:tcPr>
          <w:p>
            <w:pPr>
              <w:spacing w:after="0" w:line="257" w:lineRule="auto"/>
            </w:pPr>
            <w:r>
              <w:rPr>
                <w:sz w:val="16"/>
              </w:rPr>
              <w:t>Restauração da faixa arquivada comprovada por teste.</w:t>
            </w:r>
          </w:p>
        </w:tc>
      </w:tr>
      <w:tr>
        <w:trPr>
          <w:cantSplit/>
        </w:trPr>
        <w:tc>
          <w:tcPr>
            <w:tcW w:type="dxa" w:w="907"/>
            <w:vAlign w:val="center"/>
            <w:tcMar>
              <w:top w:w="90" w:type="dxa"/>
              <w:start w:w="100" w:type="dxa"/>
              <w:bottom w:w="90" w:type="dxa"/>
              <w:end w:w="100" w:type="dxa"/>
            </w:tcMar>
            <w:shd w:fill="F3F6F8"/>
            <w:tcBorders>
              <w:bottom w:val="single" w:sz="4" w:color="D9E1E6"/>
            </w:tcBorders>
          </w:tcPr>
          <w:p>
            <w:pPr>
              <w:spacing w:after="0" w:line="257" w:lineRule="auto"/>
            </w:pPr>
            <w:r>
              <w:rPr>
                <w:sz w:val="16"/>
              </w:rPr>
              <w:t>AC-10</w:t>
            </w:r>
          </w:p>
        </w:tc>
        <w:tc>
          <w:tcPr>
            <w:tcW w:type="dxa" w:w="3231"/>
            <w:vAlign w:val="center"/>
            <w:tcMar>
              <w:top w:w="90" w:type="dxa"/>
              <w:start w:w="100" w:type="dxa"/>
              <w:bottom w:w="90" w:type="dxa"/>
              <w:end w:w="100" w:type="dxa"/>
            </w:tcMar>
            <w:shd w:fill="F3F6F8"/>
            <w:tcBorders>
              <w:bottom w:val="single" w:sz="4" w:color="D9E1E6"/>
            </w:tcBorders>
          </w:tcPr>
          <w:p>
            <w:pPr>
              <w:spacing w:after="0" w:line="257" w:lineRule="auto"/>
            </w:pPr>
            <w:r>
              <w:rPr>
                <w:sz w:val="16"/>
              </w:rPr>
              <w:t>Consultar linhagem de uma linha publicada</w:t>
            </w:r>
          </w:p>
        </w:tc>
        <w:tc>
          <w:tcPr>
            <w:tcW w:type="dxa" w:w="4195"/>
            <w:vAlign w:val="center"/>
            <w:tcMar>
              <w:top w:w="90" w:type="dxa"/>
              <w:start w:w="100" w:type="dxa"/>
              <w:bottom w:w="90" w:type="dxa"/>
              <w:end w:w="100" w:type="dxa"/>
            </w:tcMar>
            <w:shd w:fill="F3F6F8"/>
            <w:tcBorders>
              <w:bottom w:val="single" w:sz="4" w:color="D9E1E6"/>
            </w:tcBorders>
          </w:tcPr>
          <w:p>
            <w:pPr>
              <w:spacing w:after="0" w:line="257" w:lineRule="auto"/>
            </w:pPr>
            <w:r>
              <w:rPr>
                <w:sz w:val="16"/>
              </w:rPr>
              <w:t>Encontrar fonte, lote, contrato, execução e revisão.</w:t>
            </w:r>
          </w:p>
        </w:tc>
      </w:tr>
      <w:tr>
        <w:trPr>
          <w:cantSplit/>
        </w:trPr>
        <w:tc>
          <w:tcPr>
            <w:tcW w:type="dxa" w:w="907"/>
            <w:vAlign w:val="center"/>
            <w:tcMar>
              <w:top w:w="90" w:type="dxa"/>
              <w:start w:w="100" w:type="dxa"/>
              <w:bottom w:w="90" w:type="dxa"/>
              <w:end w:w="100" w:type="dxa"/>
            </w:tcMar>
            <w:tcBorders>
              <w:bottom w:val="single" w:sz="4" w:color="D9E1E6"/>
            </w:tcBorders>
          </w:tcPr>
          <w:p>
            <w:pPr>
              <w:spacing w:after="0" w:line="257" w:lineRule="auto"/>
            </w:pPr>
            <w:r>
              <w:rPr>
                <w:sz w:val="16"/>
              </w:rPr>
              <w:t>AC-11</w:t>
            </w:r>
          </w:p>
        </w:tc>
        <w:tc>
          <w:tcPr>
            <w:tcW w:type="dxa" w:w="3231"/>
            <w:vAlign w:val="center"/>
            <w:tcMar>
              <w:top w:w="90" w:type="dxa"/>
              <w:start w:w="100" w:type="dxa"/>
              <w:bottom w:w="90" w:type="dxa"/>
              <w:end w:w="100" w:type="dxa"/>
            </w:tcMar>
            <w:tcBorders>
              <w:bottom w:val="single" w:sz="4" w:color="D9E1E6"/>
            </w:tcBorders>
          </w:tcPr>
          <w:p>
            <w:pPr>
              <w:spacing w:after="0" w:line="257" w:lineRule="auto"/>
            </w:pPr>
            <w:r>
              <w:rPr>
                <w:sz w:val="16"/>
              </w:rPr>
              <w:t>Testar segurança entre fornecedores</w:t>
            </w:r>
          </w:p>
        </w:tc>
        <w:tc>
          <w:tcPr>
            <w:tcW w:type="dxa" w:w="4195"/>
            <w:vAlign w:val="center"/>
            <w:tcMar>
              <w:top w:w="90" w:type="dxa"/>
              <w:start w:w="100" w:type="dxa"/>
              <w:bottom w:w="90" w:type="dxa"/>
              <w:end w:w="100" w:type="dxa"/>
            </w:tcMar>
            <w:tcBorders>
              <w:bottom w:val="single" w:sz="4" w:color="D9E1E6"/>
            </w:tcBorders>
          </w:tcPr>
          <w:p>
            <w:pPr>
              <w:spacing w:after="0" w:line="257" w:lineRule="auto"/>
            </w:pPr>
            <w:r>
              <w:rPr>
                <w:sz w:val="16"/>
              </w:rPr>
              <w:t>Nenhuma identidade acessa o espaço de outra.</w:t>
            </w:r>
          </w:p>
        </w:tc>
      </w:tr>
      <w:tr>
        <w:trPr>
          <w:cantSplit/>
        </w:trPr>
        <w:tc>
          <w:tcPr>
            <w:tcW w:type="dxa" w:w="907"/>
            <w:vAlign w:val="center"/>
            <w:tcMar>
              <w:top w:w="90" w:type="dxa"/>
              <w:start w:w="100" w:type="dxa"/>
              <w:bottom w:w="90" w:type="dxa"/>
              <w:end w:w="100" w:type="dxa"/>
            </w:tcMar>
            <w:shd w:fill="F3F6F8"/>
            <w:tcBorders>
              <w:bottom w:val="single" w:sz="4" w:color="D9E1E6"/>
            </w:tcBorders>
          </w:tcPr>
          <w:p>
            <w:pPr>
              <w:spacing w:after="0" w:line="257" w:lineRule="auto"/>
            </w:pPr>
            <w:r>
              <w:rPr>
                <w:sz w:val="16"/>
              </w:rPr>
              <w:t>AC-12</w:t>
            </w:r>
          </w:p>
        </w:tc>
        <w:tc>
          <w:tcPr>
            <w:tcW w:type="dxa" w:w="3231"/>
            <w:vAlign w:val="center"/>
            <w:tcMar>
              <w:top w:w="90" w:type="dxa"/>
              <w:start w:w="100" w:type="dxa"/>
              <w:bottom w:w="90" w:type="dxa"/>
              <w:end w:w="100" w:type="dxa"/>
            </w:tcMar>
            <w:shd w:fill="F3F6F8"/>
            <w:tcBorders>
              <w:bottom w:val="single" w:sz="4" w:color="D9E1E6"/>
            </w:tcBorders>
          </w:tcPr>
          <w:p>
            <w:pPr>
              <w:spacing w:after="0" w:line="257" w:lineRule="auto"/>
            </w:pPr>
            <w:r>
              <w:rPr>
                <w:sz w:val="16"/>
              </w:rPr>
              <w:t>Medir custos e freshness</w:t>
            </w:r>
          </w:p>
        </w:tc>
        <w:tc>
          <w:tcPr>
            <w:tcW w:type="dxa" w:w="4195"/>
            <w:vAlign w:val="center"/>
            <w:tcMar>
              <w:top w:w="90" w:type="dxa"/>
              <w:start w:w="100" w:type="dxa"/>
              <w:bottom w:w="90" w:type="dxa"/>
              <w:end w:w="100" w:type="dxa"/>
            </w:tcMar>
            <w:shd w:fill="F3F6F8"/>
            <w:tcBorders>
              <w:bottom w:val="single" w:sz="4" w:color="D9E1E6"/>
            </w:tcBorders>
          </w:tcPr>
          <w:p>
            <w:pPr>
              <w:spacing w:after="0" w:line="257" w:lineRule="auto"/>
            </w:pPr>
            <w:r>
              <w:rPr>
                <w:sz w:val="16"/>
              </w:rPr>
              <w:t>Indicadores disponíveis com unidade e método claros.</w:t>
            </w:r>
          </w:p>
        </w:tc>
      </w:tr>
    </w:tbl>
    <w:p>
      <w:pPr>
        <w:spacing w:after="0"/>
      </w:pPr>
    </w:p>
    <w:p>
      <w:pPr>
        <w:pStyle w:val="Heading1"/>
      </w:pPr>
      <w:r>
        <w:t>24. Decisões arquiteturais (ADRs)</w:t>
      </w:r>
    </w:p>
    <w:p>
      <w:pPr/>
      <w:r>
        <w:t>As ADRs registram propostas adotadas nesta primeira versão e devem evoluir com a evidência de laboratório. Mudanças são autorizadas por nova decisão, não por substituição silenciosa de um documento.</w:t>
      </w:r>
    </w:p>
    <w:tbl>
      <w:tblPr>
        <w:tblW w:type="auto" w:w="0"/>
        <w:jc w:val="center"/>
        <w:tblLayout w:type="fixed"/>
        <w:tblLook w:firstColumn="1" w:firstRow="1" w:lastColumn="0" w:lastRow="0" w:noHBand="0" w:noVBand="1" w:val="04A0"/>
      </w:tblPr>
      <w:tblGrid>
        <w:gridCol w:w="1134"/>
        <w:gridCol w:w="3685"/>
        <w:gridCol w:w="3515"/>
      </w:tblGrid>
      <w:tr>
        <w:trPr>
          <w:tblHeader w:val="true"/>
          <w:cantSplit/>
        </w:trPr>
        <w:tc>
          <w:tcPr>
            <w:tcW w:type="dxa" w:w="3184"/>
            <w:shd w:fill="142439"/>
            <w:tcMar>
              <w:top w:w="95" w:type="dxa"/>
              <w:start w:w="100" w:type="dxa"/>
              <w:bottom w:w="95" w:type="dxa"/>
              <w:end w:w="100" w:type="dxa"/>
            </w:tcMar>
          </w:tcPr>
          <w:p>
            <w:pPr>
              <w:spacing w:after="0"/>
            </w:pPr>
            <w:r>
              <w:rPr>
                <w:b/>
                <w:color w:val="FFFFFF"/>
                <w:sz w:val="16"/>
              </w:rPr>
              <w:t>ADR</w:t>
            </w:r>
          </w:p>
        </w:tc>
        <w:tc>
          <w:tcPr>
            <w:tcW w:type="dxa" w:w="3184"/>
            <w:shd w:fill="142439"/>
            <w:tcMar>
              <w:top w:w="95" w:type="dxa"/>
              <w:start w:w="100" w:type="dxa"/>
              <w:bottom w:w="95" w:type="dxa"/>
              <w:end w:w="100" w:type="dxa"/>
            </w:tcMar>
          </w:tcPr>
          <w:p>
            <w:pPr>
              <w:spacing w:after="0"/>
            </w:pPr>
            <w:r>
              <w:rPr>
                <w:b/>
                <w:color w:val="FFFFFF"/>
                <w:sz w:val="16"/>
              </w:rPr>
              <w:t>Decisão</w:t>
            </w:r>
          </w:p>
        </w:tc>
        <w:tc>
          <w:tcPr>
            <w:tcW w:type="dxa" w:w="3184"/>
            <w:shd w:fill="142439"/>
            <w:tcMar>
              <w:top w:w="95" w:type="dxa"/>
              <w:start w:w="100" w:type="dxa"/>
              <w:bottom w:w="95" w:type="dxa"/>
              <w:end w:w="100" w:type="dxa"/>
            </w:tcMar>
          </w:tcPr>
          <w:p>
            <w:pPr>
              <w:spacing w:after="0"/>
            </w:pPr>
            <w:r>
              <w:rPr>
                <w:b/>
                <w:color w:val="FFFFFF"/>
                <w:sz w:val="16"/>
              </w:rPr>
              <w:t>Motivo</w:t>
            </w:r>
          </w:p>
        </w:tc>
      </w:tr>
      <w:tr>
        <w:trPr>
          <w:cantSplit/>
        </w:trPr>
        <w:tc>
          <w:tcPr>
            <w:tcW w:type="dxa" w:w="1134"/>
            <w:vAlign w:val="center"/>
            <w:tcMar>
              <w:top w:w="90" w:type="dxa"/>
              <w:start w:w="100" w:type="dxa"/>
              <w:bottom w:w="90" w:type="dxa"/>
              <w:end w:w="100" w:type="dxa"/>
            </w:tcMar>
            <w:tcBorders>
              <w:bottom w:val="single" w:sz="4" w:color="D9E1E6"/>
            </w:tcBorders>
          </w:tcPr>
          <w:p>
            <w:pPr>
              <w:spacing w:after="0" w:line="257" w:lineRule="auto"/>
            </w:pPr>
            <w:r>
              <w:rPr>
                <w:sz w:val="16"/>
              </w:rPr>
              <w:t>ADR-001</w:t>
            </w:r>
          </w:p>
        </w:tc>
        <w:tc>
          <w:tcPr>
            <w:tcW w:type="dxa" w:w="3685"/>
            <w:vAlign w:val="center"/>
            <w:tcMar>
              <w:top w:w="90" w:type="dxa"/>
              <w:start w:w="100" w:type="dxa"/>
              <w:bottom w:w="90" w:type="dxa"/>
              <w:end w:w="100" w:type="dxa"/>
            </w:tcMar>
            <w:tcBorders>
              <w:bottom w:val="single" w:sz="4" w:color="D9E1E6"/>
            </w:tcBorders>
          </w:tcPr>
          <w:p>
            <w:pPr>
              <w:spacing w:after="0" w:line="257" w:lineRule="auto"/>
            </w:pPr>
            <w:r>
              <w:rPr>
                <w:sz w:val="16"/>
              </w:rPr>
              <w:t>Separar planos de dados, controle e governança</w:t>
            </w:r>
          </w:p>
        </w:tc>
        <w:tc>
          <w:tcPr>
            <w:tcW w:type="dxa" w:w="3515"/>
            <w:vAlign w:val="center"/>
            <w:tcMar>
              <w:top w:w="90" w:type="dxa"/>
              <w:start w:w="100" w:type="dxa"/>
              <w:bottom w:w="90" w:type="dxa"/>
              <w:end w:w="100" w:type="dxa"/>
            </w:tcMar>
            <w:tcBorders>
              <w:bottom w:val="single" w:sz="4" w:color="D9E1E6"/>
            </w:tcBorders>
          </w:tcPr>
          <w:p>
            <w:pPr>
              <w:spacing w:after="0" w:line="257" w:lineRule="auto"/>
            </w:pPr>
            <w:r>
              <w:rPr>
                <w:sz w:val="16"/>
              </w:rPr>
              <w:t>Responsabilidades observáveis e desacoplamento.</w:t>
            </w:r>
          </w:p>
        </w:tc>
      </w:tr>
      <w:tr>
        <w:trPr>
          <w:cantSplit/>
        </w:trPr>
        <w:tc>
          <w:tcPr>
            <w:tcW w:type="dxa" w:w="1134"/>
            <w:vAlign w:val="center"/>
            <w:tcMar>
              <w:top w:w="90" w:type="dxa"/>
              <w:start w:w="100" w:type="dxa"/>
              <w:bottom w:w="90" w:type="dxa"/>
              <w:end w:w="100" w:type="dxa"/>
            </w:tcMar>
            <w:shd w:fill="F3F6F8"/>
            <w:tcBorders>
              <w:bottom w:val="single" w:sz="4" w:color="D9E1E6"/>
            </w:tcBorders>
          </w:tcPr>
          <w:p>
            <w:pPr>
              <w:spacing w:after="0" w:line="257" w:lineRule="auto"/>
            </w:pPr>
            <w:r>
              <w:rPr>
                <w:sz w:val="16"/>
              </w:rPr>
              <w:t>ADR-002</w:t>
            </w:r>
          </w:p>
        </w:tc>
        <w:tc>
          <w:tcPr>
            <w:tcW w:type="dxa" w:w="3685"/>
            <w:vAlign w:val="center"/>
            <w:tcMar>
              <w:top w:w="90" w:type="dxa"/>
              <w:start w:w="100" w:type="dxa"/>
              <w:bottom w:w="90" w:type="dxa"/>
              <w:end w:w="100" w:type="dxa"/>
            </w:tcMar>
            <w:shd w:fill="F3F6F8"/>
            <w:tcBorders>
              <w:bottom w:val="single" w:sz="4" w:color="D9E1E6"/>
            </w:tcBorders>
          </w:tcPr>
          <w:p>
            <w:pPr>
              <w:spacing w:after="0" w:line="257" w:lineRule="auto"/>
            </w:pPr>
            <w:r>
              <w:rPr>
                <w:sz w:val="16"/>
              </w:rPr>
              <w:t>Recepção multicanal antes da Landing</w:t>
            </w:r>
          </w:p>
        </w:tc>
        <w:tc>
          <w:tcPr>
            <w:tcW w:type="dxa" w:w="3515"/>
            <w:vAlign w:val="center"/>
            <w:tcMar>
              <w:top w:w="90" w:type="dxa"/>
              <w:start w:w="100" w:type="dxa"/>
              <w:bottom w:w="90" w:type="dxa"/>
              <w:end w:w="100" w:type="dxa"/>
            </w:tcMar>
            <w:shd w:fill="F3F6F8"/>
            <w:tcBorders>
              <w:bottom w:val="single" w:sz="4" w:color="D9E1E6"/>
            </w:tcBorders>
          </w:tcPr>
          <w:p>
            <w:pPr>
              <w:spacing w:after="0" w:line="257" w:lineRule="auto"/>
            </w:pPr>
            <w:r>
              <w:rPr>
                <w:sz w:val="16"/>
              </w:rPr>
              <w:t>Redução de conectores específicos e centralização do aceite.</w:t>
            </w:r>
          </w:p>
        </w:tc>
      </w:tr>
      <w:tr>
        <w:trPr>
          <w:cantSplit/>
        </w:trPr>
        <w:tc>
          <w:tcPr>
            <w:tcW w:type="dxa" w:w="1134"/>
            <w:vAlign w:val="center"/>
            <w:tcMar>
              <w:top w:w="90" w:type="dxa"/>
              <w:start w:w="100" w:type="dxa"/>
              <w:bottom w:w="90" w:type="dxa"/>
              <w:end w:w="100" w:type="dxa"/>
            </w:tcMar>
            <w:tcBorders>
              <w:bottom w:val="single" w:sz="4" w:color="D9E1E6"/>
            </w:tcBorders>
          </w:tcPr>
          <w:p>
            <w:pPr>
              <w:spacing w:after="0" w:line="257" w:lineRule="auto"/>
            </w:pPr>
            <w:r>
              <w:rPr>
                <w:sz w:val="16"/>
              </w:rPr>
              <w:t>ADR-003</w:t>
            </w:r>
          </w:p>
        </w:tc>
        <w:tc>
          <w:tcPr>
            <w:tcW w:type="dxa" w:w="3685"/>
            <w:vAlign w:val="center"/>
            <w:tcMar>
              <w:top w:w="90" w:type="dxa"/>
              <w:start w:w="100" w:type="dxa"/>
              <w:bottom w:w="90" w:type="dxa"/>
              <w:end w:w="100" w:type="dxa"/>
            </w:tcMar>
            <w:tcBorders>
              <w:bottom w:val="single" w:sz="4" w:color="D9E1E6"/>
            </w:tcBorders>
          </w:tcPr>
          <w:p>
            <w:pPr>
              <w:spacing w:after="0" w:line="257" w:lineRule="auto"/>
            </w:pPr>
            <w:r>
              <w:rPr>
                <w:sz w:val="16"/>
              </w:rPr>
              <w:t>Full inicial consistente para fontes de estado</w:t>
            </w:r>
          </w:p>
        </w:tc>
        <w:tc>
          <w:tcPr>
            <w:tcW w:type="dxa" w:w="3515"/>
            <w:vAlign w:val="center"/>
            <w:tcMar>
              <w:top w:w="90" w:type="dxa"/>
              <w:start w:w="100" w:type="dxa"/>
              <w:bottom w:w="90" w:type="dxa"/>
              <w:end w:w="100" w:type="dxa"/>
            </w:tcMar>
            <w:tcBorders>
              <w:bottom w:val="single" w:sz="4" w:color="D9E1E6"/>
            </w:tcBorders>
          </w:tcPr>
          <w:p>
            <w:pPr>
              <w:spacing w:after="0" w:line="257" w:lineRule="auto"/>
            </w:pPr>
            <w:r>
              <w:rPr>
                <w:sz w:val="16"/>
              </w:rPr>
              <w:t>Estabelecer baseline de reconciliação.</w:t>
            </w:r>
          </w:p>
        </w:tc>
      </w:tr>
      <w:tr>
        <w:trPr>
          <w:cantSplit/>
        </w:trPr>
        <w:tc>
          <w:tcPr>
            <w:tcW w:type="dxa" w:w="1134"/>
            <w:vAlign w:val="center"/>
            <w:tcMar>
              <w:top w:w="90" w:type="dxa"/>
              <w:start w:w="100" w:type="dxa"/>
              <w:bottom w:w="90" w:type="dxa"/>
              <w:end w:w="100" w:type="dxa"/>
            </w:tcMar>
            <w:shd w:fill="F3F6F8"/>
            <w:tcBorders>
              <w:bottom w:val="single" w:sz="4" w:color="D9E1E6"/>
            </w:tcBorders>
          </w:tcPr>
          <w:p>
            <w:pPr>
              <w:spacing w:after="0" w:line="257" w:lineRule="auto"/>
            </w:pPr>
            <w:r>
              <w:rPr>
                <w:sz w:val="16"/>
              </w:rPr>
              <w:t>ADR-004</w:t>
            </w:r>
          </w:p>
        </w:tc>
        <w:tc>
          <w:tcPr>
            <w:tcW w:type="dxa" w:w="3685"/>
            <w:vAlign w:val="center"/>
            <w:tcMar>
              <w:top w:w="90" w:type="dxa"/>
              <w:start w:w="100" w:type="dxa"/>
              <w:bottom w:w="90" w:type="dxa"/>
              <w:end w:w="100" w:type="dxa"/>
            </w:tcMar>
            <w:shd w:fill="F3F6F8"/>
            <w:tcBorders>
              <w:bottom w:val="single" w:sz="4" w:color="D9E1E6"/>
            </w:tcBorders>
          </w:tcPr>
          <w:p>
            <w:pPr>
              <w:spacing w:after="0" w:line="257" w:lineRule="auto"/>
            </w:pPr>
            <w:r>
              <w:rPr>
                <w:sz w:val="16"/>
              </w:rPr>
              <w:t>Bronze de captura append-only por padrão</w:t>
            </w:r>
          </w:p>
        </w:tc>
        <w:tc>
          <w:tcPr>
            <w:tcW w:type="dxa" w:w="3515"/>
            <w:vAlign w:val="center"/>
            <w:tcMar>
              <w:top w:w="90" w:type="dxa"/>
              <w:start w:w="100" w:type="dxa"/>
              <w:bottom w:w="90" w:type="dxa"/>
              <w:end w:w="100" w:type="dxa"/>
            </w:tcMar>
            <w:shd w:fill="F3F6F8"/>
            <w:tcBorders>
              <w:bottom w:val="single" w:sz="4" w:color="D9E1E6"/>
            </w:tcBorders>
          </w:tcPr>
          <w:p>
            <w:pPr>
              <w:spacing w:after="0" w:line="257" w:lineRule="auto"/>
            </w:pPr>
            <w:r>
              <w:rPr>
                <w:sz w:val="16"/>
              </w:rPr>
              <w:t>Replay e evidência histórica.</w:t>
            </w:r>
          </w:p>
        </w:tc>
      </w:tr>
      <w:tr>
        <w:trPr>
          <w:cantSplit/>
        </w:trPr>
        <w:tc>
          <w:tcPr>
            <w:tcW w:type="dxa" w:w="1134"/>
            <w:vAlign w:val="center"/>
            <w:tcMar>
              <w:top w:w="90" w:type="dxa"/>
              <w:start w:w="100" w:type="dxa"/>
              <w:bottom w:w="90" w:type="dxa"/>
              <w:end w:w="100" w:type="dxa"/>
            </w:tcMar>
            <w:tcBorders>
              <w:bottom w:val="single" w:sz="4" w:color="D9E1E6"/>
            </w:tcBorders>
          </w:tcPr>
          <w:p>
            <w:pPr>
              <w:spacing w:after="0" w:line="257" w:lineRule="auto"/>
            </w:pPr>
            <w:r>
              <w:rPr>
                <w:sz w:val="16"/>
              </w:rPr>
              <w:t>ADR-005</w:t>
            </w:r>
          </w:p>
        </w:tc>
        <w:tc>
          <w:tcPr>
            <w:tcW w:type="dxa" w:w="3685"/>
            <w:vAlign w:val="center"/>
            <w:tcMar>
              <w:top w:w="90" w:type="dxa"/>
              <w:start w:w="100" w:type="dxa"/>
              <w:bottom w:w="90" w:type="dxa"/>
              <w:end w:w="100" w:type="dxa"/>
            </w:tcMar>
            <w:tcBorders>
              <w:bottom w:val="single" w:sz="4" w:color="D9E1E6"/>
            </w:tcBorders>
          </w:tcPr>
          <w:p>
            <w:pPr>
              <w:spacing w:after="0" w:line="257" w:lineRule="auto"/>
            </w:pPr>
            <w:r>
              <w:rPr>
                <w:sz w:val="16"/>
              </w:rPr>
              <w:t>Silver Técnica persistida e neutra</w:t>
            </w:r>
          </w:p>
        </w:tc>
        <w:tc>
          <w:tcPr>
            <w:tcW w:type="dxa" w:w="3515"/>
            <w:vAlign w:val="center"/>
            <w:tcMar>
              <w:top w:w="90" w:type="dxa"/>
              <w:start w:w="100" w:type="dxa"/>
              <w:bottom w:w="90" w:type="dxa"/>
              <w:end w:w="100" w:type="dxa"/>
            </w:tcMar>
            <w:tcBorders>
              <w:bottom w:val="single" w:sz="4" w:color="D9E1E6"/>
            </w:tcBorders>
          </w:tcPr>
          <w:p>
            <w:pPr>
              <w:spacing w:after="0" w:line="257" w:lineRule="auto"/>
            </w:pPr>
            <w:r>
              <w:rPr>
                <w:sz w:val="16"/>
              </w:rPr>
              <w:t>Reuso, qualidade e fronteira de governança.</w:t>
            </w:r>
          </w:p>
        </w:tc>
      </w:tr>
      <w:tr>
        <w:trPr>
          <w:cantSplit/>
        </w:trPr>
        <w:tc>
          <w:tcPr>
            <w:tcW w:type="dxa" w:w="1134"/>
            <w:vAlign w:val="center"/>
            <w:tcMar>
              <w:top w:w="90" w:type="dxa"/>
              <w:start w:w="100" w:type="dxa"/>
              <w:bottom w:w="90" w:type="dxa"/>
              <w:end w:w="100" w:type="dxa"/>
            </w:tcMar>
            <w:shd w:fill="F3F6F8"/>
            <w:tcBorders>
              <w:bottom w:val="single" w:sz="4" w:color="D9E1E6"/>
            </w:tcBorders>
          </w:tcPr>
          <w:p>
            <w:pPr>
              <w:spacing w:after="0" w:line="257" w:lineRule="auto"/>
            </w:pPr>
            <w:r>
              <w:rPr>
                <w:sz w:val="16"/>
              </w:rPr>
              <w:t>ADR-006</w:t>
            </w:r>
          </w:p>
        </w:tc>
        <w:tc>
          <w:tcPr>
            <w:tcW w:type="dxa" w:w="3685"/>
            <w:vAlign w:val="center"/>
            <w:tcMar>
              <w:top w:w="90" w:type="dxa"/>
              <w:start w:w="100" w:type="dxa"/>
              <w:bottom w:w="90" w:type="dxa"/>
              <w:end w:w="100" w:type="dxa"/>
            </w:tcMar>
            <w:shd w:fill="F3F6F8"/>
            <w:tcBorders>
              <w:bottom w:val="single" w:sz="4" w:color="D9E1E6"/>
            </w:tcBorders>
          </w:tcPr>
          <w:p>
            <w:pPr>
              <w:spacing w:after="0" w:line="257" w:lineRule="auto"/>
            </w:pPr>
            <w:r>
              <w:rPr>
                <w:sz w:val="16"/>
              </w:rPr>
              <w:t>Silver Analítica por domínio</w:t>
            </w:r>
          </w:p>
        </w:tc>
        <w:tc>
          <w:tcPr>
            <w:tcW w:type="dxa" w:w="3515"/>
            <w:vAlign w:val="center"/>
            <w:tcMar>
              <w:top w:w="90" w:type="dxa"/>
              <w:start w:w="100" w:type="dxa"/>
              <w:bottom w:w="90" w:type="dxa"/>
              <w:end w:w="100" w:type="dxa"/>
            </w:tcMar>
            <w:shd w:fill="F3F6F8"/>
            <w:tcBorders>
              <w:bottom w:val="single" w:sz="4" w:color="D9E1E6"/>
            </w:tcBorders>
          </w:tcPr>
          <w:p>
            <w:pPr>
              <w:spacing w:after="0" w:line="257" w:lineRule="auto"/>
            </w:pPr>
            <w:r>
              <w:rPr>
                <w:sz w:val="16"/>
              </w:rPr>
              <w:t>Evitar enviesar a entidade técnica compartilhada.</w:t>
            </w:r>
          </w:p>
        </w:tc>
      </w:tr>
      <w:tr>
        <w:trPr>
          <w:cantSplit/>
        </w:trPr>
        <w:tc>
          <w:tcPr>
            <w:tcW w:type="dxa" w:w="1134"/>
            <w:vAlign w:val="center"/>
            <w:tcMar>
              <w:top w:w="90" w:type="dxa"/>
              <w:start w:w="100" w:type="dxa"/>
              <w:bottom w:w="90" w:type="dxa"/>
              <w:end w:w="100" w:type="dxa"/>
            </w:tcMar>
            <w:tcBorders>
              <w:bottom w:val="single" w:sz="4" w:color="D9E1E6"/>
            </w:tcBorders>
          </w:tcPr>
          <w:p>
            <w:pPr>
              <w:spacing w:after="0" w:line="257" w:lineRule="auto"/>
            </w:pPr>
            <w:r>
              <w:rPr>
                <w:sz w:val="16"/>
              </w:rPr>
              <w:t>ADR-007</w:t>
            </w:r>
          </w:p>
        </w:tc>
        <w:tc>
          <w:tcPr>
            <w:tcW w:type="dxa" w:w="3685"/>
            <w:vAlign w:val="center"/>
            <w:tcMar>
              <w:top w:w="90" w:type="dxa"/>
              <w:start w:w="100" w:type="dxa"/>
              <w:bottom w:w="90" w:type="dxa"/>
              <w:end w:w="100" w:type="dxa"/>
            </w:tcMar>
            <w:tcBorders>
              <w:bottom w:val="single" w:sz="4" w:color="D9E1E6"/>
            </w:tcBorders>
          </w:tcPr>
          <w:p>
            <w:pPr>
              <w:spacing w:after="0" w:line="257" w:lineRule="auto"/>
            </w:pPr>
            <w:r>
              <w:rPr>
                <w:sz w:val="16"/>
              </w:rPr>
              <w:t>Gold orientada ao grão e semântica</w:t>
            </w:r>
          </w:p>
        </w:tc>
        <w:tc>
          <w:tcPr>
            <w:tcW w:type="dxa" w:w="3515"/>
            <w:vAlign w:val="center"/>
            <w:tcMar>
              <w:top w:w="90" w:type="dxa"/>
              <w:start w:w="100" w:type="dxa"/>
              <w:bottom w:w="90" w:type="dxa"/>
              <w:end w:w="100" w:type="dxa"/>
            </w:tcMar>
            <w:tcBorders>
              <w:bottom w:val="single" w:sz="4" w:color="D9E1E6"/>
            </w:tcBorders>
          </w:tcPr>
          <w:p>
            <w:pPr>
              <w:spacing w:after="0" w:line="257" w:lineRule="auto"/>
            </w:pPr>
            <w:r>
              <w:rPr>
                <w:sz w:val="16"/>
              </w:rPr>
              <w:t>Evitar modelagem apenas pelo formato da fonte.</w:t>
            </w:r>
          </w:p>
        </w:tc>
      </w:tr>
      <w:tr>
        <w:trPr>
          <w:cantSplit/>
        </w:trPr>
        <w:tc>
          <w:tcPr>
            <w:tcW w:type="dxa" w:w="1134"/>
            <w:vAlign w:val="center"/>
            <w:tcMar>
              <w:top w:w="90" w:type="dxa"/>
              <w:start w:w="100" w:type="dxa"/>
              <w:bottom w:w="90" w:type="dxa"/>
              <w:end w:w="100" w:type="dxa"/>
            </w:tcMar>
            <w:shd w:fill="F3F6F8"/>
            <w:tcBorders>
              <w:bottom w:val="single" w:sz="4" w:color="D9E1E6"/>
            </w:tcBorders>
          </w:tcPr>
          <w:p>
            <w:pPr>
              <w:spacing w:after="0" w:line="257" w:lineRule="auto"/>
            </w:pPr>
            <w:r>
              <w:rPr>
                <w:sz w:val="16"/>
              </w:rPr>
              <w:t>ADR-008</w:t>
            </w:r>
          </w:p>
        </w:tc>
        <w:tc>
          <w:tcPr>
            <w:tcW w:type="dxa" w:w="3685"/>
            <w:vAlign w:val="center"/>
            <w:tcMar>
              <w:top w:w="90" w:type="dxa"/>
              <w:start w:w="100" w:type="dxa"/>
              <w:bottom w:w="90" w:type="dxa"/>
              <w:end w:w="100" w:type="dxa"/>
            </w:tcMar>
            <w:shd w:fill="F3F6F8"/>
            <w:tcBorders>
              <w:bottom w:val="single" w:sz="4" w:color="D9E1E6"/>
            </w:tcBorders>
          </w:tcPr>
          <w:p>
            <w:pPr>
              <w:spacing w:after="0" w:line="257" w:lineRule="auto"/>
            </w:pPr>
            <w:r>
              <w:rPr>
                <w:sz w:val="16"/>
              </w:rPr>
              <w:t>Quarentenas registram rejeições de forma explícita</w:t>
            </w:r>
          </w:p>
        </w:tc>
        <w:tc>
          <w:tcPr>
            <w:tcW w:type="dxa" w:w="3515"/>
            <w:vAlign w:val="center"/>
            <w:tcMar>
              <w:top w:w="90" w:type="dxa"/>
              <w:start w:w="100" w:type="dxa"/>
              <w:bottom w:w="90" w:type="dxa"/>
              <w:end w:w="100" w:type="dxa"/>
            </w:tcMar>
            <w:shd w:fill="F3F6F8"/>
            <w:tcBorders>
              <w:bottom w:val="single" w:sz="4" w:color="D9E1E6"/>
            </w:tcBorders>
          </w:tcPr>
          <w:p>
            <w:pPr>
              <w:spacing w:after="0" w:line="257" w:lineRule="auto"/>
            </w:pPr>
            <w:r>
              <w:rPr>
                <w:sz w:val="16"/>
              </w:rPr>
              <w:t>Nunca descartar erro sem rastro.</w:t>
            </w:r>
          </w:p>
        </w:tc>
      </w:tr>
      <w:tr>
        <w:trPr>
          <w:cantSplit/>
        </w:trPr>
        <w:tc>
          <w:tcPr>
            <w:tcW w:type="dxa" w:w="1134"/>
            <w:vAlign w:val="center"/>
            <w:tcMar>
              <w:top w:w="90" w:type="dxa"/>
              <w:start w:w="100" w:type="dxa"/>
              <w:bottom w:w="90" w:type="dxa"/>
              <w:end w:w="100" w:type="dxa"/>
            </w:tcMar>
            <w:tcBorders>
              <w:bottom w:val="single" w:sz="4" w:color="D9E1E6"/>
            </w:tcBorders>
          </w:tcPr>
          <w:p>
            <w:pPr>
              <w:spacing w:after="0" w:line="257" w:lineRule="auto"/>
            </w:pPr>
            <w:r>
              <w:rPr>
                <w:sz w:val="16"/>
              </w:rPr>
              <w:t>ADR-009</w:t>
            </w:r>
          </w:p>
        </w:tc>
        <w:tc>
          <w:tcPr>
            <w:tcW w:type="dxa" w:w="3685"/>
            <w:vAlign w:val="center"/>
            <w:tcMar>
              <w:top w:w="90" w:type="dxa"/>
              <w:start w:w="100" w:type="dxa"/>
              <w:bottom w:w="90" w:type="dxa"/>
              <w:end w:w="100" w:type="dxa"/>
            </w:tcMar>
            <w:tcBorders>
              <w:bottom w:val="single" w:sz="4" w:color="D9E1E6"/>
            </w:tcBorders>
          </w:tcPr>
          <w:p>
            <w:pPr>
              <w:spacing w:after="0" w:line="257" w:lineRule="auto"/>
            </w:pPr>
            <w:r>
              <w:rPr>
                <w:sz w:val="16"/>
              </w:rPr>
              <w:t>Publicação por revisão aprovada</w:t>
            </w:r>
          </w:p>
        </w:tc>
        <w:tc>
          <w:tcPr>
            <w:tcW w:type="dxa" w:w="3515"/>
            <w:vAlign w:val="center"/>
            <w:tcMar>
              <w:top w:w="90" w:type="dxa"/>
              <w:start w:w="100" w:type="dxa"/>
              <w:bottom w:w="90" w:type="dxa"/>
              <w:end w:w="100" w:type="dxa"/>
            </w:tcMar>
            <w:tcBorders>
              <w:bottom w:val="single" w:sz="4" w:color="D9E1E6"/>
            </w:tcBorders>
          </w:tcPr>
          <w:p>
            <w:pPr>
              <w:spacing w:after="0" w:line="257" w:lineRule="auto"/>
            </w:pPr>
            <w:r>
              <w:rPr>
                <w:sz w:val="16"/>
              </w:rPr>
              <w:t>Proteger consumidores de resultados parciais.</w:t>
            </w:r>
          </w:p>
        </w:tc>
      </w:tr>
      <w:tr>
        <w:trPr>
          <w:cantSplit/>
        </w:trPr>
        <w:tc>
          <w:tcPr>
            <w:tcW w:type="dxa" w:w="1134"/>
            <w:vAlign w:val="center"/>
            <w:tcMar>
              <w:top w:w="90" w:type="dxa"/>
              <w:start w:w="100" w:type="dxa"/>
              <w:bottom w:w="90" w:type="dxa"/>
              <w:end w:w="100" w:type="dxa"/>
            </w:tcMar>
            <w:shd w:fill="F3F6F8"/>
            <w:tcBorders>
              <w:bottom w:val="single" w:sz="4" w:color="D9E1E6"/>
            </w:tcBorders>
          </w:tcPr>
          <w:p>
            <w:pPr>
              <w:spacing w:after="0" w:line="257" w:lineRule="auto"/>
            </w:pPr>
            <w:r>
              <w:rPr>
                <w:sz w:val="16"/>
              </w:rPr>
              <w:t>ADR-010</w:t>
            </w:r>
          </w:p>
        </w:tc>
        <w:tc>
          <w:tcPr>
            <w:tcW w:type="dxa" w:w="3685"/>
            <w:vAlign w:val="center"/>
            <w:tcMar>
              <w:top w:w="90" w:type="dxa"/>
              <w:start w:w="100" w:type="dxa"/>
              <w:bottom w:w="90" w:type="dxa"/>
              <w:end w:w="100" w:type="dxa"/>
            </w:tcMar>
            <w:shd w:fill="F3F6F8"/>
            <w:tcBorders>
              <w:bottom w:val="single" w:sz="4" w:color="D9E1E6"/>
            </w:tcBorders>
          </w:tcPr>
          <w:p>
            <w:pPr>
              <w:spacing w:after="0" w:line="257" w:lineRule="auto"/>
            </w:pPr>
            <w:r>
              <w:rPr>
                <w:sz w:val="16"/>
              </w:rPr>
              <w:t>Replay como contrato operacional</w:t>
            </w:r>
          </w:p>
        </w:tc>
        <w:tc>
          <w:tcPr>
            <w:tcW w:type="dxa" w:w="3515"/>
            <w:vAlign w:val="center"/>
            <w:tcMar>
              <w:top w:w="90" w:type="dxa"/>
              <w:start w:w="100" w:type="dxa"/>
              <w:bottom w:w="90" w:type="dxa"/>
              <w:end w:w="100" w:type="dxa"/>
            </w:tcMar>
            <w:shd w:fill="F3F6F8"/>
            <w:tcBorders>
              <w:bottom w:val="single" w:sz="4" w:color="D9E1E6"/>
            </w:tcBorders>
          </w:tcPr>
          <w:p>
            <w:pPr>
              <w:spacing w:after="0" w:line="257" w:lineRule="auto"/>
            </w:pPr>
            <w:r>
              <w:rPr>
                <w:sz w:val="16"/>
              </w:rPr>
              <w:t>Recuperação previsível por menor escopo.</w:t>
            </w:r>
          </w:p>
        </w:tc>
      </w:tr>
      <w:tr>
        <w:trPr>
          <w:cantSplit/>
        </w:trPr>
        <w:tc>
          <w:tcPr>
            <w:tcW w:type="dxa" w:w="1134"/>
            <w:vAlign w:val="center"/>
            <w:tcMar>
              <w:top w:w="90" w:type="dxa"/>
              <w:start w:w="100" w:type="dxa"/>
              <w:bottom w:w="90" w:type="dxa"/>
              <w:end w:w="100" w:type="dxa"/>
            </w:tcMar>
            <w:tcBorders>
              <w:bottom w:val="single" w:sz="4" w:color="D9E1E6"/>
            </w:tcBorders>
          </w:tcPr>
          <w:p>
            <w:pPr>
              <w:spacing w:after="0" w:line="257" w:lineRule="auto"/>
            </w:pPr>
            <w:r>
              <w:rPr>
                <w:sz w:val="16"/>
              </w:rPr>
              <w:t>ADR-011</w:t>
            </w:r>
          </w:p>
        </w:tc>
        <w:tc>
          <w:tcPr>
            <w:tcW w:type="dxa" w:w="3685"/>
            <w:vAlign w:val="center"/>
            <w:tcMar>
              <w:top w:w="90" w:type="dxa"/>
              <w:start w:w="100" w:type="dxa"/>
              <w:bottom w:w="90" w:type="dxa"/>
              <w:end w:w="100" w:type="dxa"/>
            </w:tcMar>
            <w:tcBorders>
              <w:bottom w:val="single" w:sz="4" w:color="D9E1E6"/>
            </w:tcBorders>
          </w:tcPr>
          <w:p>
            <w:pPr>
              <w:spacing w:after="0" w:line="257" w:lineRule="auto"/>
            </w:pPr>
            <w:r>
              <w:rPr>
                <w:sz w:val="16"/>
              </w:rPr>
              <w:t>Retenção por reconstrução e obrigação</w:t>
            </w:r>
          </w:p>
        </w:tc>
        <w:tc>
          <w:tcPr>
            <w:tcW w:type="dxa" w:w="3515"/>
            <w:vAlign w:val="center"/>
            <w:tcMar>
              <w:top w:w="90" w:type="dxa"/>
              <w:start w:w="100" w:type="dxa"/>
              <w:bottom w:w="90" w:type="dxa"/>
              <w:end w:w="100" w:type="dxa"/>
            </w:tcMar>
            <w:tcBorders>
              <w:bottom w:val="single" w:sz="4" w:color="D9E1E6"/>
            </w:tcBorders>
          </w:tcPr>
          <w:p>
            <w:pPr>
              <w:spacing w:after="0" w:line="257" w:lineRule="auto"/>
            </w:pPr>
            <w:r>
              <w:rPr>
                <w:sz w:val="16"/>
              </w:rPr>
              <w:t>Histórico não pode sumir por otimização de storage.</w:t>
            </w:r>
          </w:p>
        </w:tc>
      </w:tr>
      <w:tr>
        <w:trPr>
          <w:cantSplit/>
        </w:trPr>
        <w:tc>
          <w:tcPr>
            <w:tcW w:type="dxa" w:w="1134"/>
            <w:vAlign w:val="center"/>
            <w:tcMar>
              <w:top w:w="90" w:type="dxa"/>
              <w:start w:w="100" w:type="dxa"/>
              <w:bottom w:w="90" w:type="dxa"/>
              <w:end w:w="100" w:type="dxa"/>
            </w:tcMar>
            <w:shd w:fill="F3F6F8"/>
            <w:tcBorders>
              <w:bottom w:val="single" w:sz="4" w:color="D9E1E6"/>
            </w:tcBorders>
          </w:tcPr>
          <w:p>
            <w:pPr>
              <w:spacing w:after="0" w:line="257" w:lineRule="auto"/>
            </w:pPr>
            <w:r>
              <w:rPr>
                <w:sz w:val="16"/>
              </w:rPr>
              <w:t>ADR-012</w:t>
            </w:r>
          </w:p>
        </w:tc>
        <w:tc>
          <w:tcPr>
            <w:tcW w:type="dxa" w:w="3685"/>
            <w:vAlign w:val="center"/>
            <w:tcMar>
              <w:top w:w="90" w:type="dxa"/>
              <w:start w:w="100" w:type="dxa"/>
              <w:bottom w:w="90" w:type="dxa"/>
              <w:end w:w="100" w:type="dxa"/>
            </w:tcMar>
            <w:shd w:fill="F3F6F8"/>
            <w:tcBorders>
              <w:bottom w:val="single" w:sz="4" w:color="D9E1E6"/>
            </w:tcBorders>
          </w:tcPr>
          <w:p>
            <w:pPr>
              <w:spacing w:after="0" w:line="257" w:lineRule="auto"/>
            </w:pPr>
            <w:r>
              <w:rPr>
                <w:sz w:val="16"/>
              </w:rPr>
              <w:t>Databricks/GCP como referência, não dependência conceitual</w:t>
            </w:r>
          </w:p>
        </w:tc>
        <w:tc>
          <w:tcPr>
            <w:tcW w:type="dxa" w:w="3515"/>
            <w:vAlign w:val="center"/>
            <w:tcMar>
              <w:top w:w="90" w:type="dxa"/>
              <w:start w:w="100" w:type="dxa"/>
              <w:bottom w:w="90" w:type="dxa"/>
              <w:end w:w="100" w:type="dxa"/>
            </w:tcMar>
            <w:shd w:fill="F3F6F8"/>
            <w:tcBorders>
              <w:bottom w:val="single" w:sz="4" w:color="D9E1E6"/>
            </w:tcBorders>
          </w:tcPr>
          <w:p>
            <w:pPr>
              <w:spacing w:after="0" w:line="257" w:lineRule="auto"/>
            </w:pPr>
            <w:r>
              <w:rPr>
                <w:sz w:val="16"/>
              </w:rPr>
              <w:t>Portabilidade do método e laboratório prático.</w:t>
            </w:r>
          </w:p>
        </w:tc>
      </w:tr>
    </w:tbl>
    <w:p>
      <w:pPr>
        <w:spacing w:after="0"/>
      </w:pPr>
    </w:p>
    <w:p>
      <w:pPr>
        <w:pStyle w:val="Heading2"/>
      </w:pPr>
      <w:r>
        <w:t>24.1 Decisões a confirmar experimentalmente</w:t>
      </w:r>
    </w:p>
    <w:p>
      <w:pPr>
        <w:pStyle w:val="ListBullet"/>
      </w:pPr>
      <w:r>
        <w:t>Escopo de atomicidade de publicação e estabilidade de leitura de múltiplas tabelas.</w:t>
      </w:r>
    </w:p>
    <w:p>
      <w:pPr>
        <w:pStyle w:val="ListBullet"/>
      </w:pPr>
      <w:r>
        <w:t>Limites reais de conectores específicos por fonte, runtime, rede e região.</w:t>
      </w:r>
    </w:p>
    <w:p>
      <w:pPr>
        <w:pStyle w:val="ListBullet"/>
      </w:pPr>
      <w:r>
        <w:t>Política de retenção quente/fria com custo e tempo de restauração medidos.</w:t>
      </w:r>
    </w:p>
    <w:p>
      <w:pPr>
        <w:pStyle w:val="ListBullet"/>
      </w:pPr>
      <w:r>
        <w:t>Frequência mínima de snapshots para detecção aceitável de exclusões sem CDC.</w:t>
      </w:r>
    </w:p>
    <w:p>
      <w:pPr>
        <w:pStyle w:val="ListBullet"/>
      </w:pPr>
      <w:r>
        <w:t>Regras de concorrência, checkpoints e recuperações por janela em pipelines streaming.</w:t>
      </w:r>
    </w:p>
    <w:p>
      <w:pPr>
        <w:pStyle w:val="ListBullet"/>
      </w:pPr>
      <w:r>
        <w:t>Política de SK determinística e testes de colisão/estabilidade sob correções retroativas.</w:t>
      </w:r>
    </w:p>
    <w:p>
      <w:pPr>
        <w:pStyle w:val="Heading1"/>
      </w:pPr>
      <w:r>
        <w:t>25. Riscos e critérios de mitigação</w:t>
      </w:r>
    </w:p>
    <w:tbl>
      <w:tblPr>
        <w:tblW w:type="auto" w:w="0"/>
        <w:jc w:val="center"/>
        <w:tblLayout w:type="fixed"/>
        <w:tblLook w:firstColumn="1" w:firstRow="1" w:lastColumn="0" w:lastRow="0" w:noHBand="0" w:noVBand="1" w:val="04A0"/>
      </w:tblPr>
      <w:tblGrid>
        <w:gridCol w:w="2891"/>
        <w:gridCol w:w="5443"/>
      </w:tblGrid>
      <w:tr>
        <w:trPr>
          <w:tblHeader w:val="true"/>
          <w:cantSplit/>
        </w:trPr>
        <w:tc>
          <w:tcPr>
            <w:tcW w:type="dxa" w:w="4776"/>
            <w:shd w:fill="142439"/>
            <w:tcMar>
              <w:top w:w="95" w:type="dxa"/>
              <w:start w:w="100" w:type="dxa"/>
              <w:bottom w:w="95" w:type="dxa"/>
              <w:end w:w="100" w:type="dxa"/>
            </w:tcMar>
          </w:tcPr>
          <w:p>
            <w:pPr>
              <w:spacing w:after="0"/>
            </w:pPr>
            <w:r>
              <w:rPr>
                <w:b/>
                <w:color w:val="FFFFFF"/>
                <w:sz w:val="16"/>
              </w:rPr>
              <w:t>Risco</w:t>
            </w:r>
          </w:p>
        </w:tc>
        <w:tc>
          <w:tcPr>
            <w:tcW w:type="dxa" w:w="4776"/>
            <w:shd w:fill="142439"/>
            <w:tcMar>
              <w:top w:w="95" w:type="dxa"/>
              <w:start w:w="100" w:type="dxa"/>
              <w:bottom w:w="95" w:type="dxa"/>
              <w:end w:w="100" w:type="dxa"/>
            </w:tcMar>
          </w:tcPr>
          <w:p>
            <w:pPr>
              <w:spacing w:after="0"/>
            </w:pPr>
            <w:r>
              <w:rPr>
                <w:b/>
                <w:color w:val="FFFFFF"/>
                <w:sz w:val="16"/>
              </w:rPr>
              <w:t>Mitigação</w:t>
            </w:r>
          </w:p>
        </w:tc>
      </w:tr>
      <w:tr>
        <w:trPr>
          <w:cantSplit/>
        </w:trPr>
        <w:tc>
          <w:tcPr>
            <w:tcW w:type="dxa" w:w="2891"/>
            <w:vAlign w:val="center"/>
            <w:tcMar>
              <w:top w:w="90" w:type="dxa"/>
              <w:start w:w="100" w:type="dxa"/>
              <w:bottom w:w="90" w:type="dxa"/>
              <w:end w:w="100" w:type="dxa"/>
            </w:tcMar>
            <w:tcBorders>
              <w:bottom w:val="single" w:sz="4" w:color="D9E1E6"/>
            </w:tcBorders>
          </w:tcPr>
          <w:p>
            <w:pPr>
              <w:spacing w:after="0" w:line="257" w:lineRule="auto"/>
            </w:pPr>
            <w:r>
              <w:rPr>
                <w:sz w:val="16"/>
              </w:rPr>
              <w:t>Achar que snapshot equivale a CDC</w:t>
            </w:r>
          </w:p>
        </w:tc>
        <w:tc>
          <w:tcPr>
            <w:tcW w:type="dxa" w:w="5443"/>
            <w:vAlign w:val="center"/>
            <w:tcMar>
              <w:top w:w="90" w:type="dxa"/>
              <w:start w:w="100" w:type="dxa"/>
              <w:bottom w:w="90" w:type="dxa"/>
              <w:end w:w="100" w:type="dxa"/>
            </w:tcMar>
            <w:tcBorders>
              <w:bottom w:val="single" w:sz="4" w:color="D9E1E6"/>
            </w:tcBorders>
          </w:tcPr>
          <w:p>
            <w:pPr>
              <w:spacing w:after="0" w:line="257" w:lineRule="auto"/>
            </w:pPr>
            <w:r>
              <w:rPr>
                <w:sz w:val="16"/>
              </w:rPr>
              <w:t>Declarar diferença entre evento observado e alteração inferida; testes de lacuna.</w:t>
            </w:r>
          </w:p>
        </w:tc>
      </w:tr>
      <w:tr>
        <w:trPr>
          <w:cantSplit/>
        </w:trPr>
        <w:tc>
          <w:tcPr>
            <w:tcW w:type="dxa" w:w="2891"/>
            <w:vAlign w:val="center"/>
            <w:tcMar>
              <w:top w:w="90" w:type="dxa"/>
              <w:start w:w="100" w:type="dxa"/>
              <w:bottom w:w="90" w:type="dxa"/>
              <w:end w:w="100" w:type="dxa"/>
            </w:tcMar>
            <w:shd w:fill="F3F6F8"/>
            <w:tcBorders>
              <w:bottom w:val="single" w:sz="4" w:color="D9E1E6"/>
            </w:tcBorders>
          </w:tcPr>
          <w:p>
            <w:pPr>
              <w:spacing w:after="0" w:line="257" w:lineRule="auto"/>
            </w:pPr>
            <w:r>
              <w:rPr>
                <w:sz w:val="16"/>
              </w:rPr>
              <w:t>Perda de log da origem</w:t>
            </w:r>
          </w:p>
        </w:tc>
        <w:tc>
          <w:tcPr>
            <w:tcW w:type="dxa" w:w="5443"/>
            <w:vAlign w:val="center"/>
            <w:tcMar>
              <w:top w:w="90" w:type="dxa"/>
              <w:start w:w="100" w:type="dxa"/>
              <w:bottom w:w="90" w:type="dxa"/>
              <w:end w:w="100" w:type="dxa"/>
            </w:tcMar>
            <w:shd w:fill="F3F6F8"/>
            <w:tcBorders>
              <w:bottom w:val="single" w:sz="4" w:color="D9E1E6"/>
            </w:tcBorders>
          </w:tcPr>
          <w:p>
            <w:pPr>
              <w:spacing w:after="0" w:line="257" w:lineRule="auto"/>
            </w:pPr>
            <w:r>
              <w:rPr>
                <w:sz w:val="16"/>
              </w:rPr>
              <w:t>Monitorar lag e retenção, baseline de recuperação e alerta antecipado.</w:t>
            </w:r>
          </w:p>
        </w:tc>
      </w:tr>
      <w:tr>
        <w:trPr>
          <w:cantSplit/>
        </w:trPr>
        <w:tc>
          <w:tcPr>
            <w:tcW w:type="dxa" w:w="2891"/>
            <w:vAlign w:val="center"/>
            <w:tcMar>
              <w:top w:w="90" w:type="dxa"/>
              <w:start w:w="100" w:type="dxa"/>
              <w:bottom w:w="90" w:type="dxa"/>
              <w:end w:w="100" w:type="dxa"/>
            </w:tcMar>
            <w:tcBorders>
              <w:bottom w:val="single" w:sz="4" w:color="D9E1E6"/>
            </w:tcBorders>
          </w:tcPr>
          <w:p>
            <w:pPr>
              <w:spacing w:after="0" w:line="257" w:lineRule="auto"/>
            </w:pPr>
            <w:r>
              <w:rPr>
                <w:sz w:val="16"/>
              </w:rPr>
              <w:t>Retenção menor que janela de replay</w:t>
            </w:r>
          </w:p>
        </w:tc>
        <w:tc>
          <w:tcPr>
            <w:tcW w:type="dxa" w:w="5443"/>
            <w:vAlign w:val="center"/>
            <w:tcMar>
              <w:top w:w="90" w:type="dxa"/>
              <w:start w:w="100" w:type="dxa"/>
              <w:bottom w:w="90" w:type="dxa"/>
              <w:end w:w="100" w:type="dxa"/>
            </w:tcMar>
            <w:tcBorders>
              <w:bottom w:val="single" w:sz="4" w:color="D9E1E6"/>
            </w:tcBorders>
          </w:tcPr>
          <w:p>
            <w:pPr>
              <w:spacing w:after="0" w:line="257" w:lineRule="auto"/>
            </w:pPr>
            <w:r>
              <w:rPr>
                <w:sz w:val="16"/>
              </w:rPr>
              <w:t>Calcular RPO/retenção e testar restauração antes de expurgo.</w:t>
            </w:r>
          </w:p>
        </w:tc>
      </w:tr>
      <w:tr>
        <w:trPr>
          <w:cantSplit/>
        </w:trPr>
        <w:tc>
          <w:tcPr>
            <w:tcW w:type="dxa" w:w="2891"/>
            <w:vAlign w:val="center"/>
            <w:tcMar>
              <w:top w:w="90" w:type="dxa"/>
              <w:start w:w="100" w:type="dxa"/>
              <w:bottom w:w="90" w:type="dxa"/>
              <w:end w:w="100" w:type="dxa"/>
            </w:tcMar>
            <w:shd w:fill="F3F6F8"/>
            <w:tcBorders>
              <w:bottom w:val="single" w:sz="4" w:color="D9E1E6"/>
            </w:tcBorders>
          </w:tcPr>
          <w:p>
            <w:pPr>
              <w:spacing w:after="0" w:line="257" w:lineRule="auto"/>
            </w:pPr>
            <w:r>
              <w:rPr>
                <w:sz w:val="16"/>
              </w:rPr>
              <w:t>Quarentena sem dono</w:t>
            </w:r>
          </w:p>
        </w:tc>
        <w:tc>
          <w:tcPr>
            <w:tcW w:type="dxa" w:w="5443"/>
            <w:vAlign w:val="center"/>
            <w:tcMar>
              <w:top w:w="90" w:type="dxa"/>
              <w:start w:w="100" w:type="dxa"/>
              <w:bottom w:w="90" w:type="dxa"/>
              <w:end w:w="100" w:type="dxa"/>
            </w:tcMar>
            <w:shd w:fill="F3F6F8"/>
            <w:tcBorders>
              <w:bottom w:val="single" w:sz="4" w:color="D9E1E6"/>
            </w:tcBorders>
          </w:tcPr>
          <w:p>
            <w:pPr>
              <w:spacing w:after="0" w:line="257" w:lineRule="auto"/>
            </w:pPr>
            <w:r>
              <w:rPr>
                <w:sz w:val="16"/>
              </w:rPr>
              <w:t>Owner e prazo obrigatórios; alertas por vencimento e fila operacional.</w:t>
            </w:r>
          </w:p>
        </w:tc>
      </w:tr>
      <w:tr>
        <w:trPr>
          <w:cantSplit/>
        </w:trPr>
        <w:tc>
          <w:tcPr>
            <w:tcW w:type="dxa" w:w="2891"/>
            <w:vAlign w:val="center"/>
            <w:tcMar>
              <w:top w:w="90" w:type="dxa"/>
              <w:start w:w="100" w:type="dxa"/>
              <w:bottom w:w="90" w:type="dxa"/>
              <w:end w:w="100" w:type="dxa"/>
            </w:tcMar>
            <w:tcBorders>
              <w:bottom w:val="single" w:sz="4" w:color="D9E1E6"/>
            </w:tcBorders>
          </w:tcPr>
          <w:p>
            <w:pPr>
              <w:spacing w:after="0" w:line="257" w:lineRule="auto"/>
            </w:pPr>
            <w:r>
              <w:rPr>
                <w:sz w:val="16"/>
              </w:rPr>
              <w:t>Muito acoplamento ao produto</w:t>
            </w:r>
          </w:p>
        </w:tc>
        <w:tc>
          <w:tcPr>
            <w:tcW w:type="dxa" w:w="5443"/>
            <w:vAlign w:val="center"/>
            <w:tcMar>
              <w:top w:w="90" w:type="dxa"/>
              <w:start w:w="100" w:type="dxa"/>
              <w:bottom w:w="90" w:type="dxa"/>
              <w:end w:w="100" w:type="dxa"/>
            </w:tcMar>
            <w:tcBorders>
              <w:bottom w:val="single" w:sz="4" w:color="D9E1E6"/>
            </w:tcBorders>
          </w:tcPr>
          <w:p>
            <w:pPr>
              <w:spacing w:after="0" w:line="257" w:lineRule="auto"/>
            </w:pPr>
            <w:r>
              <w:rPr>
                <w:sz w:val="16"/>
              </w:rPr>
              <w:t>Contrato/ADR independente de engine; adapters isolados.</w:t>
            </w:r>
          </w:p>
        </w:tc>
      </w:tr>
      <w:tr>
        <w:trPr>
          <w:cantSplit/>
        </w:trPr>
        <w:tc>
          <w:tcPr>
            <w:tcW w:type="dxa" w:w="2891"/>
            <w:vAlign w:val="center"/>
            <w:tcMar>
              <w:top w:w="90" w:type="dxa"/>
              <w:start w:w="100" w:type="dxa"/>
              <w:bottom w:w="90" w:type="dxa"/>
              <w:end w:w="100" w:type="dxa"/>
            </w:tcMar>
            <w:shd w:fill="F3F6F8"/>
            <w:tcBorders>
              <w:bottom w:val="single" w:sz="4" w:color="D9E1E6"/>
            </w:tcBorders>
          </w:tcPr>
          <w:p>
            <w:pPr>
              <w:spacing w:after="0" w:line="257" w:lineRule="auto"/>
            </w:pPr>
            <w:r>
              <w:rPr>
                <w:sz w:val="16"/>
              </w:rPr>
              <w:t>Explosão de custos</w:t>
            </w:r>
          </w:p>
        </w:tc>
        <w:tc>
          <w:tcPr>
            <w:tcW w:type="dxa" w:w="5443"/>
            <w:vAlign w:val="center"/>
            <w:tcMar>
              <w:top w:w="90" w:type="dxa"/>
              <w:start w:w="100" w:type="dxa"/>
              <w:bottom w:w="90" w:type="dxa"/>
              <w:end w:w="100" w:type="dxa"/>
            </w:tcMar>
            <w:shd w:fill="F3F6F8"/>
            <w:tcBorders>
              <w:bottom w:val="single" w:sz="4" w:color="D9E1E6"/>
            </w:tcBorders>
          </w:tcPr>
          <w:p>
            <w:pPr>
              <w:spacing w:after="0" w:line="257" w:lineRule="auto"/>
            </w:pPr>
            <w:r>
              <w:rPr>
                <w:sz w:val="16"/>
              </w:rPr>
              <w:t>Orçamento por domínio, compactação, batching e medição por fluxo.</w:t>
            </w:r>
          </w:p>
        </w:tc>
      </w:tr>
      <w:tr>
        <w:trPr>
          <w:cantSplit/>
        </w:trPr>
        <w:tc>
          <w:tcPr>
            <w:tcW w:type="dxa" w:w="2891"/>
            <w:vAlign w:val="center"/>
            <w:tcMar>
              <w:top w:w="90" w:type="dxa"/>
              <w:start w:w="100" w:type="dxa"/>
              <w:bottom w:w="90" w:type="dxa"/>
              <w:end w:w="100" w:type="dxa"/>
            </w:tcMar>
            <w:tcBorders>
              <w:bottom w:val="single" w:sz="4" w:color="D9E1E6"/>
            </w:tcBorders>
          </w:tcPr>
          <w:p>
            <w:pPr>
              <w:spacing w:after="0" w:line="257" w:lineRule="auto"/>
            </w:pPr>
            <w:r>
              <w:rPr>
                <w:sz w:val="16"/>
              </w:rPr>
              <w:t>Exposição de dados em debug</w:t>
            </w:r>
          </w:p>
        </w:tc>
        <w:tc>
          <w:tcPr>
            <w:tcW w:type="dxa" w:w="5443"/>
            <w:vAlign w:val="center"/>
            <w:tcMar>
              <w:top w:w="90" w:type="dxa"/>
              <w:start w:w="100" w:type="dxa"/>
              <w:bottom w:w="90" w:type="dxa"/>
              <w:end w:w="100" w:type="dxa"/>
            </w:tcMar>
            <w:tcBorders>
              <w:bottom w:val="single" w:sz="4" w:color="D9E1E6"/>
            </w:tcBorders>
          </w:tcPr>
          <w:p>
            <w:pPr>
              <w:spacing w:after="0" w:line="257" w:lineRule="auto"/>
            </w:pPr>
            <w:r>
              <w:rPr>
                <w:sz w:val="16"/>
              </w:rPr>
              <w:t>Mascaramento e retenção mínima de logs/payloads em observabilidade.</w:t>
            </w:r>
          </w:p>
        </w:tc>
      </w:tr>
      <w:tr>
        <w:trPr>
          <w:cantSplit/>
        </w:trPr>
        <w:tc>
          <w:tcPr>
            <w:tcW w:type="dxa" w:w="2891"/>
            <w:vAlign w:val="center"/>
            <w:tcMar>
              <w:top w:w="90" w:type="dxa"/>
              <w:start w:w="100" w:type="dxa"/>
              <w:bottom w:w="90" w:type="dxa"/>
              <w:end w:w="100" w:type="dxa"/>
            </w:tcMar>
            <w:shd w:fill="F3F6F8"/>
            <w:tcBorders>
              <w:bottom w:val="single" w:sz="4" w:color="D9E1E6"/>
            </w:tcBorders>
          </w:tcPr>
          <w:p>
            <w:pPr>
              <w:spacing w:after="0" w:line="257" w:lineRule="auto"/>
            </w:pPr>
            <w:r>
              <w:rPr>
                <w:sz w:val="16"/>
              </w:rPr>
              <w:t>Duplicação por retries</w:t>
            </w:r>
          </w:p>
        </w:tc>
        <w:tc>
          <w:tcPr>
            <w:tcW w:type="dxa" w:w="5443"/>
            <w:vAlign w:val="center"/>
            <w:tcMar>
              <w:top w:w="90" w:type="dxa"/>
              <w:start w:w="100" w:type="dxa"/>
              <w:bottom w:w="90" w:type="dxa"/>
              <w:end w:w="100" w:type="dxa"/>
            </w:tcMar>
            <w:shd w:fill="F3F6F8"/>
            <w:tcBorders>
              <w:bottom w:val="single" w:sz="4" w:color="D9E1E6"/>
            </w:tcBorders>
          </w:tcPr>
          <w:p>
            <w:pPr>
              <w:spacing w:after="0" w:line="257" w:lineRule="auto"/>
            </w:pPr>
            <w:r>
              <w:rPr>
                <w:sz w:val="16"/>
              </w:rPr>
              <w:t>Manifesto, chaves de idempotência e transações no destino.</w:t>
            </w:r>
          </w:p>
        </w:tc>
      </w:tr>
      <w:tr>
        <w:trPr>
          <w:cantSplit/>
        </w:trPr>
        <w:tc>
          <w:tcPr>
            <w:tcW w:type="dxa" w:w="2891"/>
            <w:vAlign w:val="center"/>
            <w:tcMar>
              <w:top w:w="90" w:type="dxa"/>
              <w:start w:w="100" w:type="dxa"/>
              <w:bottom w:w="90" w:type="dxa"/>
              <w:end w:w="100" w:type="dxa"/>
            </w:tcMar>
            <w:tcBorders>
              <w:bottom w:val="single" w:sz="4" w:color="D9E1E6"/>
            </w:tcBorders>
          </w:tcPr>
          <w:p>
            <w:pPr>
              <w:spacing w:after="0" w:line="257" w:lineRule="auto"/>
            </w:pPr>
            <w:r>
              <w:rPr>
                <w:sz w:val="16"/>
              </w:rPr>
              <w:t>Mudança de regra quebra histórico</w:t>
            </w:r>
          </w:p>
        </w:tc>
        <w:tc>
          <w:tcPr>
            <w:tcW w:type="dxa" w:w="5443"/>
            <w:vAlign w:val="center"/>
            <w:tcMar>
              <w:top w:w="90" w:type="dxa"/>
              <w:start w:w="100" w:type="dxa"/>
              <w:bottom w:w="90" w:type="dxa"/>
              <w:end w:w="100" w:type="dxa"/>
            </w:tcMar>
            <w:tcBorders>
              <w:bottom w:val="single" w:sz="4" w:color="D9E1E6"/>
            </w:tcBorders>
          </w:tcPr>
          <w:p>
            <w:pPr>
              <w:spacing w:after="0" w:line="257" w:lineRule="auto"/>
            </w:pPr>
            <w:r>
              <w:rPr>
                <w:sz w:val="16"/>
              </w:rPr>
              <w:t>Versão de contrato, migração planejada e backfill controlado.</w:t>
            </w:r>
          </w:p>
        </w:tc>
      </w:tr>
    </w:tbl>
    <w:p>
      <w:pPr>
        <w:spacing w:after="0"/>
      </w:pPr>
    </w:p>
    <w:p>
      <w:pPr>
        <w:pStyle w:val="Heading1"/>
      </w:pPr>
      <w:r>
        <w:t>Anexo A. Exemplo de contrato declarativo</w:t>
      </w:r>
    </w:p>
    <w:p>
      <w:pPr/>
      <w:r>
        <w:t>Exemplo ilustrativo, não diretamente executável. Todos os nomes, identificadores e valores abaixo são sintéticos. A implementação final terá schema JSON/YAML de validação próprio e regras de herança entre fonte e dataset.</w:t>
      </w:r>
    </w:p>
    <w:tbl>
      <w:tblPr>
        <w:tblW w:type="auto" w:w="0"/>
        <w:tblLook w:firstColumn="1" w:firstRow="1" w:lastColumn="0" w:lastRow="0" w:noHBand="0" w:noVBand="1" w:val="04A0"/>
      </w:tblPr>
      <w:tblGrid>
        <w:gridCol w:w="9553"/>
      </w:tblGrid>
      <w:tr>
        <w:tc>
          <w:tcPr>
            <w:tcW w:type="dxa" w:w="9553"/>
            <w:shd w:fill="F3F6F8"/>
            <w:tcMar>
              <w:top w:w="140" w:type="dxa"/>
              <w:start w:w="170" w:type="dxa"/>
              <w:bottom w:w="140" w:type="dxa"/>
              <w:end w:w="170" w:type="dxa"/>
            </w:tcMar>
          </w:tcPr>
          <w:p>
            <w:pPr>
              <w:pStyle w:val="MonoBlock"/>
            </w:pPr>
            <w:r>
              <w:t># Contrato declarativo — exemplo didático (não é script executável)</w:t>
            </w:r>
          </w:p>
          <w:p>
            <w:pPr>
              <w:pStyle w:val="MonoBlock"/>
            </w:pPr>
            <w:r>
              <w:t>contract_version: "1.0.0"</w:t>
            </w:r>
          </w:p>
          <w:p>
            <w:pPr>
              <w:pStyle w:val="MonoBlock"/>
            </w:pPr>
            <w:r>
              <w:t>dataset_id: "operacoes.solicitacoes"</w:t>
            </w:r>
          </w:p>
          <w:p>
            <w:pPr>
              <w:pStyle w:val="MonoBlock"/>
            </w:pPr>
            <w:r>
              <w:t>source_id: "parceiro_exemplo"</w:t>
            </w:r>
          </w:p>
          <w:p>
            <w:pPr>
              <w:pStyle w:val="MonoBlock"/>
            </w:pPr>
            <w:r>
              <w:t>owner_domain: "operacoes"</w:t>
            </w:r>
          </w:p>
          <w:p>
            <w:pPr>
              <w:pStyle w:val="MonoBlock"/>
            </w:pPr>
            <w:r>
              <w:t>channel: "https_upload"</w:t>
            </w:r>
          </w:p>
          <w:p>
            <w:pPr>
              <w:pStyle w:val="MonoBlock"/>
            </w:pPr>
            <w:r>
              <w:t>format: "csv"</w:t>
            </w:r>
          </w:p>
          <w:p>
            <w:pPr>
              <w:pStyle w:val="MonoBlock"/>
            </w:pPr>
            <w:r>
              <w:t>delivery:</w:t>
            </w:r>
          </w:p>
          <w:p>
            <w:pPr>
              <w:pStyle w:val="MonoBlock"/>
            </w:pPr>
            <w:r>
              <w:t xml:space="preserve">  frequency: "daily"</w:t>
            </w:r>
          </w:p>
          <w:p>
            <w:pPr>
              <w:pStyle w:val="MonoBlock"/>
            </w:pPr>
            <w:r>
              <w:t xml:space="preserve">  expected_by: "08:00 America/Sao_Paulo"</w:t>
            </w:r>
          </w:p>
          <w:p>
            <w:pPr>
              <w:pStyle w:val="MonoBlock"/>
            </w:pPr>
            <w:r>
              <w:t xml:space="preserve">  completion: "manifest_required"</w:t>
            </w:r>
          </w:p>
          <w:p>
            <w:pPr>
              <w:pStyle w:val="MonoBlock"/>
            </w:pPr>
            <w:r>
              <w:t xml:space="preserve">  retention_landing_days: 30</w:t>
            </w:r>
          </w:p>
          <w:p>
            <w:pPr>
              <w:pStyle w:val="MonoBlock"/>
            </w:pPr>
            <w:r>
              <w:t>capture:</w:t>
            </w:r>
          </w:p>
          <w:p>
            <w:pPr>
              <w:pStyle w:val="MonoBlock"/>
            </w:pPr>
            <w:r>
              <w:t xml:space="preserve">  initial_load: "full"</w:t>
            </w:r>
          </w:p>
          <w:p>
            <w:pPr>
              <w:pStyle w:val="MonoBlock"/>
            </w:pPr>
            <w:r>
              <w:t xml:space="preserve">  subsequent_mode: "file_incremental"</w:t>
            </w:r>
          </w:p>
          <w:p>
            <w:pPr>
              <w:pStyle w:val="MonoBlock"/>
            </w:pPr>
            <w:r>
              <w:t xml:space="preserve">  idempotency_key: ["source_id", "dataset_id", "batch_id", "file_id"]</w:t>
            </w:r>
          </w:p>
          <w:p>
            <w:pPr>
              <w:pStyle w:val="MonoBlock"/>
            </w:pPr>
            <w:r>
              <w:t>schema:</w:t>
            </w:r>
          </w:p>
          <w:p>
            <w:pPr>
              <w:pStyle w:val="MonoBlock"/>
            </w:pPr>
            <w:r>
              <w:t xml:space="preserve">  change_policy: "explicit_approval"</w:t>
            </w:r>
          </w:p>
          <w:p>
            <w:pPr>
              <w:pStyle w:val="MonoBlock"/>
            </w:pPr>
            <w:r>
              <w:t xml:space="preserve">  required_columns: ["id_solicitacao", "criado_em", "status"]</w:t>
            </w:r>
          </w:p>
          <w:p>
            <w:pPr>
              <w:pStyle w:val="MonoBlock"/>
            </w:pPr>
            <w:r>
              <w:t>quality:</w:t>
            </w:r>
          </w:p>
          <w:p>
            <w:pPr>
              <w:pStyle w:val="MonoBlock"/>
            </w:pPr>
            <w:r>
              <w:t xml:space="preserve">  - id: "not_null_id"</w:t>
            </w:r>
          </w:p>
          <w:p>
            <w:pPr>
              <w:pStyle w:val="MonoBlock"/>
            </w:pPr>
            <w:r>
              <w:t xml:space="preserve">    severity: "QUARANTINE"</w:t>
            </w:r>
          </w:p>
          <w:p>
            <w:pPr>
              <w:pStyle w:val="MonoBlock"/>
            </w:pPr>
            <w:r>
              <w:t xml:space="preserve">  - id: "batch_reconciliation"</w:t>
            </w:r>
          </w:p>
          <w:p>
            <w:pPr>
              <w:pStyle w:val="MonoBlock"/>
            </w:pPr>
            <w:r>
              <w:t xml:space="preserve">    severity: "BLOCK"</w:t>
            </w:r>
          </w:p>
          <w:p>
            <w:pPr>
              <w:pStyle w:val="MonoBlock"/>
            </w:pPr>
            <w:r>
              <w:t>history:</w:t>
            </w:r>
          </w:p>
          <w:p>
            <w:pPr>
              <w:pStyle w:val="MonoBlock"/>
            </w:pPr>
            <w:r>
              <w:t xml:space="preserve">  technical_model: "append_events"</w:t>
            </w:r>
          </w:p>
          <w:p>
            <w:pPr>
              <w:pStyle w:val="MonoBlock"/>
            </w:pPr>
            <w:r>
              <w:t xml:space="preserve">  event_time_column: "criado_em"</w:t>
            </w:r>
          </w:p>
          <w:p>
            <w:pPr>
              <w:pStyle w:val="MonoBlock"/>
            </w:pPr>
            <w:r>
              <w:t>reprocessing:</w:t>
            </w:r>
          </w:p>
          <w:p>
            <w:pPr>
              <w:pStyle w:val="MonoBlock"/>
            </w:pPr>
            <w:r>
              <w:t xml:space="preserve">  allowed: ["repair", "file", "period", "backfill"]</w:t>
            </w:r>
          </w:p>
          <w:p>
            <w:pPr>
              <w:pStyle w:val="MonoBlock"/>
            </w:pPr>
            <w:r>
              <w:t>publication:</w:t>
            </w:r>
          </w:p>
          <w:p>
            <w:pPr>
              <w:pStyle w:val="MonoBlock"/>
            </w:pPr>
            <w:r>
              <w:t xml:space="preserve">  block_on_critical_failure: true</w:t>
            </w:r>
          </w:p>
          <w:p>
            <w:pPr>
              <w:pStyle w:val="MonoBlock"/>
            </w:pPr>
            <w:r>
              <w:t>security:</w:t>
            </w:r>
          </w:p>
          <w:p>
            <w:pPr>
              <w:pStyle w:val="MonoBlock"/>
            </w:pPr>
            <w:r>
              <w:t xml:space="preserve">  classification: "internal"</w:t>
            </w:r>
          </w:p>
        </w:tc>
      </w:tr>
    </w:tbl>
    <w:p>
      <w:pPr>
        <w:spacing w:after="0"/>
      </w:pPr>
    </w:p>
    <w:p>
      <w:pPr>
        <w:pStyle w:val="Heading1"/>
      </w:pPr>
      <w:r>
        <w:t>Anexo B. Estados e chaves das controllers</w:t>
      </w:r>
    </w:p>
    <w:tbl>
      <w:tblPr>
        <w:tblW w:type="auto" w:w="0"/>
        <w:jc w:val="center"/>
        <w:tblLayout w:type="fixed"/>
        <w:tblLook w:firstColumn="1" w:firstRow="1" w:lastColumn="0" w:lastRow="0" w:noHBand="0" w:noVBand="1" w:val="04A0"/>
      </w:tblPr>
      <w:tblGrid>
        <w:gridCol w:w="2041"/>
        <w:gridCol w:w="3402"/>
        <w:gridCol w:w="2891"/>
      </w:tblGrid>
      <w:tr>
        <w:trPr>
          <w:tblHeader w:val="true"/>
          <w:cantSplit/>
        </w:trPr>
        <w:tc>
          <w:tcPr>
            <w:tcW w:type="dxa" w:w="3184"/>
            <w:shd w:fill="142439"/>
            <w:tcMar>
              <w:top w:w="95" w:type="dxa"/>
              <w:start w:w="100" w:type="dxa"/>
              <w:bottom w:w="95" w:type="dxa"/>
              <w:end w:w="100" w:type="dxa"/>
            </w:tcMar>
          </w:tcPr>
          <w:p>
            <w:pPr>
              <w:spacing w:after="0"/>
            </w:pPr>
            <w:r>
              <w:rPr>
                <w:b/>
                <w:color w:val="FFFFFF"/>
                <w:sz w:val="16"/>
              </w:rPr>
              <w:t>Entidade</w:t>
            </w:r>
          </w:p>
        </w:tc>
        <w:tc>
          <w:tcPr>
            <w:tcW w:type="dxa" w:w="3184"/>
            <w:shd w:fill="142439"/>
            <w:tcMar>
              <w:top w:w="95" w:type="dxa"/>
              <w:start w:w="100" w:type="dxa"/>
              <w:bottom w:w="95" w:type="dxa"/>
              <w:end w:w="100" w:type="dxa"/>
            </w:tcMar>
          </w:tcPr>
          <w:p>
            <w:pPr>
              <w:spacing w:after="0"/>
            </w:pPr>
            <w:r>
              <w:rPr>
                <w:b/>
                <w:color w:val="FFFFFF"/>
                <w:sz w:val="16"/>
              </w:rPr>
              <w:t>Estados/campos principais</w:t>
            </w:r>
          </w:p>
        </w:tc>
        <w:tc>
          <w:tcPr>
            <w:tcW w:type="dxa" w:w="3184"/>
            <w:shd w:fill="142439"/>
            <w:tcMar>
              <w:top w:w="95" w:type="dxa"/>
              <w:start w:w="100" w:type="dxa"/>
              <w:bottom w:w="95" w:type="dxa"/>
              <w:end w:w="100" w:type="dxa"/>
            </w:tcMar>
          </w:tcPr>
          <w:p>
            <w:pPr>
              <w:spacing w:after="0"/>
            </w:pPr>
            <w:r>
              <w:rPr>
                <w:b/>
                <w:color w:val="FFFFFF"/>
                <w:sz w:val="16"/>
              </w:rPr>
              <w:t>Invariante</w:t>
            </w:r>
          </w:p>
        </w:tc>
      </w:tr>
      <w:tr>
        <w:trPr>
          <w:cantSplit/>
        </w:trPr>
        <w:tc>
          <w:tcPr>
            <w:tcW w:type="dxa" w:w="2041"/>
            <w:vAlign w:val="center"/>
            <w:tcMar>
              <w:top w:w="90" w:type="dxa"/>
              <w:start w:w="100" w:type="dxa"/>
              <w:bottom w:w="90" w:type="dxa"/>
              <w:end w:w="100" w:type="dxa"/>
            </w:tcMar>
            <w:tcBorders>
              <w:bottom w:val="single" w:sz="4" w:color="D9E1E6"/>
            </w:tcBorders>
          </w:tcPr>
          <w:p>
            <w:pPr>
              <w:spacing w:after="0" w:line="257" w:lineRule="auto"/>
            </w:pPr>
            <w:r>
              <w:rPr>
                <w:sz w:val="16"/>
              </w:rPr>
              <w:t>file_manifest</w:t>
            </w:r>
          </w:p>
        </w:tc>
        <w:tc>
          <w:tcPr>
            <w:tcW w:type="dxa" w:w="3402"/>
            <w:vAlign w:val="center"/>
            <w:tcMar>
              <w:top w:w="90" w:type="dxa"/>
              <w:start w:w="100" w:type="dxa"/>
              <w:bottom w:w="90" w:type="dxa"/>
              <w:end w:w="100" w:type="dxa"/>
            </w:tcMar>
            <w:tcBorders>
              <w:bottom w:val="single" w:sz="4" w:color="D9E1E6"/>
            </w:tcBorders>
          </w:tcPr>
          <w:p>
            <w:pPr>
              <w:spacing w:after="0" w:line="257" w:lineRule="auto"/>
            </w:pPr>
            <w:r>
              <w:rPr>
                <w:sz w:val="16"/>
              </w:rPr>
              <w:t>RECEIVED, VALIDATING, ACCEPTED, REJECTED; source_id, batch_id, file_id, sha256</w:t>
            </w:r>
          </w:p>
        </w:tc>
        <w:tc>
          <w:tcPr>
            <w:tcW w:type="dxa" w:w="2891"/>
            <w:vAlign w:val="center"/>
            <w:tcMar>
              <w:top w:w="90" w:type="dxa"/>
              <w:start w:w="100" w:type="dxa"/>
              <w:bottom w:w="90" w:type="dxa"/>
              <w:end w:w="100" w:type="dxa"/>
            </w:tcMar>
            <w:tcBorders>
              <w:bottom w:val="single" w:sz="4" w:color="D9E1E6"/>
            </w:tcBorders>
          </w:tcPr>
          <w:p>
            <w:pPr>
              <w:spacing w:after="0" w:line="257" w:lineRule="auto"/>
            </w:pPr>
            <w:r>
              <w:rPr>
                <w:sz w:val="16"/>
              </w:rPr>
              <w:t>Um objeto físico tem identidade imutável.</w:t>
            </w:r>
          </w:p>
        </w:tc>
      </w:tr>
      <w:tr>
        <w:trPr>
          <w:cantSplit/>
        </w:trPr>
        <w:tc>
          <w:tcPr>
            <w:tcW w:type="dxa" w:w="2041"/>
            <w:vAlign w:val="center"/>
            <w:tcMar>
              <w:top w:w="90" w:type="dxa"/>
              <w:start w:w="100" w:type="dxa"/>
              <w:bottom w:w="90" w:type="dxa"/>
              <w:end w:w="100" w:type="dxa"/>
            </w:tcMar>
            <w:shd w:fill="F3F6F8"/>
            <w:tcBorders>
              <w:bottom w:val="single" w:sz="4" w:color="D9E1E6"/>
            </w:tcBorders>
          </w:tcPr>
          <w:p>
            <w:pPr>
              <w:spacing w:after="0" w:line="257" w:lineRule="auto"/>
            </w:pPr>
            <w:r>
              <w:rPr>
                <w:sz w:val="16"/>
              </w:rPr>
              <w:t>delivery_expectation</w:t>
            </w:r>
          </w:p>
        </w:tc>
        <w:tc>
          <w:tcPr>
            <w:tcW w:type="dxa" w:w="3402"/>
            <w:vAlign w:val="center"/>
            <w:tcMar>
              <w:top w:w="90" w:type="dxa"/>
              <w:start w:w="100" w:type="dxa"/>
              <w:bottom w:w="90" w:type="dxa"/>
              <w:end w:w="100" w:type="dxa"/>
            </w:tcMar>
            <w:shd w:fill="F3F6F8"/>
            <w:tcBorders>
              <w:bottom w:val="single" w:sz="4" w:color="D9E1E6"/>
            </w:tcBorders>
          </w:tcPr>
          <w:p>
            <w:pPr>
              <w:spacing w:after="0" w:line="257" w:lineRule="auto"/>
            </w:pPr>
            <w:r>
              <w:rPr>
                <w:sz w:val="16"/>
              </w:rPr>
              <w:t>EXPECTED, LATE, SATISFIED, CANCELLED; dataset_id, janela</w:t>
            </w:r>
          </w:p>
        </w:tc>
        <w:tc>
          <w:tcPr>
            <w:tcW w:type="dxa" w:w="2891"/>
            <w:vAlign w:val="center"/>
            <w:tcMar>
              <w:top w:w="90" w:type="dxa"/>
              <w:start w:w="100" w:type="dxa"/>
              <w:bottom w:w="90" w:type="dxa"/>
              <w:end w:w="100" w:type="dxa"/>
            </w:tcMar>
            <w:shd w:fill="F3F6F8"/>
            <w:tcBorders>
              <w:bottom w:val="single" w:sz="4" w:color="D9E1E6"/>
            </w:tcBorders>
          </w:tcPr>
          <w:p>
            <w:pPr>
              <w:spacing w:after="0" w:line="257" w:lineRule="auto"/>
            </w:pPr>
            <w:r>
              <w:rPr>
                <w:sz w:val="16"/>
              </w:rPr>
              <w:t>Ausência é evento rastreável, não falha invisível.</w:t>
            </w:r>
          </w:p>
        </w:tc>
      </w:tr>
      <w:tr>
        <w:trPr>
          <w:cantSplit/>
        </w:trPr>
        <w:tc>
          <w:tcPr>
            <w:tcW w:type="dxa" w:w="2041"/>
            <w:vAlign w:val="center"/>
            <w:tcMar>
              <w:top w:w="90" w:type="dxa"/>
              <w:start w:w="100" w:type="dxa"/>
              <w:bottom w:w="90" w:type="dxa"/>
              <w:end w:w="100" w:type="dxa"/>
            </w:tcMar>
            <w:tcBorders>
              <w:bottom w:val="single" w:sz="4" w:color="D9E1E6"/>
            </w:tcBorders>
          </w:tcPr>
          <w:p>
            <w:pPr>
              <w:spacing w:after="0" w:line="257" w:lineRule="auto"/>
            </w:pPr>
            <w:r>
              <w:rPr>
                <w:sz w:val="16"/>
              </w:rPr>
              <w:t>quarantine_case</w:t>
            </w:r>
          </w:p>
        </w:tc>
        <w:tc>
          <w:tcPr>
            <w:tcW w:type="dxa" w:w="3402"/>
            <w:vAlign w:val="center"/>
            <w:tcMar>
              <w:top w:w="90" w:type="dxa"/>
              <w:start w:w="100" w:type="dxa"/>
              <w:bottom w:w="90" w:type="dxa"/>
              <w:end w:w="100" w:type="dxa"/>
            </w:tcMar>
            <w:tcBorders>
              <w:bottom w:val="single" w:sz="4" w:color="D9E1E6"/>
            </w:tcBorders>
          </w:tcPr>
          <w:p>
            <w:pPr>
              <w:spacing w:after="0" w:line="257" w:lineRule="auto"/>
            </w:pPr>
            <w:r>
              <w:rPr>
                <w:sz w:val="16"/>
              </w:rPr>
              <w:t>OPEN, ASSIGNED, FIX_PENDING, READY_FOR_REPLAY, REPLAYING, RESOLVED</w:t>
            </w:r>
          </w:p>
        </w:tc>
        <w:tc>
          <w:tcPr>
            <w:tcW w:type="dxa" w:w="2891"/>
            <w:vAlign w:val="center"/>
            <w:tcMar>
              <w:top w:w="90" w:type="dxa"/>
              <w:start w:w="100" w:type="dxa"/>
              <w:bottom w:w="90" w:type="dxa"/>
              <w:end w:w="100" w:type="dxa"/>
            </w:tcMar>
            <w:tcBorders>
              <w:bottom w:val="single" w:sz="4" w:color="D9E1E6"/>
            </w:tcBorders>
          </w:tcPr>
          <w:p>
            <w:pPr>
              <w:spacing w:after="0" w:line="257" w:lineRule="auto"/>
            </w:pPr>
            <w:r>
              <w:rPr>
                <w:sz w:val="16"/>
              </w:rPr>
              <w:t>Fechamento exige evidência e execução vinculada.</w:t>
            </w:r>
          </w:p>
        </w:tc>
      </w:tr>
      <w:tr>
        <w:trPr>
          <w:cantSplit/>
        </w:trPr>
        <w:tc>
          <w:tcPr>
            <w:tcW w:type="dxa" w:w="2041"/>
            <w:vAlign w:val="center"/>
            <w:tcMar>
              <w:top w:w="90" w:type="dxa"/>
              <w:start w:w="100" w:type="dxa"/>
              <w:bottom w:w="90" w:type="dxa"/>
              <w:end w:w="100" w:type="dxa"/>
            </w:tcMar>
            <w:shd w:fill="F3F6F8"/>
            <w:tcBorders>
              <w:bottom w:val="single" w:sz="4" w:color="D9E1E6"/>
            </w:tcBorders>
          </w:tcPr>
          <w:p>
            <w:pPr>
              <w:spacing w:after="0" w:line="257" w:lineRule="auto"/>
            </w:pPr>
            <w:r>
              <w:rPr>
                <w:sz w:val="16"/>
              </w:rPr>
              <w:t>reprocessing_request</w:t>
            </w:r>
          </w:p>
        </w:tc>
        <w:tc>
          <w:tcPr>
            <w:tcW w:type="dxa" w:w="3402"/>
            <w:vAlign w:val="center"/>
            <w:tcMar>
              <w:top w:w="90" w:type="dxa"/>
              <w:start w:w="100" w:type="dxa"/>
              <w:bottom w:w="90" w:type="dxa"/>
              <w:end w:w="100" w:type="dxa"/>
            </w:tcMar>
            <w:shd w:fill="F3F6F8"/>
            <w:tcBorders>
              <w:bottom w:val="single" w:sz="4" w:color="D9E1E6"/>
            </w:tcBorders>
          </w:tcPr>
          <w:p>
            <w:pPr>
              <w:spacing w:after="0" w:line="257" w:lineRule="auto"/>
            </w:pPr>
            <w:r>
              <w:rPr>
                <w:sz w:val="16"/>
              </w:rPr>
              <w:t>DETECTED, SCOPED, APPROVED, RUNNING, VERIFIED, CLOSED</w:t>
            </w:r>
          </w:p>
        </w:tc>
        <w:tc>
          <w:tcPr>
            <w:tcW w:type="dxa" w:w="2891"/>
            <w:vAlign w:val="center"/>
            <w:tcMar>
              <w:top w:w="90" w:type="dxa"/>
              <w:start w:w="100" w:type="dxa"/>
              <w:bottom w:w="90" w:type="dxa"/>
              <w:end w:w="100" w:type="dxa"/>
            </w:tcMar>
            <w:shd w:fill="F3F6F8"/>
            <w:tcBorders>
              <w:bottom w:val="single" w:sz="4" w:color="D9E1E6"/>
            </w:tcBorders>
          </w:tcPr>
          <w:p>
            <w:pPr>
              <w:spacing w:after="0" w:line="257" w:lineRule="auto"/>
            </w:pPr>
            <w:r>
              <w:rPr>
                <w:sz w:val="16"/>
              </w:rPr>
              <w:t>Repetição segura por request_id e escopo.</w:t>
            </w:r>
          </w:p>
        </w:tc>
      </w:tr>
      <w:tr>
        <w:trPr>
          <w:cantSplit/>
        </w:trPr>
        <w:tc>
          <w:tcPr>
            <w:tcW w:type="dxa" w:w="2041"/>
            <w:vAlign w:val="center"/>
            <w:tcMar>
              <w:top w:w="90" w:type="dxa"/>
              <w:start w:w="100" w:type="dxa"/>
              <w:bottom w:w="90" w:type="dxa"/>
              <w:end w:w="100" w:type="dxa"/>
            </w:tcMar>
            <w:tcBorders>
              <w:bottom w:val="single" w:sz="4" w:color="D9E1E6"/>
            </w:tcBorders>
          </w:tcPr>
          <w:p>
            <w:pPr>
              <w:spacing w:after="0" w:line="257" w:lineRule="auto"/>
            </w:pPr>
            <w:r>
              <w:rPr>
                <w:sz w:val="16"/>
              </w:rPr>
              <w:t>publication_registry</w:t>
            </w:r>
          </w:p>
        </w:tc>
        <w:tc>
          <w:tcPr>
            <w:tcW w:type="dxa" w:w="3402"/>
            <w:vAlign w:val="center"/>
            <w:tcMar>
              <w:top w:w="90" w:type="dxa"/>
              <w:start w:w="100" w:type="dxa"/>
              <w:bottom w:w="90" w:type="dxa"/>
              <w:end w:w="100" w:type="dxa"/>
            </w:tcMar>
            <w:tcBorders>
              <w:bottom w:val="single" w:sz="4" w:color="D9E1E6"/>
            </w:tcBorders>
          </w:tcPr>
          <w:p>
            <w:pPr>
              <w:spacing w:after="0" w:line="257" w:lineRule="auto"/>
            </w:pPr>
            <w:r>
              <w:rPr>
                <w:sz w:val="16"/>
              </w:rPr>
              <w:t>PREPARING, VALIDATED, REJECTED, PUBLISHED, RETIRED</w:t>
            </w:r>
          </w:p>
        </w:tc>
        <w:tc>
          <w:tcPr>
            <w:tcW w:type="dxa" w:w="2891"/>
            <w:vAlign w:val="center"/>
            <w:tcMar>
              <w:top w:w="90" w:type="dxa"/>
              <w:start w:w="100" w:type="dxa"/>
              <w:bottom w:w="90" w:type="dxa"/>
              <w:end w:w="100" w:type="dxa"/>
            </w:tcMar>
            <w:tcBorders>
              <w:bottom w:val="single" w:sz="4" w:color="D9E1E6"/>
            </w:tcBorders>
          </w:tcPr>
          <w:p>
            <w:pPr>
              <w:spacing w:after="0" w:line="257" w:lineRule="auto"/>
            </w:pPr>
            <w:r>
              <w:rPr>
                <w:sz w:val="16"/>
              </w:rPr>
              <w:t>Por produto, só uma revisão visível em um instante lógico.</w:t>
            </w:r>
          </w:p>
        </w:tc>
      </w:tr>
    </w:tbl>
    <w:p>
      <w:pPr>
        <w:spacing w:after="0"/>
      </w:pPr>
    </w:p>
    <w:p>
      <w:pPr>
        <w:pStyle w:val="Heading1"/>
      </w:pPr>
      <w:r>
        <w:t>Anexo C. Checklist de projeto por camada</w:t>
      </w:r>
    </w:p>
    <w:tbl>
      <w:tblPr>
        <w:tblW w:type="auto" w:w="0"/>
        <w:jc w:val="center"/>
        <w:tblLayout w:type="fixed"/>
        <w:tblLook w:firstColumn="1" w:firstRow="1" w:lastColumn="0" w:lastRow="0" w:noHBand="0" w:noVBand="1" w:val="04A0"/>
      </w:tblPr>
      <w:tblGrid>
        <w:gridCol w:w="1928"/>
        <w:gridCol w:w="6406"/>
      </w:tblGrid>
      <w:tr>
        <w:trPr>
          <w:tblHeader w:val="true"/>
          <w:cantSplit/>
        </w:trPr>
        <w:tc>
          <w:tcPr>
            <w:tcW w:type="dxa" w:w="4776"/>
            <w:shd w:fill="142439"/>
            <w:tcMar>
              <w:top w:w="95" w:type="dxa"/>
              <w:start w:w="100" w:type="dxa"/>
              <w:bottom w:w="95" w:type="dxa"/>
              <w:end w:w="100" w:type="dxa"/>
            </w:tcMar>
          </w:tcPr>
          <w:p>
            <w:pPr>
              <w:spacing w:after="0"/>
            </w:pPr>
            <w:r>
              <w:rPr>
                <w:b/>
                <w:color w:val="FFFFFF"/>
                <w:sz w:val="16"/>
              </w:rPr>
              <w:t>Camada</w:t>
            </w:r>
          </w:p>
        </w:tc>
        <w:tc>
          <w:tcPr>
            <w:tcW w:type="dxa" w:w="4776"/>
            <w:shd w:fill="142439"/>
            <w:tcMar>
              <w:top w:w="95" w:type="dxa"/>
              <w:start w:w="100" w:type="dxa"/>
              <w:bottom w:w="95" w:type="dxa"/>
              <w:end w:w="100" w:type="dxa"/>
            </w:tcMar>
          </w:tcPr>
          <w:p>
            <w:pPr>
              <w:spacing w:after="0"/>
            </w:pPr>
            <w:r>
              <w:rPr>
                <w:b/>
                <w:color w:val="FFFFFF"/>
                <w:sz w:val="16"/>
              </w:rPr>
              <w:t>Checklist mínimo</w:t>
            </w:r>
          </w:p>
        </w:tc>
      </w:tr>
      <w:tr>
        <w:trPr>
          <w:cantSplit/>
        </w:trPr>
        <w:tc>
          <w:tcPr>
            <w:tcW w:type="dxa" w:w="1928"/>
            <w:vAlign w:val="center"/>
            <w:tcMar>
              <w:top w:w="90" w:type="dxa"/>
              <w:start w:w="100" w:type="dxa"/>
              <w:bottom w:w="90" w:type="dxa"/>
              <w:end w:w="100" w:type="dxa"/>
            </w:tcMar>
            <w:tcBorders>
              <w:bottom w:val="single" w:sz="4" w:color="D9E1E6"/>
            </w:tcBorders>
          </w:tcPr>
          <w:p>
            <w:pPr>
              <w:spacing w:after="0" w:line="257" w:lineRule="auto"/>
            </w:pPr>
            <w:r>
              <w:rPr>
                <w:sz w:val="16"/>
              </w:rPr>
              <w:t>Recepção</w:t>
            </w:r>
          </w:p>
        </w:tc>
        <w:tc>
          <w:tcPr>
            <w:tcW w:type="dxa" w:w="6406"/>
            <w:vAlign w:val="center"/>
            <w:tcMar>
              <w:top w:w="90" w:type="dxa"/>
              <w:start w:w="100" w:type="dxa"/>
              <w:bottom w:w="90" w:type="dxa"/>
              <w:end w:w="100" w:type="dxa"/>
            </w:tcMar>
            <w:tcBorders>
              <w:bottom w:val="single" w:sz="4" w:color="D9E1E6"/>
            </w:tcBorders>
          </w:tcPr>
          <w:p>
            <w:pPr>
              <w:spacing w:after="0" w:line="257" w:lineRule="auto"/>
            </w:pPr>
            <w:r>
              <w:rPr>
                <w:sz w:val="16"/>
              </w:rPr>
              <w:t>Credenciais isoladas; manifesto; integridade; malware; recibo; ausência de entrega.</w:t>
            </w:r>
          </w:p>
        </w:tc>
      </w:tr>
      <w:tr>
        <w:trPr>
          <w:cantSplit/>
        </w:trPr>
        <w:tc>
          <w:tcPr>
            <w:tcW w:type="dxa" w:w="1928"/>
            <w:vAlign w:val="center"/>
            <w:tcMar>
              <w:top w:w="90" w:type="dxa"/>
              <w:start w:w="100" w:type="dxa"/>
              <w:bottom w:w="90" w:type="dxa"/>
              <w:end w:w="100" w:type="dxa"/>
            </w:tcMar>
            <w:shd w:fill="F3F6F8"/>
            <w:tcBorders>
              <w:bottom w:val="single" w:sz="4" w:color="D9E1E6"/>
            </w:tcBorders>
          </w:tcPr>
          <w:p>
            <w:pPr>
              <w:spacing w:after="0" w:line="257" w:lineRule="auto"/>
            </w:pPr>
            <w:r>
              <w:rPr>
                <w:sz w:val="16"/>
              </w:rPr>
              <w:t>Landing</w:t>
            </w:r>
          </w:p>
        </w:tc>
        <w:tc>
          <w:tcPr>
            <w:tcW w:type="dxa" w:w="6406"/>
            <w:vAlign w:val="center"/>
            <w:tcMar>
              <w:top w:w="90" w:type="dxa"/>
              <w:start w:w="100" w:type="dxa"/>
              <w:bottom w:w="90" w:type="dxa"/>
              <w:end w:w="100" w:type="dxa"/>
            </w:tcMar>
            <w:shd w:fill="F3F6F8"/>
            <w:tcBorders>
              <w:bottom w:val="single" w:sz="4" w:color="D9E1E6"/>
            </w:tcBorders>
          </w:tcPr>
          <w:p>
            <w:pPr>
              <w:spacing w:after="0" w:line="257" w:lineRule="auto"/>
            </w:pPr>
            <w:r>
              <w:rPr>
                <w:sz w:val="16"/>
              </w:rPr>
              <w:t>Original preservado; TTL; no-overwrite; caminho único; hash; ownership.</w:t>
            </w:r>
          </w:p>
        </w:tc>
      </w:tr>
      <w:tr>
        <w:trPr>
          <w:cantSplit/>
        </w:trPr>
        <w:tc>
          <w:tcPr>
            <w:tcW w:type="dxa" w:w="1928"/>
            <w:vAlign w:val="center"/>
            <w:tcMar>
              <w:top w:w="90" w:type="dxa"/>
              <w:start w:w="100" w:type="dxa"/>
              <w:bottom w:w="90" w:type="dxa"/>
              <w:end w:w="100" w:type="dxa"/>
            </w:tcMar>
            <w:tcBorders>
              <w:bottom w:val="single" w:sz="4" w:color="D9E1E6"/>
            </w:tcBorders>
          </w:tcPr>
          <w:p>
            <w:pPr>
              <w:spacing w:after="0" w:line="257" w:lineRule="auto"/>
            </w:pPr>
            <w:r>
              <w:rPr>
                <w:sz w:val="16"/>
              </w:rPr>
              <w:t>Bronze</w:t>
            </w:r>
          </w:p>
        </w:tc>
        <w:tc>
          <w:tcPr>
            <w:tcW w:type="dxa" w:w="6406"/>
            <w:vAlign w:val="center"/>
            <w:tcMar>
              <w:top w:w="90" w:type="dxa"/>
              <w:start w:w="100" w:type="dxa"/>
              <w:bottom w:w="90" w:type="dxa"/>
              <w:end w:w="100" w:type="dxa"/>
            </w:tcMar>
            <w:tcBorders>
              <w:bottom w:val="single" w:sz="4" w:color="D9E1E6"/>
            </w:tcBorders>
          </w:tcPr>
          <w:p>
            <w:pPr>
              <w:spacing w:after="0" w:line="257" w:lineRule="auto"/>
            </w:pPr>
            <w:r>
              <w:rPr>
                <w:sz w:val="16"/>
              </w:rPr>
              <w:t>Evidência de captura; metadados; política de tipos; replay; retenção testada.</w:t>
            </w:r>
          </w:p>
        </w:tc>
      </w:tr>
      <w:tr>
        <w:trPr>
          <w:cantSplit/>
        </w:trPr>
        <w:tc>
          <w:tcPr>
            <w:tcW w:type="dxa" w:w="1928"/>
            <w:vAlign w:val="center"/>
            <w:tcMar>
              <w:top w:w="90" w:type="dxa"/>
              <w:start w:w="100" w:type="dxa"/>
              <w:bottom w:w="90" w:type="dxa"/>
              <w:end w:w="100" w:type="dxa"/>
            </w:tcMar>
            <w:shd w:fill="F3F6F8"/>
            <w:tcBorders>
              <w:bottom w:val="single" w:sz="4" w:color="D9E1E6"/>
            </w:tcBorders>
          </w:tcPr>
          <w:p>
            <w:pPr>
              <w:spacing w:after="0" w:line="257" w:lineRule="auto"/>
            </w:pPr>
            <w:r>
              <w:rPr>
                <w:sz w:val="16"/>
              </w:rPr>
              <w:t>Silver Técnica</w:t>
            </w:r>
          </w:p>
        </w:tc>
        <w:tc>
          <w:tcPr>
            <w:tcW w:type="dxa" w:w="6406"/>
            <w:vAlign w:val="center"/>
            <w:tcMar>
              <w:top w:w="90" w:type="dxa"/>
              <w:start w:w="100" w:type="dxa"/>
              <w:bottom w:w="90" w:type="dxa"/>
              <w:end w:w="100" w:type="dxa"/>
            </w:tcMar>
            <w:shd w:fill="F3F6F8"/>
            <w:tcBorders>
              <w:bottom w:val="single" w:sz="4" w:color="D9E1E6"/>
            </w:tcBorders>
          </w:tcPr>
          <w:p>
            <w:pPr>
              <w:spacing w:after="0" w:line="257" w:lineRule="auto"/>
            </w:pPr>
            <w:r>
              <w:rPr>
                <w:sz w:val="16"/>
              </w:rPr>
              <w:t>Dedup e parse; histórico correto; deletes; linha inválida isolada; persistência.</w:t>
            </w:r>
          </w:p>
        </w:tc>
      </w:tr>
      <w:tr>
        <w:trPr>
          <w:cantSplit/>
        </w:trPr>
        <w:tc>
          <w:tcPr>
            <w:tcW w:type="dxa" w:w="1928"/>
            <w:vAlign w:val="center"/>
            <w:tcMar>
              <w:top w:w="90" w:type="dxa"/>
              <w:start w:w="100" w:type="dxa"/>
              <w:bottom w:w="90" w:type="dxa"/>
              <w:end w:w="100" w:type="dxa"/>
            </w:tcMar>
            <w:tcBorders>
              <w:bottom w:val="single" w:sz="4" w:color="D9E1E6"/>
            </w:tcBorders>
          </w:tcPr>
          <w:p>
            <w:pPr>
              <w:spacing w:after="0" w:line="257" w:lineRule="auto"/>
            </w:pPr>
            <w:r>
              <w:rPr>
                <w:sz w:val="16"/>
              </w:rPr>
              <w:t>Silver Analítica</w:t>
            </w:r>
          </w:p>
        </w:tc>
        <w:tc>
          <w:tcPr>
            <w:tcW w:type="dxa" w:w="6406"/>
            <w:vAlign w:val="center"/>
            <w:tcMar>
              <w:top w:w="90" w:type="dxa"/>
              <w:start w:w="100" w:type="dxa"/>
              <w:bottom w:w="90" w:type="dxa"/>
              <w:end w:w="100" w:type="dxa"/>
            </w:tcMar>
            <w:tcBorders>
              <w:bottom w:val="single" w:sz="4" w:color="D9E1E6"/>
            </w:tcBorders>
          </w:tcPr>
          <w:p>
            <w:pPr>
              <w:spacing w:after="0" w:line="257" w:lineRule="auto"/>
            </w:pPr>
            <w:r>
              <w:rPr>
                <w:sz w:val="16"/>
              </w:rPr>
              <w:t>Regras compartilhadas; dono; materialização justificada; contratos por domínio.</w:t>
            </w:r>
          </w:p>
        </w:tc>
      </w:tr>
      <w:tr>
        <w:trPr>
          <w:cantSplit/>
        </w:trPr>
        <w:tc>
          <w:tcPr>
            <w:tcW w:type="dxa" w:w="1928"/>
            <w:vAlign w:val="center"/>
            <w:tcMar>
              <w:top w:w="90" w:type="dxa"/>
              <w:start w:w="100" w:type="dxa"/>
              <w:bottom w:w="90" w:type="dxa"/>
              <w:end w:w="100" w:type="dxa"/>
            </w:tcMar>
            <w:shd w:fill="F3F6F8"/>
            <w:tcBorders>
              <w:bottom w:val="single" w:sz="4" w:color="D9E1E6"/>
            </w:tcBorders>
          </w:tcPr>
          <w:p>
            <w:pPr>
              <w:spacing w:after="0" w:line="257" w:lineRule="auto"/>
            </w:pPr>
            <w:r>
              <w:rPr>
                <w:sz w:val="16"/>
              </w:rPr>
              <w:t>Gold</w:t>
            </w:r>
          </w:p>
        </w:tc>
        <w:tc>
          <w:tcPr>
            <w:tcW w:type="dxa" w:w="6406"/>
            <w:vAlign w:val="center"/>
            <w:tcMar>
              <w:top w:w="90" w:type="dxa"/>
              <w:start w:w="100" w:type="dxa"/>
              <w:bottom w:w="90" w:type="dxa"/>
              <w:end w:w="100" w:type="dxa"/>
            </w:tcMar>
            <w:shd w:fill="F3F6F8"/>
            <w:tcBorders>
              <w:bottom w:val="single" w:sz="4" w:color="D9E1E6"/>
            </w:tcBorders>
          </w:tcPr>
          <w:p>
            <w:pPr>
              <w:spacing w:after="0" w:line="257" w:lineRule="auto"/>
            </w:pPr>
            <w:r>
              <w:rPr>
                <w:sz w:val="16"/>
              </w:rPr>
              <w:t>Grão; fatos/dimensões; BK/SK; integridade; versionamento; contrato de saída.</w:t>
            </w:r>
          </w:p>
        </w:tc>
      </w:tr>
      <w:tr>
        <w:trPr>
          <w:cantSplit/>
        </w:trPr>
        <w:tc>
          <w:tcPr>
            <w:tcW w:type="dxa" w:w="1928"/>
            <w:vAlign w:val="center"/>
            <w:tcMar>
              <w:top w:w="90" w:type="dxa"/>
              <w:start w:w="100" w:type="dxa"/>
              <w:bottom w:w="90" w:type="dxa"/>
              <w:end w:w="100" w:type="dxa"/>
            </w:tcMar>
            <w:tcBorders>
              <w:bottom w:val="single" w:sz="4" w:color="D9E1E6"/>
            </w:tcBorders>
          </w:tcPr>
          <w:p>
            <w:pPr>
              <w:spacing w:after="0" w:line="257" w:lineRule="auto"/>
            </w:pPr>
            <w:r>
              <w:rPr>
                <w:sz w:val="16"/>
              </w:rPr>
              <w:t>Controle</w:t>
            </w:r>
          </w:p>
        </w:tc>
        <w:tc>
          <w:tcPr>
            <w:tcW w:type="dxa" w:w="6406"/>
            <w:vAlign w:val="center"/>
            <w:tcMar>
              <w:top w:w="90" w:type="dxa"/>
              <w:start w:w="100" w:type="dxa"/>
              <w:bottom w:w="90" w:type="dxa"/>
              <w:end w:w="100" w:type="dxa"/>
            </w:tcMar>
            <w:tcBorders>
              <w:bottom w:val="single" w:sz="4" w:color="D9E1E6"/>
            </w:tcBorders>
          </w:tcPr>
          <w:p>
            <w:pPr>
              <w:spacing w:after="0" w:line="257" w:lineRule="auto"/>
            </w:pPr>
            <w:r>
              <w:rPr>
                <w:sz w:val="16"/>
              </w:rPr>
              <w:t>ADRs, testes, gates, quarentena, incidente, replay, publicação e SLA.</w:t>
            </w:r>
          </w:p>
        </w:tc>
      </w:tr>
      <w:tr>
        <w:trPr>
          <w:cantSplit/>
        </w:trPr>
        <w:tc>
          <w:tcPr>
            <w:tcW w:type="dxa" w:w="1928"/>
            <w:vAlign w:val="center"/>
            <w:tcMar>
              <w:top w:w="90" w:type="dxa"/>
              <w:start w:w="100" w:type="dxa"/>
              <w:bottom w:w="90" w:type="dxa"/>
              <w:end w:w="100" w:type="dxa"/>
            </w:tcMar>
            <w:shd w:fill="F3F6F8"/>
            <w:tcBorders>
              <w:bottom w:val="single" w:sz="4" w:color="D9E1E6"/>
            </w:tcBorders>
          </w:tcPr>
          <w:p>
            <w:pPr>
              <w:spacing w:after="0" w:line="257" w:lineRule="auto"/>
            </w:pPr>
            <w:r>
              <w:rPr>
                <w:sz w:val="16"/>
              </w:rPr>
              <w:t>Governança</w:t>
            </w:r>
          </w:p>
        </w:tc>
        <w:tc>
          <w:tcPr>
            <w:tcW w:type="dxa" w:w="6406"/>
            <w:vAlign w:val="center"/>
            <w:tcMar>
              <w:top w:w="90" w:type="dxa"/>
              <w:start w:w="100" w:type="dxa"/>
              <w:bottom w:w="90" w:type="dxa"/>
              <w:end w:w="100" w:type="dxa"/>
            </w:tcMar>
            <w:shd w:fill="F3F6F8"/>
            <w:tcBorders>
              <w:bottom w:val="single" w:sz="4" w:color="D9E1E6"/>
            </w:tcBorders>
          </w:tcPr>
          <w:p>
            <w:pPr>
              <w:spacing w:after="0" w:line="257" w:lineRule="auto"/>
            </w:pPr>
            <w:r>
              <w:rPr>
                <w:sz w:val="16"/>
              </w:rPr>
              <w:t>Identidade, classificação, catálogo, lineage, custos, auditoria e segurança.</w:t>
            </w:r>
          </w:p>
        </w:tc>
      </w:tr>
    </w:tbl>
    <w:p>
      <w:pPr>
        <w:spacing w:after="0"/>
      </w:pPr>
    </w:p>
    <w:p>
      <w:pPr>
        <w:pStyle w:val="Heading1"/>
      </w:pPr>
      <w:r>
        <w:t>Anexo D. Glossário de termos</w:t>
      </w:r>
    </w:p>
    <w:tbl>
      <w:tblPr>
        <w:tblW w:type="auto" w:w="0"/>
        <w:jc w:val="center"/>
        <w:tblLayout w:type="fixed"/>
        <w:tblLook w:firstColumn="1" w:firstRow="1" w:lastColumn="0" w:lastRow="0" w:noHBand="0" w:noVBand="1" w:val="04A0"/>
      </w:tblPr>
      <w:tblGrid>
        <w:gridCol w:w="2268"/>
        <w:gridCol w:w="6066"/>
      </w:tblGrid>
      <w:tr>
        <w:trPr>
          <w:tblHeader w:val="true"/>
          <w:cantSplit/>
        </w:trPr>
        <w:tc>
          <w:tcPr>
            <w:tcW w:type="dxa" w:w="4776"/>
            <w:shd w:fill="142439"/>
            <w:tcMar>
              <w:top w:w="95" w:type="dxa"/>
              <w:start w:w="100" w:type="dxa"/>
              <w:bottom w:w="95" w:type="dxa"/>
              <w:end w:w="100" w:type="dxa"/>
            </w:tcMar>
          </w:tcPr>
          <w:p>
            <w:pPr>
              <w:spacing w:after="0"/>
            </w:pPr>
            <w:r>
              <w:rPr>
                <w:b/>
                <w:color w:val="FFFFFF"/>
                <w:sz w:val="16"/>
              </w:rPr>
              <w:t>Termo</w:t>
            </w:r>
          </w:p>
        </w:tc>
        <w:tc>
          <w:tcPr>
            <w:tcW w:type="dxa" w:w="4776"/>
            <w:shd w:fill="142439"/>
            <w:tcMar>
              <w:top w:w="95" w:type="dxa"/>
              <w:start w:w="100" w:type="dxa"/>
              <w:bottom w:w="95" w:type="dxa"/>
              <w:end w:w="100" w:type="dxa"/>
            </w:tcMar>
          </w:tcPr>
          <w:p>
            <w:pPr>
              <w:spacing w:after="0"/>
            </w:pPr>
            <w:r>
              <w:rPr>
                <w:b/>
                <w:color w:val="FFFFFF"/>
                <w:sz w:val="16"/>
              </w:rPr>
              <w:t>Definição aplicada</w:t>
            </w:r>
          </w:p>
        </w:tc>
      </w:tr>
      <w:tr>
        <w:trPr>
          <w:cantSplit/>
        </w:trPr>
        <w:tc>
          <w:tcPr>
            <w:tcW w:type="dxa" w:w="2268"/>
            <w:vAlign w:val="center"/>
            <w:tcMar>
              <w:top w:w="90" w:type="dxa"/>
              <w:start w:w="100" w:type="dxa"/>
              <w:bottom w:w="90" w:type="dxa"/>
              <w:end w:w="100" w:type="dxa"/>
            </w:tcMar>
            <w:tcBorders>
              <w:bottom w:val="single" w:sz="4" w:color="D9E1E6"/>
            </w:tcBorders>
          </w:tcPr>
          <w:p>
            <w:pPr>
              <w:spacing w:after="0" w:line="257" w:lineRule="auto"/>
            </w:pPr>
            <w:r>
              <w:rPr>
                <w:sz w:val="16"/>
              </w:rPr>
              <w:t>Landing</w:t>
            </w:r>
          </w:p>
        </w:tc>
        <w:tc>
          <w:tcPr>
            <w:tcW w:type="dxa" w:w="6066"/>
            <w:vAlign w:val="center"/>
            <w:tcMar>
              <w:top w:w="90" w:type="dxa"/>
              <w:start w:w="100" w:type="dxa"/>
              <w:bottom w:w="90" w:type="dxa"/>
              <w:end w:w="100" w:type="dxa"/>
            </w:tcMar>
            <w:tcBorders>
              <w:bottom w:val="single" w:sz="4" w:color="D9E1E6"/>
            </w:tcBorders>
          </w:tcPr>
          <w:p>
            <w:pPr>
              <w:spacing w:after="0" w:line="257" w:lineRule="auto"/>
            </w:pPr>
            <w:r>
              <w:rPr>
                <w:sz w:val="16"/>
              </w:rPr>
              <w:t>Zona transitória de pouso do conteúdo originalmente capturado.</w:t>
            </w:r>
          </w:p>
        </w:tc>
      </w:tr>
      <w:tr>
        <w:trPr>
          <w:cantSplit/>
        </w:trPr>
        <w:tc>
          <w:tcPr>
            <w:tcW w:type="dxa" w:w="2268"/>
            <w:vAlign w:val="center"/>
            <w:tcMar>
              <w:top w:w="90" w:type="dxa"/>
              <w:start w:w="100" w:type="dxa"/>
              <w:bottom w:w="90" w:type="dxa"/>
              <w:end w:w="100" w:type="dxa"/>
            </w:tcMar>
            <w:shd w:fill="F3F6F8"/>
            <w:tcBorders>
              <w:bottom w:val="single" w:sz="4" w:color="D9E1E6"/>
            </w:tcBorders>
          </w:tcPr>
          <w:p>
            <w:pPr>
              <w:spacing w:after="0" w:line="257" w:lineRule="auto"/>
            </w:pPr>
            <w:r>
              <w:rPr>
                <w:sz w:val="16"/>
              </w:rPr>
              <w:t>Bronze</w:t>
            </w:r>
          </w:p>
        </w:tc>
        <w:tc>
          <w:tcPr>
            <w:tcW w:type="dxa" w:w="6066"/>
            <w:vAlign w:val="center"/>
            <w:tcMar>
              <w:top w:w="90" w:type="dxa"/>
              <w:start w:w="100" w:type="dxa"/>
              <w:bottom w:w="90" w:type="dxa"/>
              <w:end w:w="100" w:type="dxa"/>
            </w:tcMar>
            <w:shd w:fill="F3F6F8"/>
            <w:tcBorders>
              <w:bottom w:val="single" w:sz="4" w:color="D9E1E6"/>
            </w:tcBorders>
          </w:tcPr>
          <w:p>
            <w:pPr>
              <w:spacing w:after="0" w:line="257" w:lineRule="auto"/>
            </w:pPr>
            <w:r>
              <w:rPr>
                <w:sz w:val="16"/>
              </w:rPr>
              <w:t>Evidência bruta persistida, com semântica explícita de evento/snapshot.</w:t>
            </w:r>
          </w:p>
        </w:tc>
      </w:tr>
      <w:tr>
        <w:trPr>
          <w:cantSplit/>
        </w:trPr>
        <w:tc>
          <w:tcPr>
            <w:tcW w:type="dxa" w:w="2268"/>
            <w:vAlign w:val="center"/>
            <w:tcMar>
              <w:top w:w="90" w:type="dxa"/>
              <w:start w:w="100" w:type="dxa"/>
              <w:bottom w:w="90" w:type="dxa"/>
              <w:end w:w="100" w:type="dxa"/>
            </w:tcMar>
            <w:tcBorders>
              <w:bottom w:val="single" w:sz="4" w:color="D9E1E6"/>
            </w:tcBorders>
          </w:tcPr>
          <w:p>
            <w:pPr>
              <w:spacing w:after="0" w:line="257" w:lineRule="auto"/>
            </w:pPr>
            <w:r>
              <w:rPr>
                <w:sz w:val="16"/>
              </w:rPr>
              <w:t>Silver Técnica</w:t>
            </w:r>
          </w:p>
        </w:tc>
        <w:tc>
          <w:tcPr>
            <w:tcW w:type="dxa" w:w="6066"/>
            <w:vAlign w:val="center"/>
            <w:tcMar>
              <w:top w:w="90" w:type="dxa"/>
              <w:start w:w="100" w:type="dxa"/>
              <w:bottom w:w="90" w:type="dxa"/>
              <w:end w:w="100" w:type="dxa"/>
            </w:tcMar>
            <w:tcBorders>
              <w:bottom w:val="single" w:sz="4" w:color="D9E1E6"/>
            </w:tcBorders>
          </w:tcPr>
          <w:p>
            <w:pPr>
              <w:spacing w:after="0" w:line="257" w:lineRule="auto"/>
            </w:pPr>
            <w:r>
              <w:rPr>
                <w:sz w:val="16"/>
              </w:rPr>
              <w:t>Entidade tecnicamente correta, persistida e fiel à origem.</w:t>
            </w:r>
          </w:p>
        </w:tc>
      </w:tr>
      <w:tr>
        <w:trPr>
          <w:cantSplit/>
        </w:trPr>
        <w:tc>
          <w:tcPr>
            <w:tcW w:type="dxa" w:w="2268"/>
            <w:vAlign w:val="center"/>
            <w:tcMar>
              <w:top w:w="90" w:type="dxa"/>
              <w:start w:w="100" w:type="dxa"/>
              <w:bottom w:w="90" w:type="dxa"/>
              <w:end w:w="100" w:type="dxa"/>
            </w:tcMar>
            <w:shd w:fill="F3F6F8"/>
            <w:tcBorders>
              <w:bottom w:val="single" w:sz="4" w:color="D9E1E6"/>
            </w:tcBorders>
          </w:tcPr>
          <w:p>
            <w:pPr>
              <w:spacing w:after="0" w:line="257" w:lineRule="auto"/>
            </w:pPr>
            <w:r>
              <w:rPr>
                <w:sz w:val="16"/>
              </w:rPr>
              <w:t>Silver Analítica</w:t>
            </w:r>
          </w:p>
        </w:tc>
        <w:tc>
          <w:tcPr>
            <w:tcW w:type="dxa" w:w="6066"/>
            <w:vAlign w:val="center"/>
            <w:tcMar>
              <w:top w:w="90" w:type="dxa"/>
              <w:start w:w="100" w:type="dxa"/>
              <w:bottom w:w="90" w:type="dxa"/>
              <w:end w:w="100" w:type="dxa"/>
            </w:tcMar>
            <w:shd w:fill="F3F6F8"/>
            <w:tcBorders>
              <w:bottom w:val="single" w:sz="4" w:color="D9E1E6"/>
            </w:tcBorders>
          </w:tcPr>
          <w:p>
            <w:pPr>
              <w:spacing w:after="0" w:line="257" w:lineRule="auto"/>
            </w:pPr>
            <w:r>
              <w:rPr>
                <w:sz w:val="16"/>
              </w:rPr>
              <w:t>Entidade reutilizável com semântica compartilhada por domínio.</w:t>
            </w:r>
          </w:p>
        </w:tc>
      </w:tr>
      <w:tr>
        <w:trPr>
          <w:cantSplit/>
        </w:trPr>
        <w:tc>
          <w:tcPr>
            <w:tcW w:type="dxa" w:w="2268"/>
            <w:vAlign w:val="center"/>
            <w:tcMar>
              <w:top w:w="90" w:type="dxa"/>
              <w:start w:w="100" w:type="dxa"/>
              <w:bottom w:w="90" w:type="dxa"/>
              <w:end w:w="100" w:type="dxa"/>
            </w:tcMar>
            <w:tcBorders>
              <w:bottom w:val="single" w:sz="4" w:color="D9E1E6"/>
            </w:tcBorders>
          </w:tcPr>
          <w:p>
            <w:pPr>
              <w:spacing w:after="0" w:line="257" w:lineRule="auto"/>
            </w:pPr>
            <w:r>
              <w:rPr>
                <w:sz w:val="16"/>
              </w:rPr>
              <w:t>Gold</w:t>
            </w:r>
          </w:p>
        </w:tc>
        <w:tc>
          <w:tcPr>
            <w:tcW w:type="dxa" w:w="6066"/>
            <w:vAlign w:val="center"/>
            <w:tcMar>
              <w:top w:w="90" w:type="dxa"/>
              <w:start w:w="100" w:type="dxa"/>
              <w:bottom w:w="90" w:type="dxa"/>
              <w:end w:w="100" w:type="dxa"/>
            </w:tcMar>
            <w:tcBorders>
              <w:bottom w:val="single" w:sz="4" w:color="D9E1E6"/>
            </w:tcBorders>
          </w:tcPr>
          <w:p>
            <w:pPr>
              <w:spacing w:after="0" w:line="257" w:lineRule="auto"/>
            </w:pPr>
            <w:r>
              <w:rPr>
                <w:sz w:val="16"/>
              </w:rPr>
              <w:t>Produto analítico orientado ao grão, métricas e consumo.</w:t>
            </w:r>
          </w:p>
        </w:tc>
      </w:tr>
      <w:tr>
        <w:trPr>
          <w:cantSplit/>
        </w:trPr>
        <w:tc>
          <w:tcPr>
            <w:tcW w:type="dxa" w:w="2268"/>
            <w:vAlign w:val="center"/>
            <w:tcMar>
              <w:top w:w="90" w:type="dxa"/>
              <w:start w:w="100" w:type="dxa"/>
              <w:bottom w:w="90" w:type="dxa"/>
              <w:end w:w="100" w:type="dxa"/>
            </w:tcMar>
            <w:shd w:fill="F3F6F8"/>
            <w:tcBorders>
              <w:bottom w:val="single" w:sz="4" w:color="D9E1E6"/>
            </w:tcBorders>
          </w:tcPr>
          <w:p>
            <w:pPr>
              <w:spacing w:after="0" w:line="257" w:lineRule="auto"/>
            </w:pPr>
            <w:r>
              <w:rPr>
                <w:sz w:val="16"/>
              </w:rPr>
              <w:t>CDC</w:t>
            </w:r>
          </w:p>
        </w:tc>
        <w:tc>
          <w:tcPr>
            <w:tcW w:type="dxa" w:w="6066"/>
            <w:vAlign w:val="center"/>
            <w:tcMar>
              <w:top w:w="90" w:type="dxa"/>
              <w:start w:w="100" w:type="dxa"/>
              <w:bottom w:w="90" w:type="dxa"/>
              <w:end w:w="100" w:type="dxa"/>
            </w:tcMar>
            <w:shd w:fill="F3F6F8"/>
            <w:tcBorders>
              <w:bottom w:val="single" w:sz="4" w:color="D9E1E6"/>
            </w:tcBorders>
          </w:tcPr>
          <w:p>
            <w:pPr>
              <w:spacing w:after="0" w:line="257" w:lineRule="auto"/>
            </w:pPr>
            <w:r>
              <w:rPr>
                <w:sz w:val="16"/>
              </w:rPr>
              <w:t>Captura de mudanças por mecanismo da origem com ordem e operações.</w:t>
            </w:r>
          </w:p>
        </w:tc>
      </w:tr>
      <w:tr>
        <w:trPr>
          <w:cantSplit/>
        </w:trPr>
        <w:tc>
          <w:tcPr>
            <w:tcW w:type="dxa" w:w="2268"/>
            <w:vAlign w:val="center"/>
            <w:tcMar>
              <w:top w:w="90" w:type="dxa"/>
              <w:start w:w="100" w:type="dxa"/>
              <w:bottom w:w="90" w:type="dxa"/>
              <w:end w:w="100" w:type="dxa"/>
            </w:tcMar>
            <w:tcBorders>
              <w:bottom w:val="single" w:sz="4" w:color="D9E1E6"/>
            </w:tcBorders>
          </w:tcPr>
          <w:p>
            <w:pPr>
              <w:spacing w:after="0" w:line="257" w:lineRule="auto"/>
            </w:pPr>
            <w:r>
              <w:rPr>
                <w:sz w:val="16"/>
              </w:rPr>
              <w:t>Snapshot Diff</w:t>
            </w:r>
          </w:p>
        </w:tc>
        <w:tc>
          <w:tcPr>
            <w:tcW w:type="dxa" w:w="6066"/>
            <w:vAlign w:val="center"/>
            <w:tcMar>
              <w:top w:w="90" w:type="dxa"/>
              <w:start w:w="100" w:type="dxa"/>
              <w:bottom w:w="90" w:type="dxa"/>
              <w:end w:w="100" w:type="dxa"/>
            </w:tcMar>
            <w:tcBorders>
              <w:bottom w:val="single" w:sz="4" w:color="D9E1E6"/>
            </w:tcBorders>
          </w:tcPr>
          <w:p>
            <w:pPr>
              <w:spacing w:after="0" w:line="257" w:lineRule="auto"/>
            </w:pPr>
            <w:r>
              <w:rPr>
                <w:sz w:val="16"/>
              </w:rPr>
              <w:t>Comparação entre dois estados observados completos.</w:t>
            </w:r>
          </w:p>
        </w:tc>
      </w:tr>
      <w:tr>
        <w:trPr>
          <w:cantSplit/>
        </w:trPr>
        <w:tc>
          <w:tcPr>
            <w:tcW w:type="dxa" w:w="2268"/>
            <w:vAlign w:val="center"/>
            <w:tcMar>
              <w:top w:w="90" w:type="dxa"/>
              <w:start w:w="100" w:type="dxa"/>
              <w:bottom w:w="90" w:type="dxa"/>
              <w:end w:w="100" w:type="dxa"/>
            </w:tcMar>
            <w:shd w:fill="F3F6F8"/>
            <w:tcBorders>
              <w:bottom w:val="single" w:sz="4" w:color="D9E1E6"/>
            </w:tcBorders>
          </w:tcPr>
          <w:p>
            <w:pPr>
              <w:spacing w:after="0" w:line="257" w:lineRule="auto"/>
            </w:pPr>
            <w:r>
              <w:rPr>
                <w:sz w:val="16"/>
              </w:rPr>
              <w:t>SCD2</w:t>
            </w:r>
          </w:p>
        </w:tc>
        <w:tc>
          <w:tcPr>
            <w:tcW w:type="dxa" w:w="6066"/>
            <w:vAlign w:val="center"/>
            <w:tcMar>
              <w:top w:w="90" w:type="dxa"/>
              <w:start w:w="100" w:type="dxa"/>
              <w:bottom w:w="90" w:type="dxa"/>
              <w:end w:w="100" w:type="dxa"/>
            </w:tcMar>
            <w:shd w:fill="F3F6F8"/>
            <w:tcBorders>
              <w:bottom w:val="single" w:sz="4" w:color="D9E1E6"/>
            </w:tcBorders>
          </w:tcPr>
          <w:p>
            <w:pPr>
              <w:spacing w:after="0" w:line="257" w:lineRule="auto"/>
            </w:pPr>
            <w:r>
              <w:rPr>
                <w:sz w:val="16"/>
              </w:rPr>
              <w:t>Histórico de versões de atributos com intervalo de vigência.</w:t>
            </w:r>
          </w:p>
        </w:tc>
      </w:tr>
      <w:tr>
        <w:trPr>
          <w:cantSplit/>
        </w:trPr>
        <w:tc>
          <w:tcPr>
            <w:tcW w:type="dxa" w:w="2268"/>
            <w:vAlign w:val="center"/>
            <w:tcMar>
              <w:top w:w="90" w:type="dxa"/>
              <w:start w:w="100" w:type="dxa"/>
              <w:bottom w:w="90" w:type="dxa"/>
              <w:end w:w="100" w:type="dxa"/>
            </w:tcMar>
            <w:tcBorders>
              <w:bottom w:val="single" w:sz="4" w:color="D9E1E6"/>
            </w:tcBorders>
          </w:tcPr>
          <w:p>
            <w:pPr>
              <w:spacing w:after="0" w:line="257" w:lineRule="auto"/>
            </w:pPr>
            <w:r>
              <w:rPr>
                <w:sz w:val="16"/>
              </w:rPr>
              <w:t>BK / SK</w:t>
            </w:r>
          </w:p>
        </w:tc>
        <w:tc>
          <w:tcPr>
            <w:tcW w:type="dxa" w:w="6066"/>
            <w:vAlign w:val="center"/>
            <w:tcMar>
              <w:top w:w="90" w:type="dxa"/>
              <w:start w:w="100" w:type="dxa"/>
              <w:bottom w:w="90" w:type="dxa"/>
              <w:end w:w="100" w:type="dxa"/>
            </w:tcMar>
            <w:tcBorders>
              <w:bottom w:val="single" w:sz="4" w:color="D9E1E6"/>
            </w:tcBorders>
          </w:tcPr>
          <w:p>
            <w:pPr>
              <w:spacing w:after="0" w:line="257" w:lineRule="auto"/>
            </w:pPr>
            <w:r>
              <w:rPr>
                <w:sz w:val="16"/>
              </w:rPr>
              <w:t>Chave de negócio / chave substituta de uma linha ou versão.</w:t>
            </w:r>
          </w:p>
        </w:tc>
      </w:tr>
      <w:tr>
        <w:trPr>
          <w:cantSplit/>
        </w:trPr>
        <w:tc>
          <w:tcPr>
            <w:tcW w:type="dxa" w:w="2268"/>
            <w:vAlign w:val="center"/>
            <w:tcMar>
              <w:top w:w="90" w:type="dxa"/>
              <w:start w:w="100" w:type="dxa"/>
              <w:bottom w:w="90" w:type="dxa"/>
              <w:end w:w="100" w:type="dxa"/>
            </w:tcMar>
            <w:shd w:fill="F3F6F8"/>
            <w:tcBorders>
              <w:bottom w:val="single" w:sz="4" w:color="D9E1E6"/>
            </w:tcBorders>
          </w:tcPr>
          <w:p>
            <w:pPr>
              <w:spacing w:after="0" w:line="257" w:lineRule="auto"/>
            </w:pPr>
            <w:r>
              <w:rPr>
                <w:sz w:val="16"/>
              </w:rPr>
              <w:t>Quarentena</w:t>
            </w:r>
          </w:p>
        </w:tc>
        <w:tc>
          <w:tcPr>
            <w:tcW w:type="dxa" w:w="6066"/>
            <w:vAlign w:val="center"/>
            <w:tcMar>
              <w:top w:w="90" w:type="dxa"/>
              <w:start w:w="100" w:type="dxa"/>
              <w:bottom w:w="90" w:type="dxa"/>
              <w:end w:w="100" w:type="dxa"/>
            </w:tcMar>
            <w:shd w:fill="F3F6F8"/>
            <w:tcBorders>
              <w:bottom w:val="single" w:sz="4" w:color="D9E1E6"/>
            </w:tcBorders>
          </w:tcPr>
          <w:p>
            <w:pPr>
              <w:spacing w:after="0" w:line="257" w:lineRule="auto"/>
            </w:pPr>
            <w:r>
              <w:rPr>
                <w:sz w:val="16"/>
              </w:rPr>
              <w:t>Armazenamento e fluxo de resolução de unidade não conforme.</w:t>
            </w:r>
          </w:p>
        </w:tc>
      </w:tr>
      <w:tr>
        <w:trPr>
          <w:cantSplit/>
        </w:trPr>
        <w:tc>
          <w:tcPr>
            <w:tcW w:type="dxa" w:w="2268"/>
            <w:vAlign w:val="center"/>
            <w:tcMar>
              <w:top w:w="90" w:type="dxa"/>
              <w:start w:w="100" w:type="dxa"/>
              <w:bottom w:w="90" w:type="dxa"/>
              <w:end w:w="100" w:type="dxa"/>
            </w:tcMar>
            <w:tcBorders>
              <w:bottom w:val="single" w:sz="4" w:color="D9E1E6"/>
            </w:tcBorders>
          </w:tcPr>
          <w:p>
            <w:pPr>
              <w:spacing w:after="0" w:line="257" w:lineRule="auto"/>
            </w:pPr>
            <w:r>
              <w:rPr>
                <w:sz w:val="16"/>
              </w:rPr>
              <w:t>Replay</w:t>
            </w:r>
          </w:p>
        </w:tc>
        <w:tc>
          <w:tcPr>
            <w:tcW w:type="dxa" w:w="6066"/>
            <w:vAlign w:val="center"/>
            <w:tcMar>
              <w:top w:w="90" w:type="dxa"/>
              <w:start w:w="100" w:type="dxa"/>
              <w:bottom w:w="90" w:type="dxa"/>
              <w:end w:w="100" w:type="dxa"/>
            </w:tcMar>
            <w:tcBorders>
              <w:bottom w:val="single" w:sz="4" w:color="D9E1E6"/>
            </w:tcBorders>
          </w:tcPr>
          <w:p>
            <w:pPr>
              <w:spacing w:after="0" w:line="257" w:lineRule="auto"/>
            </w:pPr>
            <w:r>
              <w:rPr>
                <w:sz w:val="16"/>
              </w:rPr>
              <w:t>Reexecução rastreável e idempotente de unidade afetada.</w:t>
            </w:r>
          </w:p>
        </w:tc>
      </w:tr>
      <w:tr>
        <w:trPr>
          <w:cantSplit/>
        </w:trPr>
        <w:tc>
          <w:tcPr>
            <w:tcW w:type="dxa" w:w="2268"/>
            <w:vAlign w:val="center"/>
            <w:tcMar>
              <w:top w:w="90" w:type="dxa"/>
              <w:start w:w="100" w:type="dxa"/>
              <w:bottom w:w="90" w:type="dxa"/>
              <w:end w:w="100" w:type="dxa"/>
            </w:tcMar>
            <w:shd w:fill="F3F6F8"/>
            <w:tcBorders>
              <w:bottom w:val="single" w:sz="4" w:color="D9E1E6"/>
            </w:tcBorders>
          </w:tcPr>
          <w:p>
            <w:pPr>
              <w:spacing w:after="0" w:line="257" w:lineRule="auto"/>
            </w:pPr>
            <w:r>
              <w:rPr>
                <w:sz w:val="16"/>
              </w:rPr>
              <w:t>Publicação versionada</w:t>
            </w:r>
          </w:p>
        </w:tc>
        <w:tc>
          <w:tcPr>
            <w:tcW w:type="dxa" w:w="6066"/>
            <w:vAlign w:val="center"/>
            <w:tcMar>
              <w:top w:w="90" w:type="dxa"/>
              <w:start w:w="100" w:type="dxa"/>
              <w:bottom w:w="90" w:type="dxa"/>
              <w:end w:w="100" w:type="dxa"/>
            </w:tcMar>
            <w:shd w:fill="F3F6F8"/>
            <w:tcBorders>
              <w:bottom w:val="single" w:sz="4" w:color="D9E1E6"/>
            </w:tcBorders>
          </w:tcPr>
          <w:p>
            <w:pPr>
              <w:spacing w:after="0" w:line="257" w:lineRule="auto"/>
            </w:pPr>
            <w:r>
              <w:rPr>
                <w:sz w:val="16"/>
              </w:rPr>
              <w:t>Exposição explícita de revisão aprovada dos produtos.</w:t>
            </w:r>
          </w:p>
        </w:tc>
      </w:tr>
      <w:tr>
        <w:trPr>
          <w:cantSplit/>
        </w:trPr>
        <w:tc>
          <w:tcPr>
            <w:tcW w:type="dxa" w:w="2268"/>
            <w:vAlign w:val="center"/>
            <w:tcMar>
              <w:top w:w="90" w:type="dxa"/>
              <w:start w:w="100" w:type="dxa"/>
              <w:bottom w:w="90" w:type="dxa"/>
              <w:end w:w="100" w:type="dxa"/>
            </w:tcMar>
            <w:tcBorders>
              <w:bottom w:val="single" w:sz="4" w:color="D9E1E6"/>
            </w:tcBorders>
          </w:tcPr>
          <w:p>
            <w:pPr>
              <w:spacing w:after="0" w:line="257" w:lineRule="auto"/>
            </w:pPr>
            <w:r>
              <w:rPr>
                <w:sz w:val="16"/>
              </w:rPr>
              <w:t>RPO / RTO</w:t>
            </w:r>
          </w:p>
        </w:tc>
        <w:tc>
          <w:tcPr>
            <w:tcW w:type="dxa" w:w="6066"/>
            <w:vAlign w:val="center"/>
            <w:tcMar>
              <w:top w:w="90" w:type="dxa"/>
              <w:start w:w="100" w:type="dxa"/>
              <w:bottom w:w="90" w:type="dxa"/>
              <w:end w:w="100" w:type="dxa"/>
            </w:tcMar>
            <w:tcBorders>
              <w:bottom w:val="single" w:sz="4" w:color="D9E1E6"/>
            </w:tcBorders>
          </w:tcPr>
          <w:p>
            <w:pPr>
              <w:spacing w:after="0" w:line="257" w:lineRule="auto"/>
            </w:pPr>
            <w:r>
              <w:rPr>
                <w:sz w:val="16"/>
              </w:rPr>
              <w:t>Ponto máximo de perda de dados aceitável / prazo de recuperação.</w:t>
            </w:r>
          </w:p>
        </w:tc>
      </w:tr>
      <w:tr>
        <w:trPr>
          <w:cantSplit/>
        </w:trPr>
        <w:tc>
          <w:tcPr>
            <w:tcW w:type="dxa" w:w="2268"/>
            <w:vAlign w:val="center"/>
            <w:tcMar>
              <w:top w:w="90" w:type="dxa"/>
              <w:start w:w="100" w:type="dxa"/>
              <w:bottom w:w="90" w:type="dxa"/>
              <w:end w:w="100" w:type="dxa"/>
            </w:tcMar>
            <w:shd w:fill="F3F6F8"/>
            <w:tcBorders>
              <w:bottom w:val="single" w:sz="4" w:color="D9E1E6"/>
            </w:tcBorders>
          </w:tcPr>
          <w:p>
            <w:pPr>
              <w:spacing w:after="0" w:line="257" w:lineRule="auto"/>
            </w:pPr>
            <w:r>
              <w:rPr>
                <w:sz w:val="16"/>
              </w:rPr>
              <w:t>Data contract</w:t>
            </w:r>
          </w:p>
        </w:tc>
        <w:tc>
          <w:tcPr>
            <w:tcW w:type="dxa" w:w="6066"/>
            <w:vAlign w:val="center"/>
            <w:tcMar>
              <w:top w:w="90" w:type="dxa"/>
              <w:start w:w="100" w:type="dxa"/>
              <w:bottom w:w="90" w:type="dxa"/>
              <w:end w:w="100" w:type="dxa"/>
            </w:tcMar>
            <w:shd w:fill="F3F6F8"/>
            <w:tcBorders>
              <w:bottom w:val="single" w:sz="4" w:color="D9E1E6"/>
            </w:tcBorders>
          </w:tcPr>
          <w:p>
            <w:pPr>
              <w:spacing w:after="0" w:line="257" w:lineRule="auto"/>
            </w:pPr>
            <w:r>
              <w:rPr>
                <w:sz w:val="16"/>
              </w:rPr>
              <w:t>Especificação verificável entre produtores, plataforma e consumidores.</w:t>
            </w:r>
          </w:p>
        </w:tc>
      </w:tr>
      <w:tr>
        <w:trPr>
          <w:cantSplit/>
        </w:trPr>
        <w:tc>
          <w:tcPr>
            <w:tcW w:type="dxa" w:w="2268"/>
            <w:vAlign w:val="center"/>
            <w:tcMar>
              <w:top w:w="90" w:type="dxa"/>
              <w:start w:w="100" w:type="dxa"/>
              <w:bottom w:w="90" w:type="dxa"/>
              <w:end w:w="100" w:type="dxa"/>
            </w:tcMar>
            <w:tcBorders>
              <w:bottom w:val="single" w:sz="4" w:color="D9E1E6"/>
            </w:tcBorders>
          </w:tcPr>
          <w:p>
            <w:pPr>
              <w:spacing w:after="0" w:line="257" w:lineRule="auto"/>
            </w:pPr>
            <w:r>
              <w:rPr>
                <w:sz w:val="16"/>
              </w:rPr>
              <w:t>ADR</w:t>
            </w:r>
          </w:p>
        </w:tc>
        <w:tc>
          <w:tcPr>
            <w:tcW w:type="dxa" w:w="6066"/>
            <w:vAlign w:val="center"/>
            <w:tcMar>
              <w:top w:w="90" w:type="dxa"/>
              <w:start w:w="100" w:type="dxa"/>
              <w:bottom w:w="90" w:type="dxa"/>
              <w:end w:w="100" w:type="dxa"/>
            </w:tcMar>
            <w:tcBorders>
              <w:bottom w:val="single" w:sz="4" w:color="D9E1E6"/>
            </w:tcBorders>
          </w:tcPr>
          <w:p>
            <w:pPr>
              <w:spacing w:after="0" w:line="257" w:lineRule="auto"/>
            </w:pPr>
            <w:r>
              <w:rPr>
                <w:sz w:val="16"/>
              </w:rPr>
              <w:t>Registro de decisão arquitetural e justificativa.</w:t>
            </w:r>
          </w:p>
        </w:tc>
      </w:tr>
    </w:tbl>
    <w:p>
      <w:pPr>
        <w:spacing w:after="0"/>
      </w:pPr>
    </w:p>
    <w:p>
      <w:pPr>
        <w:pStyle w:val="Heading1"/>
      </w:pPr>
      <w:r>
        <w:t>Referências técnicas e fontes</w:t>
      </w:r>
    </w:p>
    <w:p>
      <w:pPr>
        <w:pStyle w:val="SmallNote"/>
      </w:pPr>
      <w:r>
        <w:t>Consultadas em 31/10/2026. Os links a seguir documentam capacidades específicas da implementação Databricks/GCP. As escolhas de arquitetura, estados, nomenclaturas e controladores são propostas autorais deste documento, não funcionalidades automáticas atribuídas às plataformas.</w:t>
      </w:r>
    </w:p>
    <w:p>
      <w:pPr>
        <w:pStyle w:val="SmallNote"/>
      </w:pPr>
      <w:r>
        <w:t xml:space="preserve">01. Databricks — Medallion architecture — </w:t>
      </w:r>
      <w:hyperlink r:id="rId11">
        <w:r>
          <w:rPr>
            <w:color w:val="057D79"/>
            <w:u w:val="single"/>
          </w:rPr>
          <w:t>https://docs.databricks.com/gcp/en/lakehouse/medallion</w:t>
        </w:r>
      </w:hyperlink>
    </w:p>
    <w:p>
      <w:pPr>
        <w:pStyle w:val="SmallNote"/>
      </w:pPr>
      <w:r>
        <w:t xml:space="preserve">02. Databricks — Lakeflow pipelines best practices — </w:t>
      </w:r>
      <w:hyperlink r:id="rId12">
        <w:r>
          <w:rPr>
            <w:color w:val="057D79"/>
            <w:u w:val="single"/>
          </w:rPr>
          <w:t>https://docs.databricks.com/gcp/en/ldp/best-practices</w:t>
        </w:r>
      </w:hyperlink>
    </w:p>
    <w:p>
      <w:pPr>
        <w:pStyle w:val="SmallNote"/>
      </w:pPr>
      <w:r>
        <w:t xml:space="preserve">03. Databricks — Lakeflow Connect: managed database connectors — </w:t>
      </w:r>
      <w:hyperlink r:id="rId13">
        <w:r>
          <w:rPr>
            <w:color w:val="057D79"/>
            <w:u w:val="single"/>
          </w:rPr>
          <w:t>https://docs.databricks.com/gcp/en/ingestion/lakeflow-connect/cdc-overview</w:t>
        </w:r>
      </w:hyperlink>
    </w:p>
    <w:p>
      <w:pPr>
        <w:pStyle w:val="SmallNote"/>
      </w:pPr>
      <w:r>
        <w:t xml:space="preserve">04. Databricks — MySQL connector limitations — </w:t>
      </w:r>
      <w:hyperlink r:id="rId14">
        <w:r>
          <w:rPr>
            <w:color w:val="057D79"/>
            <w:u w:val="single"/>
          </w:rPr>
          <w:t>https://docs.databricks.com/gcp/en/ingestion/lakeflow-connect/mysql-limits</w:t>
        </w:r>
      </w:hyperlink>
    </w:p>
    <w:p>
      <w:pPr>
        <w:pStyle w:val="SmallNote"/>
      </w:pPr>
      <w:r>
        <w:t xml:space="preserve">05. Databricks — AUTO CDC and AUTO CDC FROM SNAPSHOT — </w:t>
      </w:r>
      <w:hyperlink r:id="rId15">
        <w:r>
          <w:rPr>
            <w:color w:val="057D79"/>
            <w:u w:val="single"/>
          </w:rPr>
          <w:t>https://docs.databricks.com/gcp/en/ldp/cdc</w:t>
        </w:r>
      </w:hyperlink>
    </w:p>
    <w:p>
      <w:pPr>
        <w:pStyle w:val="SmallNote"/>
      </w:pPr>
      <w:r>
        <w:t xml:space="preserve">06. Databricks — SFTP ingestion — </w:t>
      </w:r>
      <w:hyperlink r:id="rId16">
        <w:r>
          <w:rPr>
            <w:color w:val="057D79"/>
            <w:u w:val="single"/>
          </w:rPr>
          <w:t>https://docs.databricks.com/gcp/en/ingestion/sftp</w:t>
        </w:r>
      </w:hyperlink>
    </w:p>
    <w:p>
      <w:pPr>
        <w:pStyle w:val="SmallNote"/>
      </w:pPr>
      <w:r>
        <w:t xml:space="preserve">07. Databricks — Auto Loader schema evolution and rescued data — </w:t>
      </w:r>
      <w:hyperlink r:id="rId17">
        <w:r>
          <w:rPr>
            <w:color w:val="057D79"/>
            <w:u w:val="single"/>
          </w:rPr>
          <w:t>https://docs.databricks.com/gcp/en/ingestion/cloud-object-storage/auto-loader/schema</w:t>
        </w:r>
      </w:hyperlink>
    </w:p>
    <w:p>
      <w:pPr>
        <w:pStyle w:val="SmallNote"/>
      </w:pPr>
      <w:r>
        <w:t xml:space="preserve">08. Databricks — Delta VACUUM — </w:t>
      </w:r>
      <w:hyperlink r:id="rId18">
        <w:r>
          <w:rPr>
            <w:color w:val="057D79"/>
            <w:u w:val="single"/>
          </w:rPr>
          <w:t>https://docs.databricks.com/gcp/en/delta/vacuum</w:t>
        </w:r>
      </w:hyperlink>
    </w:p>
    <w:p>
      <w:pPr>
        <w:pStyle w:val="SmallNote"/>
      </w:pPr>
      <w:r>
        <w:t xml:space="preserve">09. Databricks — Delta Change Data Feed — </w:t>
      </w:r>
      <w:hyperlink r:id="rId19">
        <w:r>
          <w:rPr>
            <w:color w:val="057D79"/>
            <w:u w:val="single"/>
          </w:rPr>
          <w:t>https://docs.databricks.com/gcp/en/tables/features/change-data-feed</w:t>
        </w:r>
      </w:hyperlink>
    </w:p>
    <w:p>
      <w:pPr>
        <w:pStyle w:val="SmallNote"/>
      </w:pPr>
      <w:r>
        <w:t xml:space="preserve">10. Databricks — Lakeflow Jobs schedules and triggers — </w:t>
      </w:r>
      <w:hyperlink r:id="rId20">
        <w:r>
          <w:rPr>
            <w:color w:val="057D79"/>
            <w:u w:val="single"/>
          </w:rPr>
          <w:t>https://docs.databricks.com/gcp/en/jobs/triggers</w:t>
        </w:r>
      </w:hyperlink>
    </w:p>
    <w:p>
      <w:pPr>
        <w:pStyle w:val="SmallNote"/>
      </w:pPr>
      <w:r>
        <w:t xml:space="preserve">11. Databricks — Declarative Automation Bundles — </w:t>
      </w:r>
      <w:hyperlink r:id="rId21">
        <w:r>
          <w:rPr>
            <w:color w:val="057D79"/>
            <w:u w:val="single"/>
          </w:rPr>
          <w:t>https://docs.databricks.com/gcp/en/dev-tools/bundles</w:t>
        </w:r>
      </w:hyperlink>
    </w:p>
    <w:p>
      <w:pPr>
        <w:pStyle w:val="SmallNote"/>
      </w:pPr>
      <w:r>
        <w:t xml:space="preserve">12. Databricks — Row filters and column masks — </w:t>
      </w:r>
      <w:hyperlink r:id="rId22">
        <w:r>
          <w:rPr>
            <w:color w:val="057D79"/>
            <w:u w:val="single"/>
          </w:rPr>
          <w:t>https://docs.databricks.com/gcp/en/data-governance/unity-catalog/filters-and-masks/</w:t>
        </w:r>
      </w:hyperlink>
    </w:p>
    <w:p>
      <w:pPr>
        <w:pStyle w:val="SmallNote"/>
      </w:pPr>
      <w:r>
        <w:t xml:space="preserve">13. Google Cloud — Cloud Storage triggers for Cloud Run — </w:t>
      </w:r>
      <w:hyperlink r:id="rId23">
        <w:r>
          <w:rPr>
            <w:color w:val="057D79"/>
            <w:u w:val="single"/>
          </w:rPr>
          <w:t>https://docs.cloud.google.com/run/docs/triggering/storage-triggers</w:t>
        </w:r>
      </w:hyperlink>
    </w:p>
    <w:p>
      <w:pPr>
        <w:pStyle w:val="SmallNote"/>
      </w:pPr>
      <w:r>
        <w:t xml:space="preserve">14. Databricks — Reliability best practices — </w:t>
      </w:r>
      <w:hyperlink r:id="rId24">
        <w:r>
          <w:rPr>
            <w:color w:val="057D79"/>
            <w:u w:val="single"/>
          </w:rPr>
          <w:t>https://docs.databricks.com/gcp/en/lakehouse-architecture/reliability/best-practices</w:t>
        </w:r>
      </w:hyperlink>
    </w:p>
    <w:p>
      <w:pPr/>
      <w:r>
        <w:t>Nota editorial: este material é autoral, utiliza exemplos inteiramente fictícios e não incorpora dados operacionais de qualquer organização. Aplicações corporativas exigem revisão específica de segurança, legislação, custos, volume, conectividade e disponibilidade de recursos.</w:t>
      </w:r>
    </w:p>
    <w:sectPr w:rsidR="00FC693F" w:rsidRPr="0006063C" w:rsidSect="00034616">
      <w:headerReference w:type="default" r:id="rId9"/>
      <w:footerReference w:type="default" r:id="rId10"/>
      <w:pgSz w:w="11906" w:h="16838"/>
      <w:pgMar w:top="1089" w:right="1134" w:bottom="975" w:left="1219" w:header="482" w:footer="48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F7180"/>
        <w:sz w:val="16"/>
      </w:rPr>
      <w:t xml:space="preserve">Forja de Dados  •  Versão 1.0  |  </w:t>
    </w:r>
    <w:r>
      <w:fldChar w:fldCharType="begin"/>
    </w:r>
    <w:r>
      <w:instrText xml:space="preserve">PAGE</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pPr>
    <w:r>
      <w:rPr>
        <w:b/>
        <w:color w:val="057D79"/>
      </w:rPr>
      <w:t>FORJA DE DADOS   /   ARQUITETURA DE REFERÊNCIA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4" w:lineRule="auto"/>
    </w:pPr>
    <w:rPr>
      <w:rFonts w:ascii="Aptos" w:hAnsi="Aptos"/>
      <w:color w:val="202C3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142439"/>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b/>
      <w:bCs/>
      <w:color w:val="057D79"/>
      <w:sz w:val="23"/>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202C3A"/>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Aptos Display" w:hAnsi="Aptos Display"/>
      <w:b/>
      <w:color w:val="142439"/>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ptos" w:hAnsi="Aptos"/>
      <w:b w:val="0"/>
      <w:i/>
      <w:iCs/>
      <w:color w:val="5F718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contextualSpacing/>
    </w:pPr>
    <w:rPr>
      <w:rFonts w:ascii="Aptos" w:hAnsi="Aptos"/>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contextualSpacing/>
    </w:pPr>
    <w:rPr>
      <w:rFonts w:ascii="Aptos" w:hAnsi="Aptos"/>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20"/>
    </w:pPr>
    <w:rPr>
      <w:rFonts w:ascii="Aptos" w:hAnsi="Aptos"/>
      <w:color w:val="5F7180"/>
      <w:sz w:val="16"/>
    </w:rPr>
  </w:style>
  <w:style w:type="paragraph" w:customStyle="1" w:styleId="MonoBlock">
    <w:name w:val="Mono Block"/>
    <w:pPr>
      <w:spacing w:after="20" w:line="240" w:lineRule="auto"/>
    </w:pPr>
    <w:rPr>
      <w:rFonts w:ascii="DejaVu Sans Mono" w:hAnsi="DejaVu Sans Mono"/>
      <w:color w:val="142439"/>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cs.databricks.com/gcp/en/lakehouse/medallion" TargetMode="External"/><Relationship Id="rId12" Type="http://schemas.openxmlformats.org/officeDocument/2006/relationships/hyperlink" Target="https://docs.databricks.com/gcp/en/ldp/best-practices" TargetMode="External"/><Relationship Id="rId13" Type="http://schemas.openxmlformats.org/officeDocument/2006/relationships/hyperlink" Target="https://docs.databricks.com/gcp/en/ingestion/lakeflow-connect/cdc-overview" TargetMode="External"/><Relationship Id="rId14" Type="http://schemas.openxmlformats.org/officeDocument/2006/relationships/hyperlink" Target="https://docs.databricks.com/gcp/en/ingestion/lakeflow-connect/mysql-limits" TargetMode="External"/><Relationship Id="rId15" Type="http://schemas.openxmlformats.org/officeDocument/2006/relationships/hyperlink" Target="https://docs.databricks.com/gcp/en/ldp/cdc" TargetMode="External"/><Relationship Id="rId16" Type="http://schemas.openxmlformats.org/officeDocument/2006/relationships/hyperlink" Target="https://docs.databricks.com/gcp/en/ingestion/sftp" TargetMode="External"/><Relationship Id="rId17" Type="http://schemas.openxmlformats.org/officeDocument/2006/relationships/hyperlink" Target="https://docs.databricks.com/gcp/en/ingestion/cloud-object-storage/auto-loader/schema" TargetMode="External"/><Relationship Id="rId18" Type="http://schemas.openxmlformats.org/officeDocument/2006/relationships/hyperlink" Target="https://docs.databricks.com/gcp/en/delta/vacuum" TargetMode="External"/><Relationship Id="rId19" Type="http://schemas.openxmlformats.org/officeDocument/2006/relationships/hyperlink" Target="https://docs.databricks.com/gcp/en/tables/features/change-data-feed" TargetMode="External"/><Relationship Id="rId20" Type="http://schemas.openxmlformats.org/officeDocument/2006/relationships/hyperlink" Target="https://docs.databricks.com/gcp/en/jobs/triggers" TargetMode="External"/><Relationship Id="rId21" Type="http://schemas.openxmlformats.org/officeDocument/2006/relationships/hyperlink" Target="https://docs.databricks.com/gcp/en/dev-tools/bundles" TargetMode="External"/><Relationship Id="rId22" Type="http://schemas.openxmlformats.org/officeDocument/2006/relationships/hyperlink" Target="https://docs.databricks.com/gcp/en/data-governance/unity-catalog/filters-and-masks/" TargetMode="External"/><Relationship Id="rId23" Type="http://schemas.openxmlformats.org/officeDocument/2006/relationships/hyperlink" Target="https://docs.cloud.google.com/run/docs/triggering/storage-triggers" TargetMode="External"/><Relationship Id="rId24" Type="http://schemas.openxmlformats.org/officeDocument/2006/relationships/hyperlink" Target="https://docs.databricks.com/gcp/en/lakehouse-architecture/reliability/best-practi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Forja de Dados — Arquitetura de Engenharia de Dados Ponta a Ponta</dc:title>
  <dc:subject>Arquitetura de referência de Engenharia de Dados</dc:subject>
  <dc:creator>Forja de Dados</dc:creator>
  <cp:keywords>lakehouse, arquitetura, databricks, gcp, etl, cdc, scd2, bronze, silver, gold, data contracts, reprocessamento</cp:keywords>
  <dc:description>generated by python-docx</dc:description>
  <cp:lastModifiedBy/>
  <cp:revision>1</cp:revision>
  <dcterms:created xsi:type="dcterms:W3CDTF">2013-12-23T23:15:00Z</dcterms:created>
  <dcterms:modified xsi:type="dcterms:W3CDTF">2013-12-23T23:15:00Z</dcterms:modified>
  <cp:category/>
</cp:coreProperties>
</file>