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a44"/>
          <w:sz w:val="48"/>
          <w:szCs w:val="48"/>
        </w:rPr>
        <w:t xml:space="preserve">Framework de Documentação &amp; Rastreabilidade para IA</w:t>
      </w:r>
    </w:p>
    <w:p>
      <w:pPr>
        <w:spacing w:after="40"/>
      </w:pPr>
      <w:r>
        <w:rPr>
          <w:b/>
          <w:bCs/>
          <w:color w:val="2f6fed"/>
          <w:sz w:val="28"/>
          <w:szCs w:val="28"/>
        </w:rPr>
        <w:t xml:space="preserve">Especificação v1.1.0</w:t>
      </w:r>
    </w:p>
    <w:p>
      <w:pPr>
        <w:spacing w:after="400"/>
      </w:pPr>
      <w:r>
        <w:rPr>
          <w:color w:val="6b7280"/>
          <w:sz w:val="22"/>
          <w:szCs w:val="22"/>
        </w:rPr>
        <w:t xml:space="preserve">Projeto: Framework de uso de IA  ·  15 de agosto de 2026</w:t>
      </w:r>
    </w:p>
    <w:p>
      <w:pPr>
        <w:pStyle w:val="Heading1"/>
        <w:spacing w:after="200" w:before="400"/>
      </w:pPr>
      <w:r>
        <w:t xml:space="preserve">1. Objetivo e o que mudou desde a v1.0.0</w:t>
      </w:r>
    </w:p>
    <w:p>
      <w:pPr>
        <w:spacing w:after="160" w:line="300"/>
      </w:pPr>
      <w:r>
        <w:t xml:space="preserve">Este documento define a versão 1.1.0 do framework para criar, registrar e rastrear os documentos de decisão de um projeto, reaplicável a projetos diferentes e com skills/prompts que produzem o mesmo resultado em qualquer ferramenta de IA. A v1.0.0 corrigiu o gap original (gate de decisão entre RFC e ADR) e definiu a SDD como input de implementação para IA. A v1.1.0 incorpora três evoluções discutidas e validadas em conjunto: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Um modelo explícito de dois repositórios (central + por projeto), em vez de assumir um único repositório.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Um procedimento de onboarding para projetos que já existiam antes deste framework.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Um fluxo apartado, mas rastreável, para incidentes e postmortem.</w:t>
      </w:r>
    </w:p>
    <w:p>
      <w:pPr>
        <w:spacing w:after="160" w:line="300"/>
      </w:pPr>
      <w:r>
        <w:t xml:space="preserve">Também foram entregues dois guias de uso — um técnico e um sem jargão para pessoas não técnicas — para reduzir a fricção de adoção.</w:t>
      </w:r>
    </w:p>
    <w:p>
      <w:pPr>
        <w:pStyle w:val="Heading1"/>
        <w:spacing w:after="200" w:before="400"/>
      </w:pPr>
      <w:r>
        <w:t xml:space="preserve">2. Modelo de dois repositórios</w:t>
      </w:r>
    </w:p>
    <w:p>
      <w:pPr>
        <w:spacing w:after="160" w:line="300"/>
      </w:pPr>
      <w:r>
        <w:t xml:space="preserve">O framework nunca assume um único repositório. Um repositório central guarda a cópia única de _framework/ (regras, templates, prompts, skill, scripts) e docs/{PROJECT_CODE}/ de todos os projetos — mas somente os tipos Strategy Doc, RFC, ADR, PRD, Tech Spec, Baseline, Incidente e Postmortem. Cada projeto tem também seu próprio repositório de código, e é ali — e somente ali — que a SDD nasce e vive, em docs/sdd/, porque é o único documento pensado para ser lido por uma IA no momento de implementar.</w:t>
      </w:r>
    </w:p>
    <w:p>
      <w:pPr>
        <w:spacing w:after="200"/>
      </w:pPr>
      <w:r>
        <w:drawing>
          <wp:inline distT="0" distB="0" distL="0" distR="0">
            <wp:extent cx="5524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t xml:space="preserve">Como PRD, Tech Spec e ADR vivem no repositório central mas a SDD que os consolida vive no repositório do projeto, toda referência de uma SDD aos seus documentos de origem (source_docs) carrega não só o id, mas a URL completa do arquivo no repositório central — sem isso a cadeia de rastreabilidade quebraria ao atravessar repositórios.</w:t>
      </w:r>
    </w:p>
    <w:p>
      <w:pPr>
        <w:pStyle w:val="Heading1"/>
        <w:spacing w:after="200" w:before="400"/>
      </w:pPr>
      <w:r>
        <w:t xml:space="preserve">3. Fluxo principal e gate de decisão</w:t>
      </w:r>
    </w:p>
    <w:p>
      <w:pPr>
        <w:spacing w:after="200"/>
      </w:pPr>
      <w:r>
        <w:drawing>
          <wp:inline distT="0" distB="0" distL="0" distR="0">
            <wp:extent cx="5334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t xml:space="preserve">Leitura do fluxo: Strategy Doc origina uma ou mais RFCs; após a RFC ser aprovada, o gate decide se um ADR é necessário; PRD e Tech Spec seguem, com ou sem ADR; e a SDD, compilada a partir deles, é o artefato final consumido por ferramentas de IA de implementação, criada no repositório do projeto.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600"/>
      </w:tblGrid>
      <w:tr>
        <w:trPr>
          <w:tblHeader/>
        </w:trPr>
        <w:tc>
          <w:tcPr>
            <w:tcW w:type="dxa" w:w="5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5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Critério do gate RFC → ADR</w:t>
            </w:r>
          </w:p>
        </w:tc>
        <w:tc>
          <w:tcPr>
            <w:tcW w:type="dxa" w:w="3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Exemplo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Introduz ou altera um padrão arquitetural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Novo serviço, mudança de topologia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Decisão de alto custo ou difícil reversão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Rollback caro, lento ou impossível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Trade-off técnico relevante entre alternativas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Mais de uma opção viável, prós/contras a registrar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Impacto cross-team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Mais de um time/domínio diretamente afetado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Troca ou introdução de tecnologia/vendor relevante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Novo banco de dados, provedor cloud, linguagem, lib crítica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Onboarding de projeto já existente</w:t>
      </w:r>
    </w:p>
    <w:p>
      <w:pPr>
        <w:spacing w:after="160" w:line="300"/>
      </w:pPr>
      <w:r>
        <w:t xml:space="preserve">Quando um projeto com código já em produção, mas sem nenhum histórico neste framework, precisa ser incorporado, ele passa por um procedimento de duas fases, executado uma única vez.</w:t>
      </w:r>
    </w:p>
    <w:p>
      <w:pPr>
        <w:pStyle w:val="Heading2"/>
        <w:spacing w:after="150" w:before="300"/>
      </w:pPr>
      <w:r>
        <w:t xml:space="preserve">4.1 Fase 1 — Levantamento de baseline</w:t>
      </w:r>
    </w:p>
    <w:p>
      <w:pPr>
        <w:spacing w:after="160" w:line="300"/>
      </w:pPr>
      <w:r>
        <w:t xml:space="preserve">Uma IA lê o repositório de código existente (stack, estrutura, integrações, dívidas técnicas visíveis) e produz um único documento Baseline (BASE), que é um retrato do estado atual — não uma decisão. A partir dele, a IA propõe um ADR para cada decisão de arquitetura que consegue inferir do código, sempre com provenance=reconstructed e status inicial in_review — nunca approved direto, porque é inferência sobre código, não relato de uma decisão presenciada. Uma pessoa do time revisa e confirma ou corrige cada ADR proposto antes de qualquer um ser aprovado. Não se reconstrói PRD ou Tech Spec do que já foi construído: o código já é a especificação do que existe, e o valor de reconstruir está no “porquê” (ADR), não no “como”.</w:t>
      </w:r>
    </w:p>
    <w:p>
      <w:pPr>
        <w:pStyle w:val="Heading2"/>
        <w:spacing w:after="150" w:before="300"/>
      </w:pPr>
      <w:r>
        <w:t xml:space="preserve">4.2 Fase 2 — Cutover</w:t>
      </w:r>
    </w:p>
    <w:p>
      <w:pPr>
        <w:spacing w:after="160" w:line="300"/>
      </w:pPr>
      <w:r>
        <w:t xml:space="preserve">Concluída e revisada a Fase 1, o projeto passa a operar exatamente como um projeto novo: a próxima demanda real vira RFC-{PROJETO}-0001, segue o gate normalmente, e a primeira SDD nasce no repositório do projeto.</w:t>
      </w:r>
    </w:p>
    <w:p>
      <w:pPr>
        <w:spacing w:after="160" w:line="300"/>
      </w:pPr>
      <w:r>
        <w:t xml:space="preserve">Este procedimento está implementado em _framework/prompts/onboarding-bootstrap.md, usado uma única vez por projeto no dia da adoção.</w:t>
      </w:r>
    </w:p>
    <w:p>
      <w:pPr>
        <w:pStyle w:val="Heading1"/>
        <w:spacing w:after="200" w:before="400"/>
      </w:pPr>
      <w:r>
        <w:t xml:space="preserve">5. Incidentes e postmortem</w:t>
      </w:r>
    </w:p>
    <w:p>
      <w:pPr>
        <w:spacing w:after="160" w:line="300"/>
      </w:pPr>
      <w:r>
        <w:t xml:space="preserve">Fluxo apartado do funil principal: não se abre uma RFC para tratar um incidente em andamento. Um Incidente (INC) usa um ciclo de vida operacional próprio — open → mitigated → resolved → closed — em vez do ciclo padrão de aprovação, porque não é uma decisão a aprovar, é um evento a acompanhar.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70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Severidade</w:t>
            </w:r>
          </w:p>
        </w:tc>
        <w:tc>
          <w:tcPr>
            <w:tcW w:type="dxa" w:w="47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27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Postmortem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SEV1 — Crítico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Indisponibilidade total/crítica, perda de dados, incidente de segurança confirmado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Obrigatório, completo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SEV2 — Alto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Degradação relevante de função importante, sem workaround viável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Obrigatório, completo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SEV3 — Moderado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Impacto limitado, workaround razoável existe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Obrigatório, leve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SEV4 — Baixo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Impacto mínimo/cosmético, sem efeito perceptível ao usuário final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Opcional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t xml:space="preserve">Regra de recorrência: independentemente da severidade individual, se a mesma causa raiz se repetir dentro de uma janela de 90 dias, o postmortem passa a ser obrigatório — um problema de baixo impacto que se repete constantemente é, na prática, um problema estrutural.</w:t>
      </w:r>
    </w:p>
    <w:p>
      <w:pPr>
        <w:spacing w:after="160" w:line="300"/>
      </w:pPr>
      <w:r>
        <w:t xml:space="preserve">O Postmortem (PM) segue o ciclo de vida padrão do framework (é um documento analítico, não operacional) e cada action item é triado: um ajuste pontual sem nenhum critério do gate aplicável vira PRD/Tech Spec direto; uma mudança estrutural (que atenderia a algum critério do gate RFC→ADR) vira uma nova RFC, referenciando o postmortem de origem, e segue o fluxo normal a partir daí — reaproveitando a mesma régua de decisão em vez de criar uma nova.</w:t>
      </w:r>
    </w:p>
    <w:p>
      <w:pPr>
        <w:pStyle w:val="Heading1"/>
        <w:spacing w:after="200" w:before="400"/>
      </w:pPr>
      <w:r>
        <w:t xml:space="preserve">6. Exemplo ponta a ponta (validado)</w:t>
      </w:r>
    </w:p>
    <w:p>
      <w:pPr>
        <w:spacing w:after="160" w:line="300"/>
      </w:pPr>
      <w:r>
        <w:t xml:space="preserve">O kit inclui três cenários de exemplo, todos validados com registry_tools.py validate e trace: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docs_example/central/EXEMPLO/ — projeto novo, demonstrando os dois caminhos do gate: RFC-EXEMPLO-0001 (exige ADR) e RFC-EXEMPLO-0002 (não exige, segue direto para PRD/Tech Spec).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docs_example/project-repo-checkout/docs/sdd/ — repositório de projeto correspondente, com as duas SDDs e source_docs apontando via id+url para o repositório central.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docs_example/central/LEGADO/ — projeto já existente sendo incorporado: BASE-LEGADO-0001 e um ADR reconstruído aprovado, um incidente SEV2 (INC-LEGADO-0001), o postmortem correspondente (PM-LEGADO-0001) e o cutover: RFC-LEGADO-0001 nascendo de um action item estrutural do postmortem.</w:t>
      </w:r>
    </w:p>
    <w:p>
      <w:pPr>
        <w:spacing w:after="160" w:line="300"/>
      </w:pPr>
      <w:r>
        <w:t xml:space="preserve">O rastreio de RFC-LEGADO-0001 confirma a cadeia completa: RFC-LEGADO-0001 → PM-LEGADO-0001 → INC-LEGADO-0001 — ou seja, dá para responder “por que esta RFC existe” com uma resposta real, não uma reconstrução de memória.</w:t>
      </w:r>
    </w:p>
    <w:p>
      <w:pPr>
        <w:pStyle w:val="Heading1"/>
        <w:spacing w:after="200" w:before="400"/>
      </w:pPr>
      <w:r>
        <w:t xml:space="preserve">7. Skills, prompts e guias — mesmo resultado em qualquer ferramenta</w:t>
      </w:r>
    </w:p>
    <w:p>
      <w:pPr>
        <w:spacing w:after="160" w:line="300"/>
      </w:pPr>
      <w:r>
        <w:t xml:space="preserve">Toda a lógica de comportamento (fluxo, gate, ciclo de vida, onboarding, incidentes) está escrita uma única vez em _framework/rules/workflow-rules.yaml. Os demais artefatos são renderizações dessa mesma fonte, conferidas entre si: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300"/>
      </w:tblGrid>
      <w:tr>
        <w:trPr>
          <w:tblHeader/>
        </w:trPr>
        <w:tc>
          <w:tcPr>
            <w:tcW w:type="dxa" w:w="23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Artefato</w:t>
            </w:r>
          </w:p>
        </w:tc>
        <w:tc>
          <w:tcPr>
            <w:tcW w:type="dxa" w:w="3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Onde usar</w:t>
            </w:r>
          </w:p>
        </w:tc>
        <w:tc>
          <w:tcPr>
            <w:tcW w:type="dxa" w:w="33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Arquivo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Prompt universal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Colar em qualquer chat de IA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_framework/prompts/universal.md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Prompt de onboarding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Uma vez por projeto já existente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_framework/prompts/onboarding-bootstrap.md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Regra Cursor/Windsurf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Repositório do projeto (código)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_framework/prompts/cursor/doc-framework.mdc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Instruções Copilot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Repositório do projeto (código)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_framework/prompts/copilot/copilot-instructions.md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Skill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Ativa automaticamente no Claude/Cowork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_framework/skills/doc-traceability-framework/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Guia técnico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Quem cria documentos e roda os scripts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_framework/guides/guia-tecnico.md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Guia não técnico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Quem participa das decisões sem mexer em código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_framework/guides/guia-nao-tecnico.md</w:t>
            </w:r>
          </w:p>
        </w:tc>
      </w:tr>
    </w:tbl>
    <w:p>
      <w:pPr>
        <w:pStyle w:val="Heading1"/>
        <w:spacing w:after="200" w:before="400"/>
      </w:pPr>
      <w:r>
        <w:t xml:space="preserve">8. Próximos passos sugeridos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Criar o repositório central no GitHub e o primeiro repositório de projeto, aplicando esta v1.1.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Rodar o onboarding em um projeto real já existente para validar a Fase 1 na prática.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Configurar validate (registry_tools.py) como checagem automática em pull requests.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Revisar critérios de severidade e do gate depois de alguns incidentes/RFCs reais.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69844605707bdce644725a3ba046c19e683ed6.png"/><Relationship Id="rId8" Type="http://schemas.openxmlformats.org/officeDocument/2006/relationships/image" Target="media/e4ba47d1782b0263b55a90fa1432142dda594f1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2026-08-15T17:39:03.849Z</dcterms:created>
  <dcterms:modified xsi:type="dcterms:W3CDTF">2026-08-15T17:39:03.849Z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