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1.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FB369" w14:textId="77777777" w:rsidR="00101231" w:rsidRPr="00ED502A" w:rsidRDefault="00101231" w:rsidP="00101231">
      <w:pPr>
        <w:pStyle w:val="a7"/>
        <w:keepNext/>
        <w:numPr>
          <w:ilvl w:val="1"/>
          <w:numId w:val="1"/>
        </w:numPr>
        <w:spacing w:before="240" w:after="60" w:line="360" w:lineRule="auto"/>
        <w:jc w:val="both"/>
        <w:outlineLvl w:val="1"/>
        <w:rPr>
          <w:rFonts w:ascii="Times New Roman" w:eastAsia="Times New Roman" w:hAnsi="Times New Roman" w:cs="Times New Roman"/>
          <w:b/>
          <w:bCs/>
          <w:kern w:val="0"/>
          <w:sz w:val="28"/>
          <w:szCs w:val="28"/>
          <w:lang w:eastAsia="ru-RU"/>
          <w14:ligatures w14:val="none"/>
        </w:rPr>
      </w:pPr>
      <w:bookmarkStart w:id="0" w:name="_Toc229531401"/>
      <w:r>
        <w:rPr>
          <w:rFonts w:ascii="Times New Roman" w:eastAsia="Times New Roman" w:hAnsi="Times New Roman" w:cs="Times New Roman"/>
          <w:b/>
          <w:bCs/>
          <w:kern w:val="0"/>
          <w:sz w:val="28"/>
          <w:szCs w:val="28"/>
          <w:lang w:eastAsia="ru-RU"/>
          <w14:ligatures w14:val="none"/>
        </w:rPr>
        <w:t>Т</w:t>
      </w:r>
      <w:r w:rsidRPr="00ED502A">
        <w:rPr>
          <w:rFonts w:ascii="Times New Roman" w:eastAsia="Times New Roman" w:hAnsi="Times New Roman" w:cs="Times New Roman"/>
          <w:b/>
          <w:bCs/>
          <w:kern w:val="0"/>
          <w:sz w:val="28"/>
          <w:szCs w:val="28"/>
          <w:lang w:eastAsia="ru-RU"/>
          <w14:ligatures w14:val="none"/>
        </w:rPr>
        <w:t>енденции развития рынка таможенного регулирования</w:t>
      </w:r>
      <w:bookmarkEnd w:id="0"/>
    </w:p>
    <w:p w14:paraId="66D2A1C7" w14:textId="77777777" w:rsidR="00101231" w:rsidRDefault="00101231" w:rsidP="00101231">
      <w:pPr>
        <w:widowControl w:val="0"/>
        <w:spacing w:after="0" w:line="360" w:lineRule="auto"/>
        <w:ind w:firstLine="709"/>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Для подтверждения значимости цифровизации таможенных служб необходимо рассмотреть статистические данные о количестве импортируемых товаров на территорию РФ. Но в связи с внешнеэкономической обстановкой, данные на официальном сайте Федеральной таможенной службы были ограничены для открытого доступа после 2022 года. Поэтому детальный анализ импорта важнейших товаров, ввозимых в РФ ограничивается этим годом.</w:t>
      </w:r>
    </w:p>
    <w:p w14:paraId="399538F1" w14:textId="733F218B" w:rsidR="00101231" w:rsidRDefault="00101231" w:rsidP="00101231">
      <w:pPr>
        <w:widowControl w:val="0"/>
        <w:spacing w:after="0" w:line="360" w:lineRule="auto"/>
        <w:ind w:firstLine="709"/>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Согласно данным с официальной страницы федеральной таможенной службы, импорт России важнейших товаров в 2021 году демонстрирует рост по всем категориям, о чем свидетельствует положительные значения прироста, представленные в таблице 1.1.</w:t>
      </w:r>
    </w:p>
    <w:p w14:paraId="2CB653BD" w14:textId="77777777" w:rsidR="00101231" w:rsidRDefault="00101231" w:rsidP="00101231">
      <w:pPr>
        <w:widowControl w:val="0"/>
        <w:spacing w:after="0" w:line="360" w:lineRule="auto"/>
        <w:ind w:firstLine="709"/>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 Наибольшее увеличение заметно в сырье для производства (131,7%) и руде (315,8%), что может говорить о восстановлении экономической активности после спада 2020 года и спросом на сырье. </w:t>
      </w:r>
    </w:p>
    <w:p w14:paraId="69B7397F" w14:textId="77777777" w:rsidR="00101231" w:rsidRDefault="00101231" w:rsidP="00101231">
      <w:pPr>
        <w:widowControl w:val="0"/>
        <w:spacing w:after="0" w:line="240" w:lineRule="auto"/>
        <w:ind w:firstLine="709"/>
        <w:jc w:val="both"/>
        <w:rPr>
          <w:rFonts w:ascii="Times New Roman" w:eastAsia="Times New Roman" w:hAnsi="Times New Roman" w:cs="Times New Roman"/>
          <w:kern w:val="0"/>
          <w:sz w:val="28"/>
          <w:szCs w:val="28"/>
          <w:lang w:eastAsia="ru-RU"/>
          <w14:ligatures w14:val="none"/>
        </w:rPr>
      </w:pPr>
    </w:p>
    <w:p w14:paraId="3525B40D" w14:textId="77777777" w:rsidR="00101231" w:rsidRPr="00A73FE4" w:rsidRDefault="00101231" w:rsidP="00101231">
      <w:pPr>
        <w:widowControl w:val="0"/>
        <w:spacing w:after="0" w:line="360" w:lineRule="auto"/>
        <w:ind w:firstLine="708"/>
        <w:jc w:val="right"/>
        <w:rPr>
          <w:rFonts w:ascii="Times New Roman" w:eastAsia="Times New Roman" w:hAnsi="Times New Roman" w:cs="Times New Roman"/>
          <w:kern w:val="0"/>
          <w:lang w:eastAsia="ru-RU"/>
          <w14:ligatures w14:val="none"/>
        </w:rPr>
      </w:pPr>
      <w:r w:rsidRPr="00A73FE4">
        <w:rPr>
          <w:rFonts w:ascii="Times New Roman" w:eastAsia="Times New Roman" w:hAnsi="Times New Roman" w:cs="Times New Roman"/>
          <w:kern w:val="0"/>
          <w:lang w:eastAsia="ru-RU"/>
          <w14:ligatures w14:val="none"/>
        </w:rPr>
        <w:t>Таблица 1</w:t>
      </w:r>
      <w:r>
        <w:rPr>
          <w:rFonts w:ascii="Times New Roman" w:eastAsia="Times New Roman" w:hAnsi="Times New Roman" w:cs="Times New Roman"/>
          <w:kern w:val="0"/>
          <w:lang w:eastAsia="ru-RU"/>
          <w14:ligatures w14:val="none"/>
        </w:rPr>
        <w:t>.1</w:t>
      </w:r>
      <w:r w:rsidRPr="00A73FE4">
        <w:rPr>
          <w:rFonts w:ascii="Times New Roman" w:eastAsia="Times New Roman" w:hAnsi="Times New Roman" w:cs="Times New Roman"/>
          <w:kern w:val="0"/>
          <w:lang w:eastAsia="ru-RU"/>
          <w14:ligatures w14:val="none"/>
        </w:rPr>
        <w:t xml:space="preserve"> – </w:t>
      </w:r>
      <w:r>
        <w:rPr>
          <w:rFonts w:ascii="Times New Roman" w:eastAsia="Times New Roman" w:hAnsi="Times New Roman" w:cs="Times New Roman"/>
          <w:kern w:val="0"/>
          <w:lang w:eastAsia="ru-RU"/>
          <w14:ligatures w14:val="none"/>
        </w:rPr>
        <w:t>Динамика изменения и</w:t>
      </w:r>
      <w:r w:rsidRPr="00A73FE4">
        <w:rPr>
          <w:rFonts w:ascii="Times New Roman" w:eastAsia="Times New Roman" w:hAnsi="Times New Roman" w:cs="Times New Roman"/>
          <w:kern w:val="0"/>
          <w:lang w:eastAsia="ru-RU"/>
          <w14:ligatures w14:val="none"/>
        </w:rPr>
        <w:t>мпорт</w:t>
      </w:r>
      <w:r>
        <w:rPr>
          <w:rFonts w:ascii="Times New Roman" w:eastAsia="Times New Roman" w:hAnsi="Times New Roman" w:cs="Times New Roman"/>
          <w:kern w:val="0"/>
          <w:lang w:eastAsia="ru-RU"/>
          <w14:ligatures w14:val="none"/>
        </w:rPr>
        <w:t>а</w:t>
      </w:r>
      <w:r w:rsidRPr="00A73FE4">
        <w:rPr>
          <w:rFonts w:ascii="Times New Roman" w:eastAsia="Times New Roman" w:hAnsi="Times New Roman" w:cs="Times New Roman"/>
          <w:kern w:val="0"/>
          <w:lang w:eastAsia="ru-RU"/>
          <w14:ligatures w14:val="none"/>
        </w:rPr>
        <w:t xml:space="preserve"> России важнейших товаров</w:t>
      </w:r>
    </w:p>
    <w:tbl>
      <w:tblPr>
        <w:tblW w:w="9710" w:type="dxa"/>
        <w:tblLook w:val="04A0" w:firstRow="1" w:lastRow="0" w:firstColumn="1" w:lastColumn="0" w:noHBand="0" w:noVBand="1"/>
      </w:tblPr>
      <w:tblGrid>
        <w:gridCol w:w="4032"/>
        <w:gridCol w:w="720"/>
        <w:gridCol w:w="861"/>
        <w:gridCol w:w="993"/>
        <w:gridCol w:w="1573"/>
        <w:gridCol w:w="1531"/>
      </w:tblGrid>
      <w:tr w:rsidR="00101231" w:rsidRPr="00A73FE4" w14:paraId="12350A47" w14:textId="77777777" w:rsidTr="00751BAD">
        <w:trPr>
          <w:trHeight w:val="595"/>
        </w:trPr>
        <w:tc>
          <w:tcPr>
            <w:tcW w:w="3964" w:type="dxa"/>
            <w:tcBorders>
              <w:top w:val="single" w:sz="4" w:space="0" w:color="auto"/>
              <w:left w:val="single" w:sz="4" w:space="0" w:color="auto"/>
              <w:bottom w:val="single" w:sz="4" w:space="0" w:color="auto"/>
              <w:right w:val="single" w:sz="4" w:space="0" w:color="auto"/>
            </w:tcBorders>
            <w:noWrap/>
            <w:vAlign w:val="center"/>
            <w:hideMark/>
          </w:tcPr>
          <w:p w14:paraId="02791451"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720" w:type="dxa"/>
            <w:tcBorders>
              <w:top w:val="single" w:sz="4" w:space="0" w:color="auto"/>
              <w:left w:val="nil"/>
              <w:bottom w:val="single" w:sz="4" w:space="0" w:color="auto"/>
              <w:right w:val="single" w:sz="4" w:space="0" w:color="auto"/>
            </w:tcBorders>
            <w:noWrap/>
            <w:vAlign w:val="center"/>
            <w:hideMark/>
          </w:tcPr>
          <w:p w14:paraId="7A0D26BD"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2020 год</w:t>
            </w:r>
          </w:p>
        </w:tc>
        <w:tc>
          <w:tcPr>
            <w:tcW w:w="861" w:type="dxa"/>
            <w:tcBorders>
              <w:top w:val="single" w:sz="4" w:space="0" w:color="auto"/>
              <w:left w:val="nil"/>
              <w:bottom w:val="single" w:sz="4" w:space="0" w:color="auto"/>
              <w:right w:val="single" w:sz="4" w:space="0" w:color="auto"/>
            </w:tcBorders>
            <w:noWrap/>
            <w:vAlign w:val="center"/>
            <w:hideMark/>
          </w:tcPr>
          <w:p w14:paraId="65940D28"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2021 год</w:t>
            </w:r>
          </w:p>
        </w:tc>
        <w:tc>
          <w:tcPr>
            <w:tcW w:w="993" w:type="dxa"/>
            <w:tcBorders>
              <w:top w:val="single" w:sz="4" w:space="0" w:color="auto"/>
              <w:left w:val="nil"/>
              <w:bottom w:val="single" w:sz="4" w:space="0" w:color="auto"/>
              <w:right w:val="single" w:sz="4" w:space="0" w:color="auto"/>
            </w:tcBorders>
            <w:noWrap/>
            <w:vAlign w:val="center"/>
            <w:hideMark/>
          </w:tcPr>
          <w:p w14:paraId="7BC9A90B"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2022 год</w:t>
            </w:r>
          </w:p>
        </w:tc>
        <w:tc>
          <w:tcPr>
            <w:tcW w:w="1608" w:type="dxa"/>
            <w:tcBorders>
              <w:top w:val="single" w:sz="4" w:space="0" w:color="auto"/>
              <w:left w:val="nil"/>
              <w:bottom w:val="single" w:sz="4" w:space="0" w:color="auto"/>
              <w:right w:val="single" w:sz="4" w:space="0" w:color="auto"/>
            </w:tcBorders>
            <w:vAlign w:val="center"/>
            <w:hideMark/>
          </w:tcPr>
          <w:p w14:paraId="02671252"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темп прироста в % 2021 г</w:t>
            </w:r>
          </w:p>
        </w:tc>
        <w:tc>
          <w:tcPr>
            <w:tcW w:w="1564" w:type="dxa"/>
            <w:tcBorders>
              <w:top w:val="single" w:sz="4" w:space="0" w:color="auto"/>
              <w:left w:val="nil"/>
              <w:bottom w:val="single" w:sz="4" w:space="0" w:color="auto"/>
              <w:right w:val="single" w:sz="4" w:space="0" w:color="auto"/>
            </w:tcBorders>
            <w:vAlign w:val="center"/>
            <w:hideMark/>
          </w:tcPr>
          <w:p w14:paraId="47368910"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темп прироста в % 2022 г</w:t>
            </w:r>
          </w:p>
        </w:tc>
      </w:tr>
      <w:tr w:rsidR="00101231" w:rsidRPr="00A73FE4" w14:paraId="4CF99AA5" w14:textId="77777777" w:rsidTr="00751BAD">
        <w:trPr>
          <w:trHeight w:val="297"/>
        </w:trPr>
        <w:tc>
          <w:tcPr>
            <w:tcW w:w="3964" w:type="dxa"/>
            <w:tcBorders>
              <w:top w:val="nil"/>
              <w:left w:val="single" w:sz="4" w:space="0" w:color="auto"/>
              <w:bottom w:val="single" w:sz="4" w:space="0" w:color="auto"/>
              <w:right w:val="single" w:sz="4" w:space="0" w:color="auto"/>
            </w:tcBorders>
            <w:vAlign w:val="center"/>
            <w:hideMark/>
          </w:tcPr>
          <w:p w14:paraId="17D7F9A5"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продукты питания, тонн</w:t>
            </w:r>
          </w:p>
        </w:tc>
        <w:tc>
          <w:tcPr>
            <w:tcW w:w="720" w:type="dxa"/>
            <w:tcBorders>
              <w:top w:val="nil"/>
              <w:left w:val="nil"/>
              <w:bottom w:val="single" w:sz="4" w:space="0" w:color="auto"/>
              <w:right w:val="single" w:sz="4" w:space="0" w:color="auto"/>
            </w:tcBorders>
            <w:vAlign w:val="center"/>
            <w:hideMark/>
          </w:tcPr>
          <w:p w14:paraId="5390FD17"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790,1</w:t>
            </w:r>
          </w:p>
        </w:tc>
        <w:tc>
          <w:tcPr>
            <w:tcW w:w="861" w:type="dxa"/>
            <w:tcBorders>
              <w:top w:val="nil"/>
              <w:left w:val="nil"/>
              <w:bottom w:val="single" w:sz="4" w:space="0" w:color="auto"/>
              <w:right w:val="single" w:sz="4" w:space="0" w:color="auto"/>
            </w:tcBorders>
            <w:vAlign w:val="center"/>
            <w:hideMark/>
          </w:tcPr>
          <w:p w14:paraId="7C4A4680"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862,6</w:t>
            </w:r>
          </w:p>
        </w:tc>
        <w:tc>
          <w:tcPr>
            <w:tcW w:w="993" w:type="dxa"/>
            <w:tcBorders>
              <w:top w:val="nil"/>
              <w:left w:val="nil"/>
              <w:bottom w:val="single" w:sz="4" w:space="0" w:color="auto"/>
              <w:right w:val="single" w:sz="4" w:space="0" w:color="auto"/>
            </w:tcBorders>
            <w:vAlign w:val="center"/>
            <w:hideMark/>
          </w:tcPr>
          <w:p w14:paraId="487F92F6"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779,1</w:t>
            </w:r>
          </w:p>
        </w:tc>
        <w:tc>
          <w:tcPr>
            <w:tcW w:w="1608" w:type="dxa"/>
            <w:tcBorders>
              <w:top w:val="nil"/>
              <w:left w:val="nil"/>
              <w:bottom w:val="single" w:sz="4" w:space="0" w:color="auto"/>
              <w:right w:val="single" w:sz="4" w:space="0" w:color="auto"/>
            </w:tcBorders>
            <w:vAlign w:val="center"/>
            <w:hideMark/>
          </w:tcPr>
          <w:p w14:paraId="6135C7F3"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9,2%</w:t>
            </w:r>
          </w:p>
        </w:tc>
        <w:tc>
          <w:tcPr>
            <w:tcW w:w="1564" w:type="dxa"/>
            <w:tcBorders>
              <w:top w:val="nil"/>
              <w:left w:val="nil"/>
              <w:bottom w:val="single" w:sz="4" w:space="0" w:color="auto"/>
              <w:right w:val="single" w:sz="4" w:space="0" w:color="auto"/>
            </w:tcBorders>
            <w:vAlign w:val="center"/>
            <w:hideMark/>
          </w:tcPr>
          <w:p w14:paraId="67449449"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-9,7%</w:t>
            </w:r>
          </w:p>
        </w:tc>
      </w:tr>
      <w:tr w:rsidR="00101231" w:rsidRPr="00A73FE4" w14:paraId="249A2321" w14:textId="77777777" w:rsidTr="00751BAD">
        <w:trPr>
          <w:trHeight w:val="595"/>
        </w:trPr>
        <w:tc>
          <w:tcPr>
            <w:tcW w:w="3964" w:type="dxa"/>
            <w:tcBorders>
              <w:top w:val="nil"/>
              <w:left w:val="single" w:sz="4" w:space="0" w:color="auto"/>
              <w:bottom w:val="single" w:sz="4" w:space="0" w:color="auto"/>
              <w:right w:val="single" w:sz="4" w:space="0" w:color="auto"/>
            </w:tcBorders>
            <w:vAlign w:val="center"/>
            <w:hideMark/>
          </w:tcPr>
          <w:p w14:paraId="1EAE9BE3"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Топливо (нефтесодержащая продукция),</w:t>
            </w:r>
          </w:p>
          <w:p w14:paraId="2B9F152E"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тыс. тонн</w:t>
            </w:r>
          </w:p>
        </w:tc>
        <w:tc>
          <w:tcPr>
            <w:tcW w:w="720" w:type="dxa"/>
            <w:tcBorders>
              <w:top w:val="nil"/>
              <w:left w:val="nil"/>
              <w:bottom w:val="single" w:sz="4" w:space="0" w:color="auto"/>
              <w:right w:val="single" w:sz="4" w:space="0" w:color="auto"/>
            </w:tcBorders>
            <w:vAlign w:val="center"/>
            <w:hideMark/>
          </w:tcPr>
          <w:p w14:paraId="10FC44A7"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195,4</w:t>
            </w:r>
          </w:p>
        </w:tc>
        <w:tc>
          <w:tcPr>
            <w:tcW w:w="861" w:type="dxa"/>
            <w:tcBorders>
              <w:top w:val="nil"/>
              <w:left w:val="nil"/>
              <w:bottom w:val="single" w:sz="4" w:space="0" w:color="auto"/>
              <w:right w:val="single" w:sz="4" w:space="0" w:color="auto"/>
            </w:tcBorders>
            <w:vAlign w:val="center"/>
            <w:hideMark/>
          </w:tcPr>
          <w:p w14:paraId="38E28453"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258,3</w:t>
            </w:r>
          </w:p>
        </w:tc>
        <w:tc>
          <w:tcPr>
            <w:tcW w:w="993" w:type="dxa"/>
            <w:tcBorders>
              <w:top w:val="nil"/>
              <w:left w:val="nil"/>
              <w:bottom w:val="single" w:sz="4" w:space="0" w:color="auto"/>
              <w:right w:val="single" w:sz="4" w:space="0" w:color="auto"/>
            </w:tcBorders>
            <w:vAlign w:val="center"/>
            <w:hideMark/>
          </w:tcPr>
          <w:p w14:paraId="64FB2CD5"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238,6</w:t>
            </w:r>
          </w:p>
        </w:tc>
        <w:tc>
          <w:tcPr>
            <w:tcW w:w="1608" w:type="dxa"/>
            <w:tcBorders>
              <w:top w:val="nil"/>
              <w:left w:val="nil"/>
              <w:bottom w:val="single" w:sz="4" w:space="0" w:color="auto"/>
              <w:right w:val="single" w:sz="4" w:space="0" w:color="auto"/>
            </w:tcBorders>
            <w:vAlign w:val="center"/>
            <w:hideMark/>
          </w:tcPr>
          <w:p w14:paraId="12F3C890"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32,2%</w:t>
            </w:r>
          </w:p>
        </w:tc>
        <w:tc>
          <w:tcPr>
            <w:tcW w:w="1564" w:type="dxa"/>
            <w:tcBorders>
              <w:top w:val="nil"/>
              <w:left w:val="nil"/>
              <w:bottom w:val="single" w:sz="4" w:space="0" w:color="auto"/>
              <w:right w:val="single" w:sz="4" w:space="0" w:color="auto"/>
            </w:tcBorders>
            <w:vAlign w:val="center"/>
            <w:hideMark/>
          </w:tcPr>
          <w:p w14:paraId="2D620658"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-7,6%</w:t>
            </w:r>
          </w:p>
        </w:tc>
      </w:tr>
      <w:tr w:rsidR="00101231" w:rsidRPr="00A73FE4" w14:paraId="136933B0" w14:textId="77777777" w:rsidTr="00751BAD">
        <w:trPr>
          <w:trHeight w:val="297"/>
        </w:trPr>
        <w:tc>
          <w:tcPr>
            <w:tcW w:w="3964" w:type="dxa"/>
            <w:tcBorders>
              <w:top w:val="nil"/>
              <w:left w:val="single" w:sz="4" w:space="0" w:color="auto"/>
              <w:bottom w:val="single" w:sz="4" w:space="0" w:color="auto"/>
              <w:right w:val="single" w:sz="4" w:space="0" w:color="auto"/>
            </w:tcBorders>
            <w:vAlign w:val="center"/>
            <w:hideMark/>
          </w:tcPr>
          <w:p w14:paraId="48427591"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руда, тонн</w:t>
            </w:r>
          </w:p>
        </w:tc>
        <w:tc>
          <w:tcPr>
            <w:tcW w:w="720" w:type="dxa"/>
            <w:tcBorders>
              <w:top w:val="nil"/>
              <w:left w:val="nil"/>
              <w:bottom w:val="single" w:sz="4" w:space="0" w:color="auto"/>
              <w:right w:val="single" w:sz="4" w:space="0" w:color="auto"/>
            </w:tcBorders>
            <w:vAlign w:val="center"/>
            <w:hideMark/>
          </w:tcPr>
          <w:p w14:paraId="38A50794"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213,7</w:t>
            </w:r>
          </w:p>
        </w:tc>
        <w:tc>
          <w:tcPr>
            <w:tcW w:w="861" w:type="dxa"/>
            <w:tcBorders>
              <w:top w:val="nil"/>
              <w:left w:val="nil"/>
              <w:bottom w:val="single" w:sz="4" w:space="0" w:color="auto"/>
              <w:right w:val="single" w:sz="4" w:space="0" w:color="auto"/>
            </w:tcBorders>
            <w:vAlign w:val="center"/>
            <w:hideMark/>
          </w:tcPr>
          <w:p w14:paraId="2E2092AE"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888,4</w:t>
            </w:r>
          </w:p>
        </w:tc>
        <w:tc>
          <w:tcPr>
            <w:tcW w:w="993" w:type="dxa"/>
            <w:tcBorders>
              <w:top w:val="nil"/>
              <w:left w:val="nil"/>
              <w:bottom w:val="single" w:sz="4" w:space="0" w:color="auto"/>
              <w:right w:val="single" w:sz="4" w:space="0" w:color="auto"/>
            </w:tcBorders>
            <w:vAlign w:val="center"/>
            <w:hideMark/>
          </w:tcPr>
          <w:p w14:paraId="32A7F5DA"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936,3</w:t>
            </w:r>
          </w:p>
        </w:tc>
        <w:tc>
          <w:tcPr>
            <w:tcW w:w="1608" w:type="dxa"/>
            <w:tcBorders>
              <w:top w:val="nil"/>
              <w:left w:val="nil"/>
              <w:bottom w:val="single" w:sz="4" w:space="0" w:color="auto"/>
              <w:right w:val="single" w:sz="4" w:space="0" w:color="auto"/>
            </w:tcBorders>
            <w:vAlign w:val="center"/>
            <w:hideMark/>
          </w:tcPr>
          <w:p w14:paraId="708F8176"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315,8%</w:t>
            </w:r>
          </w:p>
        </w:tc>
        <w:tc>
          <w:tcPr>
            <w:tcW w:w="1564" w:type="dxa"/>
            <w:tcBorders>
              <w:top w:val="nil"/>
              <w:left w:val="nil"/>
              <w:bottom w:val="single" w:sz="4" w:space="0" w:color="auto"/>
              <w:right w:val="single" w:sz="4" w:space="0" w:color="auto"/>
            </w:tcBorders>
            <w:vAlign w:val="center"/>
            <w:hideMark/>
          </w:tcPr>
          <w:p w14:paraId="4C6680D4"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5,4%</w:t>
            </w:r>
          </w:p>
        </w:tc>
      </w:tr>
      <w:tr w:rsidR="00101231" w:rsidRPr="00A73FE4" w14:paraId="659B12FE" w14:textId="77777777" w:rsidTr="00751BAD">
        <w:trPr>
          <w:trHeight w:val="595"/>
        </w:trPr>
        <w:tc>
          <w:tcPr>
            <w:tcW w:w="3964" w:type="dxa"/>
            <w:tcBorders>
              <w:top w:val="nil"/>
              <w:left w:val="single" w:sz="4" w:space="0" w:color="auto"/>
              <w:bottom w:val="single" w:sz="4" w:space="0" w:color="auto"/>
              <w:right w:val="single" w:sz="4" w:space="0" w:color="auto"/>
            </w:tcBorders>
            <w:vAlign w:val="center"/>
            <w:hideMark/>
          </w:tcPr>
          <w:p w14:paraId="45F0A547"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сырье для производств, тыс. тонн</w:t>
            </w:r>
          </w:p>
        </w:tc>
        <w:tc>
          <w:tcPr>
            <w:tcW w:w="720" w:type="dxa"/>
            <w:tcBorders>
              <w:top w:val="nil"/>
              <w:left w:val="nil"/>
              <w:bottom w:val="single" w:sz="4" w:space="0" w:color="auto"/>
              <w:right w:val="single" w:sz="4" w:space="0" w:color="auto"/>
            </w:tcBorders>
            <w:vAlign w:val="center"/>
            <w:hideMark/>
          </w:tcPr>
          <w:p w14:paraId="3C01736E"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316,3</w:t>
            </w:r>
          </w:p>
        </w:tc>
        <w:tc>
          <w:tcPr>
            <w:tcW w:w="861" w:type="dxa"/>
            <w:tcBorders>
              <w:top w:val="nil"/>
              <w:left w:val="nil"/>
              <w:bottom w:val="single" w:sz="4" w:space="0" w:color="auto"/>
              <w:right w:val="single" w:sz="4" w:space="0" w:color="auto"/>
            </w:tcBorders>
            <w:vAlign w:val="center"/>
            <w:hideMark/>
          </w:tcPr>
          <w:p w14:paraId="1EB60640"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733,0</w:t>
            </w:r>
          </w:p>
        </w:tc>
        <w:tc>
          <w:tcPr>
            <w:tcW w:w="993" w:type="dxa"/>
            <w:tcBorders>
              <w:top w:val="nil"/>
              <w:left w:val="nil"/>
              <w:bottom w:val="single" w:sz="4" w:space="0" w:color="auto"/>
              <w:right w:val="single" w:sz="4" w:space="0" w:color="auto"/>
            </w:tcBorders>
            <w:vAlign w:val="center"/>
            <w:hideMark/>
          </w:tcPr>
          <w:p w14:paraId="481A7D12"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1 217,8</w:t>
            </w:r>
          </w:p>
        </w:tc>
        <w:tc>
          <w:tcPr>
            <w:tcW w:w="1608" w:type="dxa"/>
            <w:tcBorders>
              <w:top w:val="nil"/>
              <w:left w:val="nil"/>
              <w:bottom w:val="single" w:sz="4" w:space="0" w:color="auto"/>
              <w:right w:val="single" w:sz="4" w:space="0" w:color="auto"/>
            </w:tcBorders>
            <w:vAlign w:val="center"/>
            <w:hideMark/>
          </w:tcPr>
          <w:p w14:paraId="3B3D01BE"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131,7%</w:t>
            </w:r>
          </w:p>
        </w:tc>
        <w:tc>
          <w:tcPr>
            <w:tcW w:w="1564" w:type="dxa"/>
            <w:tcBorders>
              <w:top w:val="nil"/>
              <w:left w:val="nil"/>
              <w:bottom w:val="single" w:sz="4" w:space="0" w:color="auto"/>
              <w:right w:val="single" w:sz="4" w:space="0" w:color="auto"/>
            </w:tcBorders>
            <w:vAlign w:val="center"/>
            <w:hideMark/>
          </w:tcPr>
          <w:p w14:paraId="2E78A693"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66,1%</w:t>
            </w:r>
          </w:p>
        </w:tc>
      </w:tr>
      <w:tr w:rsidR="00101231" w:rsidRPr="00A73FE4" w14:paraId="1629877C" w14:textId="77777777" w:rsidTr="00751BAD">
        <w:trPr>
          <w:trHeight w:val="338"/>
        </w:trPr>
        <w:tc>
          <w:tcPr>
            <w:tcW w:w="3964" w:type="dxa"/>
            <w:tcBorders>
              <w:top w:val="nil"/>
              <w:left w:val="single" w:sz="4" w:space="0" w:color="auto"/>
              <w:bottom w:val="single" w:sz="4" w:space="0" w:color="auto"/>
              <w:right w:val="single" w:sz="4" w:space="0" w:color="auto"/>
            </w:tcBorders>
            <w:vAlign w:val="center"/>
            <w:hideMark/>
          </w:tcPr>
          <w:p w14:paraId="09347FF4"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автомобили и запчасти, 1000 шт.</w:t>
            </w:r>
          </w:p>
        </w:tc>
        <w:tc>
          <w:tcPr>
            <w:tcW w:w="720" w:type="dxa"/>
            <w:tcBorders>
              <w:top w:val="nil"/>
              <w:left w:val="nil"/>
              <w:bottom w:val="single" w:sz="4" w:space="0" w:color="auto"/>
              <w:right w:val="single" w:sz="4" w:space="0" w:color="auto"/>
            </w:tcBorders>
            <w:vAlign w:val="center"/>
            <w:hideMark/>
          </w:tcPr>
          <w:p w14:paraId="3E1D79C6"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319,1</w:t>
            </w:r>
          </w:p>
        </w:tc>
        <w:tc>
          <w:tcPr>
            <w:tcW w:w="861" w:type="dxa"/>
            <w:tcBorders>
              <w:top w:val="nil"/>
              <w:left w:val="nil"/>
              <w:bottom w:val="single" w:sz="4" w:space="0" w:color="auto"/>
              <w:right w:val="single" w:sz="4" w:space="0" w:color="auto"/>
            </w:tcBorders>
            <w:vAlign w:val="center"/>
            <w:hideMark/>
          </w:tcPr>
          <w:p w14:paraId="0BD57B5F"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671,5</w:t>
            </w:r>
          </w:p>
        </w:tc>
        <w:tc>
          <w:tcPr>
            <w:tcW w:w="993" w:type="dxa"/>
            <w:tcBorders>
              <w:top w:val="nil"/>
              <w:left w:val="nil"/>
              <w:bottom w:val="single" w:sz="4" w:space="0" w:color="auto"/>
              <w:right w:val="single" w:sz="4" w:space="0" w:color="auto"/>
            </w:tcBorders>
            <w:vAlign w:val="center"/>
            <w:hideMark/>
          </w:tcPr>
          <w:p w14:paraId="17EAA835"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875,9</w:t>
            </w:r>
          </w:p>
        </w:tc>
        <w:tc>
          <w:tcPr>
            <w:tcW w:w="1608" w:type="dxa"/>
            <w:tcBorders>
              <w:top w:val="nil"/>
              <w:left w:val="nil"/>
              <w:bottom w:val="single" w:sz="4" w:space="0" w:color="auto"/>
              <w:right w:val="single" w:sz="4" w:space="0" w:color="auto"/>
            </w:tcBorders>
            <w:vAlign w:val="center"/>
            <w:hideMark/>
          </w:tcPr>
          <w:p w14:paraId="2043B1AD"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110,4%</w:t>
            </w:r>
          </w:p>
        </w:tc>
        <w:tc>
          <w:tcPr>
            <w:tcW w:w="1564" w:type="dxa"/>
            <w:tcBorders>
              <w:top w:val="nil"/>
              <w:left w:val="nil"/>
              <w:bottom w:val="single" w:sz="4" w:space="0" w:color="auto"/>
              <w:right w:val="single" w:sz="4" w:space="0" w:color="auto"/>
            </w:tcBorders>
            <w:vAlign w:val="center"/>
            <w:hideMark/>
          </w:tcPr>
          <w:p w14:paraId="60040B11" w14:textId="77777777" w:rsidR="00101231" w:rsidRPr="001E1CF1"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E1CF1">
              <w:rPr>
                <w:rFonts w:ascii="Times New Roman" w:eastAsia="Times New Roman" w:hAnsi="Times New Roman" w:cs="Times New Roman"/>
                <w:color w:val="000000"/>
                <w:kern w:val="0"/>
                <w:sz w:val="22"/>
                <w:szCs w:val="22"/>
                <w:lang w:eastAsia="ru-RU"/>
                <w14:ligatures w14:val="none"/>
              </w:rPr>
              <w:t>30,4%</w:t>
            </w:r>
          </w:p>
        </w:tc>
      </w:tr>
    </w:tbl>
    <w:p w14:paraId="523F60A2" w14:textId="77777777" w:rsidR="00101231" w:rsidRDefault="00101231" w:rsidP="00101231">
      <w:pPr>
        <w:widowControl w:val="0"/>
        <w:spacing w:after="0" w:line="360" w:lineRule="auto"/>
        <w:ind w:firstLine="709"/>
        <w:jc w:val="both"/>
        <w:rPr>
          <w:rFonts w:ascii="Times New Roman" w:eastAsia="Times New Roman" w:hAnsi="Times New Roman" w:cs="Times New Roman"/>
          <w:kern w:val="0"/>
          <w:sz w:val="28"/>
          <w:szCs w:val="28"/>
          <w:lang w:eastAsia="ru-RU"/>
          <w14:ligatures w14:val="none"/>
        </w:rPr>
      </w:pPr>
    </w:p>
    <w:p w14:paraId="646B16B8" w14:textId="10CE64E1" w:rsidR="00101231" w:rsidRDefault="00101231" w:rsidP="00101231">
      <w:pPr>
        <w:widowControl w:val="0"/>
        <w:spacing w:after="0" w:line="360" w:lineRule="auto"/>
        <w:ind w:firstLine="709"/>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В 2022 году не наблюдается такой же стабильно положительной динамики по всем категориям, так, с одной стороны, количество импорта продуктов питания снизилось (-9,7%), как и поставки топлива (-7,6%). Такое снижение обусловлено внешнеэкономическими условиями, изменением логистики. </w:t>
      </w:r>
    </w:p>
    <w:p w14:paraId="4B4760B3" w14:textId="0819496A" w:rsidR="00101231" w:rsidRDefault="00101231" w:rsidP="00101231">
      <w:pPr>
        <w:widowControl w:val="0"/>
        <w:spacing w:after="0" w:line="360" w:lineRule="auto"/>
        <w:ind w:firstLine="709"/>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С другой стороны, идет повышение импорта руды (5,4%), сырья для </w:t>
      </w:r>
      <w:r>
        <w:rPr>
          <w:rFonts w:ascii="Times New Roman" w:eastAsia="Times New Roman" w:hAnsi="Times New Roman" w:cs="Times New Roman"/>
          <w:kern w:val="0"/>
          <w:sz w:val="28"/>
          <w:szCs w:val="28"/>
          <w:lang w:eastAsia="ru-RU"/>
          <w14:ligatures w14:val="none"/>
        </w:rPr>
        <w:lastRenderedPageBreak/>
        <w:t xml:space="preserve">производства (66,1%) и автомобилей и запчастей (30,4%), свидетельствующее о возможном перераспределении грузопотоков. </w:t>
      </w:r>
      <w:r>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eastAsia="ru-RU"/>
          <w14:ligatures w14:val="none"/>
        </w:rPr>
        <w:t>На рисунке 1.2 изображен график динамики изменения импорта России важнейших товаров для более наглядного отображения данных.</w:t>
      </w:r>
    </w:p>
    <w:p w14:paraId="0C55A2C0" w14:textId="77777777" w:rsidR="00101231" w:rsidRDefault="00101231" w:rsidP="00101231">
      <w:pPr>
        <w:widowControl w:val="0"/>
        <w:spacing w:after="0" w:line="360" w:lineRule="auto"/>
        <w:jc w:val="both"/>
        <w:rPr>
          <w:rFonts w:ascii="Times New Roman" w:eastAsia="Times New Roman" w:hAnsi="Times New Roman" w:cs="Times New Roman"/>
          <w:kern w:val="0"/>
          <w:sz w:val="28"/>
          <w:szCs w:val="28"/>
          <w:lang w:eastAsia="ru-RU"/>
          <w14:ligatures w14:val="none"/>
        </w:rPr>
      </w:pPr>
    </w:p>
    <w:p w14:paraId="4C514C8F" w14:textId="77777777" w:rsidR="00101231" w:rsidRPr="00451A1C" w:rsidRDefault="00101231" w:rsidP="00101231">
      <w:pPr>
        <w:widowControl w:val="0"/>
        <w:spacing w:after="0" w:line="360" w:lineRule="auto"/>
        <w:jc w:val="both"/>
        <w:rPr>
          <w:rFonts w:ascii="Times New Roman" w:eastAsia="Times New Roman" w:hAnsi="Times New Roman" w:cs="Times New Roman"/>
          <w:kern w:val="0"/>
          <w:sz w:val="28"/>
          <w:szCs w:val="28"/>
          <w:lang w:eastAsia="ru-RU"/>
          <w14:ligatures w14:val="none"/>
        </w:rPr>
      </w:pPr>
      <w:r>
        <w:rPr>
          <w:noProof/>
          <w:lang w:eastAsia="ru-RU"/>
        </w:rPr>
        <w:drawing>
          <wp:inline distT="0" distB="0" distL="0" distR="0" wp14:anchorId="5D38F7D3" wp14:editId="724D93A7">
            <wp:extent cx="6084570" cy="2090057"/>
            <wp:effectExtent l="0" t="0" r="11430" b="5715"/>
            <wp:docPr id="1167771104" name="Диаграмма 1">
              <a:extLst xmlns:a="http://schemas.openxmlformats.org/drawingml/2006/main">
                <a:ext uri="{FF2B5EF4-FFF2-40B4-BE49-F238E27FC236}">
                  <a16:creationId xmlns:a16="http://schemas.microsoft.com/office/drawing/2014/main" id="{12188964-34A3-4F3F-28F8-972D63C7AA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5F2D540" w14:textId="77777777" w:rsidR="00101231" w:rsidRDefault="00101231" w:rsidP="00101231">
      <w:pPr>
        <w:widowControl w:val="0"/>
        <w:spacing w:after="0" w:line="360" w:lineRule="auto"/>
        <w:jc w:val="center"/>
        <w:rPr>
          <w:rFonts w:ascii="Times New Roman" w:eastAsia="Times New Roman" w:hAnsi="Times New Roman" w:cs="Times New Roman"/>
          <w:kern w:val="0"/>
          <w:sz w:val="28"/>
          <w:szCs w:val="28"/>
          <w:lang w:eastAsia="ru-RU"/>
          <w14:ligatures w14:val="none"/>
        </w:rPr>
      </w:pPr>
      <w:r w:rsidRPr="00692D58">
        <w:rPr>
          <w:rFonts w:ascii="Times New Roman" w:eastAsia="Times New Roman" w:hAnsi="Times New Roman" w:cs="Times New Roman"/>
          <w:kern w:val="0"/>
          <w:sz w:val="28"/>
          <w:szCs w:val="28"/>
          <w:lang w:eastAsia="ru-RU"/>
          <w14:ligatures w14:val="none"/>
        </w:rPr>
        <w:t xml:space="preserve">Рисунок </w:t>
      </w:r>
      <w:r>
        <w:rPr>
          <w:rFonts w:ascii="Times New Roman" w:eastAsia="Times New Roman" w:hAnsi="Times New Roman" w:cs="Times New Roman"/>
          <w:kern w:val="0"/>
          <w:sz w:val="28"/>
          <w:szCs w:val="28"/>
          <w:lang w:eastAsia="ru-RU"/>
          <w14:ligatures w14:val="none"/>
        </w:rPr>
        <w:t>1.</w:t>
      </w:r>
      <w:r w:rsidRPr="00692D58">
        <w:rPr>
          <w:rFonts w:ascii="Times New Roman" w:eastAsia="Times New Roman" w:hAnsi="Times New Roman" w:cs="Times New Roman"/>
          <w:kern w:val="0"/>
          <w:sz w:val="28"/>
          <w:szCs w:val="28"/>
          <w:lang w:eastAsia="ru-RU"/>
          <w14:ligatures w14:val="none"/>
        </w:rPr>
        <w:t xml:space="preserve">2 – </w:t>
      </w:r>
      <w:r>
        <w:rPr>
          <w:rFonts w:ascii="Times New Roman" w:eastAsia="Times New Roman" w:hAnsi="Times New Roman" w:cs="Times New Roman"/>
          <w:kern w:val="0"/>
          <w:sz w:val="28"/>
          <w:szCs w:val="28"/>
          <w:lang w:eastAsia="ru-RU"/>
          <w14:ligatures w14:val="none"/>
        </w:rPr>
        <w:t>График динамики изменения импорта России важнейших товаров</w:t>
      </w:r>
    </w:p>
    <w:p w14:paraId="17F92485" w14:textId="77777777" w:rsidR="00101231" w:rsidRDefault="00101231" w:rsidP="00101231">
      <w:pPr>
        <w:widowControl w:val="0"/>
        <w:spacing w:after="0" w:line="360" w:lineRule="auto"/>
        <w:ind w:firstLine="709"/>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Анализ динамики внешней торговли РФ за 2021-2025 гг., свидетельствует о значительном снижении показателей в 2021-2023 гг. с последующим восстановлением значений в 2024-2025 гг. Так, объем экспорта с 467 млрд. долл. США в 2021 году до 269 млрд. долл. США в 2023 году, что говорит о снижении темпов роста экспорта на 42% из-за влияния внешнеэкономических ограничений, изменения логистических цепочек поставок и смене торговых путей. В 2024 г. Наблюдается рост экспорта на 3%, но уже в 2025 г виден значительный рост на 50%, свидетельствующий о восстановлении экспорта, характерного для политики РФ, направленной на изменения в системе регулирования внешнеэкономической деятельности (ВЭД). Аналогичная ситуация наблюдается в динамике импорта: снижение в 2022–2023  гг. (29 %) и последующий рост в 2024–2025  гг. Внешнеторговый оборот показывает ту же ситуацию – снижение и последующий рост. Торговый баланс сохраняет положительное значение на протяжении всего рассматриваемого периода, несмотря на резкое снижение в 2023 году. Данные представлены на рисунке 1.3 и таблице</w:t>
      </w:r>
      <w:r>
        <w:rPr>
          <w:rFonts w:ascii="Times New Roman" w:eastAsia="Times New Roman" w:hAnsi="Times New Roman" w:cs="Times New Roman"/>
          <w:kern w:val="0"/>
          <w:sz w:val="28"/>
          <w:szCs w:val="28"/>
          <w:lang w:eastAsia="ru-RU"/>
          <w14:ligatures w14:val="none"/>
        </w:rPr>
        <w:t xml:space="preserve"> 1.2.</w:t>
      </w:r>
    </w:p>
    <w:p w14:paraId="5DA35706" w14:textId="2FF2FDA3" w:rsidR="00101231" w:rsidRDefault="00101231" w:rsidP="00101231">
      <w:pPr>
        <w:widowControl w:val="0"/>
        <w:spacing w:after="0" w:line="360" w:lineRule="auto"/>
        <w:ind w:firstLine="709"/>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 xml:space="preserve">Следует отметить, что после 2022 года официальная статистика внешней торговли от Федеральной таможенной службы (ФТС) не раскрывается, поэтому для анализа используются данные из разных источников, включая отраслевые аналитические публикации, которые могут быть основаны на различающихся способах и методах расчета, могут использоваться разные категории товаров. Это важно, поскольку это обуславливает возможные расхождения в значениях и значительных отрывах между данными.  </w:t>
      </w:r>
    </w:p>
    <w:p w14:paraId="5E4E7B29" w14:textId="481F1C48" w:rsidR="00101231" w:rsidRDefault="00101231" w:rsidP="00101231">
      <w:pPr>
        <w:widowControl w:val="0"/>
        <w:spacing w:after="0" w:line="360" w:lineRule="auto"/>
        <w:ind w:firstLine="709"/>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Также резкое увеличение показателей в 2025 году может быть обусловлено изменением географии внешнеторговых связей РФ, поскольку Европейский союз, ранее занимавший большую долю во внешней торговле России претерпел снижение, связанное с введением ограничительных мер и уменьшением экономического взаимодействия. </w:t>
      </w:r>
    </w:p>
    <w:p w14:paraId="03D7C903" w14:textId="502226EF" w:rsidR="00101231" w:rsidRPr="00E0071C" w:rsidRDefault="00101231" w:rsidP="00101231">
      <w:pPr>
        <w:widowControl w:val="0"/>
        <w:spacing w:after="0" w:line="360" w:lineRule="auto"/>
        <w:ind w:firstLine="709"/>
        <w:jc w:val="both"/>
        <w:rPr>
          <w:rFonts w:ascii="Times New Roman" w:eastAsia="Times New Roman" w:hAnsi="Times New Roman" w:cs="Times New Roman"/>
          <w:kern w:val="0"/>
          <w:sz w:val="28"/>
          <w:szCs w:val="28"/>
          <w:lang w:eastAsia="ru-RU"/>
          <w14:ligatures w14:val="none"/>
        </w:rPr>
      </w:pPr>
      <w:r w:rsidRPr="00E0071C">
        <w:rPr>
          <w:rFonts w:ascii="Times New Roman" w:eastAsia="Times New Roman" w:hAnsi="Times New Roman" w:cs="Times New Roman"/>
          <w:kern w:val="0"/>
          <w:sz w:val="28"/>
          <w:szCs w:val="28"/>
          <w:lang w:eastAsia="ru-RU"/>
          <w14:ligatures w14:val="none"/>
        </w:rPr>
        <w:t>В условиях снижения значимости европейского направления возрастает роль азиатских стран и государств-членов БРИКС. Китай оста</w:t>
      </w:r>
      <w:r>
        <w:rPr>
          <w:rFonts w:ascii="Times New Roman" w:eastAsia="Times New Roman" w:hAnsi="Times New Roman" w:cs="Times New Roman"/>
          <w:kern w:val="0"/>
          <w:sz w:val="28"/>
          <w:szCs w:val="28"/>
          <w:lang w:eastAsia="ru-RU"/>
          <w14:ligatures w14:val="none"/>
        </w:rPr>
        <w:t>е</w:t>
      </w:r>
      <w:r w:rsidRPr="00E0071C">
        <w:rPr>
          <w:rFonts w:ascii="Times New Roman" w:eastAsia="Times New Roman" w:hAnsi="Times New Roman" w:cs="Times New Roman"/>
          <w:kern w:val="0"/>
          <w:sz w:val="28"/>
          <w:szCs w:val="28"/>
          <w:lang w:eastAsia="ru-RU"/>
          <w14:ligatures w14:val="none"/>
        </w:rPr>
        <w:t>тся ключевым торговым партн</w:t>
      </w:r>
      <w:r>
        <w:rPr>
          <w:rFonts w:ascii="Times New Roman" w:eastAsia="Times New Roman" w:hAnsi="Times New Roman" w:cs="Times New Roman"/>
          <w:kern w:val="0"/>
          <w:sz w:val="28"/>
          <w:szCs w:val="28"/>
          <w:lang w:eastAsia="ru-RU"/>
          <w14:ligatures w14:val="none"/>
        </w:rPr>
        <w:t>е</w:t>
      </w:r>
      <w:r w:rsidRPr="00E0071C">
        <w:rPr>
          <w:rFonts w:ascii="Times New Roman" w:eastAsia="Times New Roman" w:hAnsi="Times New Roman" w:cs="Times New Roman"/>
          <w:kern w:val="0"/>
          <w:sz w:val="28"/>
          <w:szCs w:val="28"/>
          <w:lang w:eastAsia="ru-RU"/>
          <w14:ligatures w14:val="none"/>
        </w:rPr>
        <w:t xml:space="preserve">ром России, на долю которого в 2024 году пришлось около 140 миллиардов долларов США </w:t>
      </w:r>
      <w:r>
        <w:rPr>
          <w:rFonts w:ascii="Times New Roman" w:eastAsia="Times New Roman" w:hAnsi="Times New Roman" w:cs="Times New Roman"/>
          <w:kern w:val="0"/>
          <w:sz w:val="28"/>
          <w:szCs w:val="28"/>
          <w:lang w:eastAsia="ru-RU"/>
          <w14:ligatures w14:val="none"/>
        </w:rPr>
        <w:t xml:space="preserve">от всего </w:t>
      </w:r>
      <w:r w:rsidRPr="00E0071C">
        <w:rPr>
          <w:rFonts w:ascii="Times New Roman" w:eastAsia="Times New Roman" w:hAnsi="Times New Roman" w:cs="Times New Roman"/>
          <w:kern w:val="0"/>
          <w:sz w:val="28"/>
          <w:szCs w:val="28"/>
          <w:lang w:eastAsia="ru-RU"/>
          <w14:ligatures w14:val="none"/>
        </w:rPr>
        <w:t>товарооборота. Основу российского экспорта в Китай составляют энергоносители, включая нефтепродукты и уголь, а также зерновые культуры. Импорт, в свою очередь, преимущественно сосредоточен на электронике, машинном оборудовании и цифровых технологиях.</w:t>
      </w:r>
    </w:p>
    <w:p w14:paraId="084727E6" w14:textId="77777777" w:rsidR="00101231" w:rsidRDefault="00101231" w:rsidP="00101231">
      <w:pPr>
        <w:widowControl w:val="0"/>
        <w:spacing w:after="0" w:line="360" w:lineRule="auto"/>
        <w:ind w:firstLine="709"/>
        <w:jc w:val="both"/>
        <w:rPr>
          <w:rFonts w:ascii="Times New Roman" w:eastAsia="Times New Roman" w:hAnsi="Times New Roman" w:cs="Times New Roman"/>
          <w:kern w:val="0"/>
          <w:sz w:val="28"/>
          <w:szCs w:val="28"/>
          <w:lang w:eastAsia="ru-RU"/>
          <w14:ligatures w14:val="none"/>
        </w:rPr>
      </w:pPr>
      <w:r w:rsidRPr="00E0071C">
        <w:rPr>
          <w:rFonts w:ascii="Times New Roman" w:eastAsia="Times New Roman" w:hAnsi="Times New Roman" w:cs="Times New Roman"/>
          <w:kern w:val="0"/>
          <w:sz w:val="28"/>
          <w:szCs w:val="28"/>
          <w:lang w:eastAsia="ru-RU"/>
          <w14:ligatures w14:val="none"/>
        </w:rPr>
        <w:t>Увеличивается значимость Индии, которая стала одним из ведущих покупателей российской нефти. Объ</w:t>
      </w:r>
      <w:r>
        <w:rPr>
          <w:rFonts w:ascii="Times New Roman" w:eastAsia="Times New Roman" w:hAnsi="Times New Roman" w:cs="Times New Roman"/>
          <w:kern w:val="0"/>
          <w:sz w:val="28"/>
          <w:szCs w:val="28"/>
          <w:lang w:eastAsia="ru-RU"/>
          <w14:ligatures w14:val="none"/>
        </w:rPr>
        <w:t>е</w:t>
      </w:r>
      <w:r w:rsidRPr="00E0071C">
        <w:rPr>
          <w:rFonts w:ascii="Times New Roman" w:eastAsia="Times New Roman" w:hAnsi="Times New Roman" w:cs="Times New Roman"/>
          <w:kern w:val="0"/>
          <w:sz w:val="28"/>
          <w:szCs w:val="28"/>
          <w:lang w:eastAsia="ru-RU"/>
          <w14:ligatures w14:val="none"/>
        </w:rPr>
        <w:t>м закупок российской нефти Индией вырос более чем в два раза по сравнению с 2022 годом.</w:t>
      </w:r>
      <w:r>
        <w:rPr>
          <w:rFonts w:ascii="Times New Roman" w:eastAsia="Times New Roman" w:hAnsi="Times New Roman" w:cs="Times New Roman"/>
          <w:kern w:val="0"/>
          <w:sz w:val="28"/>
          <w:szCs w:val="28"/>
          <w:lang w:eastAsia="ru-RU"/>
          <w14:ligatures w14:val="none"/>
        </w:rPr>
        <w:t xml:space="preserve"> </w:t>
      </w:r>
    </w:p>
    <w:p w14:paraId="2CD251B0" w14:textId="77777777" w:rsidR="00101231" w:rsidRDefault="00101231" w:rsidP="00101231">
      <w:pPr>
        <w:widowControl w:val="0"/>
        <w:spacing w:after="0" w:line="360" w:lineRule="auto"/>
        <w:jc w:val="center"/>
        <w:rPr>
          <w:rFonts w:ascii="Times New Roman" w:eastAsia="Times New Roman" w:hAnsi="Times New Roman" w:cs="Times New Roman"/>
          <w:kern w:val="0"/>
          <w:sz w:val="28"/>
          <w:szCs w:val="28"/>
          <w:lang w:eastAsia="ru-RU"/>
          <w14:ligatures w14:val="none"/>
        </w:rPr>
      </w:pPr>
      <w:r>
        <w:rPr>
          <w:noProof/>
          <w:lang w:eastAsia="ru-RU"/>
        </w:rPr>
        <w:drawing>
          <wp:inline distT="0" distB="0" distL="0" distR="0" wp14:anchorId="21B86612" wp14:editId="56E7CF1B">
            <wp:extent cx="6155055" cy="1556657"/>
            <wp:effectExtent l="0" t="0" r="17145" b="5715"/>
            <wp:docPr id="23954929" name="Диаграмма 1">
              <a:extLst xmlns:a="http://schemas.openxmlformats.org/drawingml/2006/main">
                <a:ext uri="{FF2B5EF4-FFF2-40B4-BE49-F238E27FC236}">
                  <a16:creationId xmlns:a16="http://schemas.microsoft.com/office/drawing/2014/main" id="{09ACDC32-3AE4-2C38-2618-F61ED09E18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B948A15" w14:textId="77777777" w:rsidR="00101231" w:rsidRDefault="00101231" w:rsidP="00101231">
      <w:pPr>
        <w:widowControl w:val="0"/>
        <w:spacing w:after="0" w:line="360" w:lineRule="auto"/>
        <w:jc w:val="center"/>
        <w:rPr>
          <w:rFonts w:ascii="Times New Roman" w:eastAsia="Times New Roman" w:hAnsi="Times New Roman" w:cs="Times New Roman"/>
          <w:kern w:val="0"/>
          <w:sz w:val="28"/>
          <w:szCs w:val="28"/>
          <w:lang w:eastAsia="ru-RU"/>
          <w14:ligatures w14:val="none"/>
        </w:rPr>
      </w:pPr>
      <w:r w:rsidRPr="007E0F5A">
        <w:rPr>
          <w:rFonts w:ascii="Times New Roman" w:eastAsia="Times New Roman" w:hAnsi="Times New Roman" w:cs="Times New Roman"/>
          <w:kern w:val="0"/>
          <w:sz w:val="28"/>
          <w:szCs w:val="28"/>
          <w:lang w:eastAsia="ru-RU"/>
          <w14:ligatures w14:val="none"/>
        </w:rPr>
        <w:t>Рисунок 1.3 –Динамика изменения темпа прироста импорта, экспорта и внешнеторгового оборота 2022–202</w:t>
      </w:r>
      <w:r>
        <w:rPr>
          <w:rFonts w:ascii="Times New Roman" w:eastAsia="Times New Roman" w:hAnsi="Times New Roman" w:cs="Times New Roman"/>
          <w:kern w:val="0"/>
          <w:sz w:val="28"/>
          <w:szCs w:val="28"/>
          <w:lang w:eastAsia="ru-RU"/>
          <w14:ligatures w14:val="none"/>
        </w:rPr>
        <w:t>4</w:t>
      </w:r>
      <w:r w:rsidRPr="007E0F5A">
        <w:rPr>
          <w:rFonts w:ascii="Times New Roman" w:eastAsia="Times New Roman" w:hAnsi="Times New Roman" w:cs="Times New Roman"/>
          <w:kern w:val="0"/>
          <w:sz w:val="28"/>
          <w:szCs w:val="28"/>
          <w:lang w:eastAsia="ru-RU"/>
          <w14:ligatures w14:val="none"/>
        </w:rPr>
        <w:t xml:space="preserve"> гг.</w:t>
      </w:r>
      <w:r>
        <w:rPr>
          <w:rFonts w:ascii="Times New Roman" w:eastAsia="Times New Roman" w:hAnsi="Times New Roman" w:cs="Times New Roman"/>
          <w:kern w:val="0"/>
          <w:sz w:val="28"/>
          <w:szCs w:val="28"/>
          <w:lang w:eastAsia="ru-RU"/>
          <w14:ligatures w14:val="none"/>
        </w:rPr>
        <w:t xml:space="preserve"> </w:t>
      </w:r>
    </w:p>
    <w:p w14:paraId="12CCFE00" w14:textId="77777777" w:rsidR="00101231" w:rsidRPr="00F30061" w:rsidRDefault="00101231" w:rsidP="00101231">
      <w:pPr>
        <w:widowControl w:val="0"/>
        <w:spacing w:line="360" w:lineRule="auto"/>
        <w:ind w:firstLine="708"/>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Полученные данные показывают значительные изменения в объемах грузоперевозок, именно поэтому высокий уровень цифровизации таможенных органов необходим. Так как увеличение количества перевозок приводит к более высокой нагрузке на существующие системы обработки данных, ведения документации, проведения исследований, составления заключений и контроля перемещения.</w:t>
      </w:r>
    </w:p>
    <w:p w14:paraId="33996821" w14:textId="7A6FBBEE" w:rsidR="00101231" w:rsidRPr="00DE7D85" w:rsidRDefault="00101231" w:rsidP="00101231">
      <w:pPr>
        <w:widowControl w:val="0"/>
        <w:spacing w:after="0" w:line="360" w:lineRule="auto"/>
        <w:ind w:firstLine="708"/>
        <w:jc w:val="right"/>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Таблица 1</w:t>
      </w:r>
      <w:r>
        <w:rPr>
          <w:rFonts w:ascii="Times New Roman" w:eastAsia="Times New Roman" w:hAnsi="Times New Roman" w:cs="Times New Roman"/>
          <w:kern w:val="0"/>
          <w:lang w:eastAsia="ru-RU"/>
          <w14:ligatures w14:val="none"/>
        </w:rPr>
        <w:t>.2</w:t>
      </w:r>
      <w:r>
        <w:rPr>
          <w:rFonts w:ascii="Times New Roman" w:eastAsia="Times New Roman" w:hAnsi="Times New Roman" w:cs="Times New Roman"/>
          <w:kern w:val="0"/>
          <w:lang w:eastAsia="ru-RU"/>
          <w14:ligatures w14:val="none"/>
        </w:rPr>
        <w:t>-</w:t>
      </w:r>
      <w:r w:rsidRPr="00DE7D85">
        <w:rPr>
          <w:rFonts w:ascii="Times New Roman" w:eastAsia="Times New Roman" w:hAnsi="Times New Roman" w:cs="Times New Roman"/>
          <w:kern w:val="0"/>
          <w:lang w:eastAsia="ru-RU"/>
          <w14:ligatures w14:val="none"/>
        </w:rPr>
        <w:t>Аналитическая таблица динамики изменений показателей торговли</w:t>
      </w:r>
    </w:p>
    <w:tbl>
      <w:tblPr>
        <w:tblW w:w="9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1000"/>
        <w:gridCol w:w="1119"/>
        <w:gridCol w:w="1857"/>
        <w:gridCol w:w="1701"/>
      </w:tblGrid>
      <w:tr w:rsidR="00101231" w:rsidRPr="00654D8C" w14:paraId="7E88D44C" w14:textId="77777777" w:rsidTr="00751BAD">
        <w:trPr>
          <w:trHeight w:val="828"/>
        </w:trPr>
        <w:tc>
          <w:tcPr>
            <w:tcW w:w="3964" w:type="dxa"/>
            <w:noWrap/>
            <w:vAlign w:val="center"/>
            <w:hideMark/>
          </w:tcPr>
          <w:p w14:paraId="1F3C891D" w14:textId="77777777" w:rsidR="00101231" w:rsidRPr="00654D8C" w:rsidRDefault="00101231" w:rsidP="00751BAD">
            <w:pPr>
              <w:spacing w:after="0" w:line="240" w:lineRule="auto"/>
              <w:rPr>
                <w:rFonts w:ascii="Times New Roman" w:eastAsia="Times New Roman" w:hAnsi="Times New Roman" w:cs="Times New Roman"/>
                <w:kern w:val="0"/>
                <w:sz w:val="22"/>
                <w:szCs w:val="22"/>
                <w:lang w:eastAsia="ru-RU"/>
                <w14:ligatures w14:val="none"/>
              </w:rPr>
            </w:pPr>
          </w:p>
        </w:tc>
        <w:tc>
          <w:tcPr>
            <w:tcW w:w="1000" w:type="dxa"/>
            <w:vAlign w:val="center"/>
            <w:hideMark/>
          </w:tcPr>
          <w:p w14:paraId="7064F02E"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Экспорт</w:t>
            </w:r>
          </w:p>
        </w:tc>
        <w:tc>
          <w:tcPr>
            <w:tcW w:w="1119" w:type="dxa"/>
            <w:vAlign w:val="center"/>
            <w:hideMark/>
          </w:tcPr>
          <w:p w14:paraId="6B5EFBF6"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Импорт</w:t>
            </w:r>
          </w:p>
        </w:tc>
        <w:tc>
          <w:tcPr>
            <w:tcW w:w="1857" w:type="dxa"/>
            <w:vAlign w:val="center"/>
            <w:hideMark/>
          </w:tcPr>
          <w:p w14:paraId="35F4F1E5"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AA7848">
              <w:rPr>
                <w:rFonts w:ascii="Times New Roman" w:eastAsia="Times New Roman" w:hAnsi="Times New Roman" w:cs="Times New Roman"/>
                <w:color w:val="000000"/>
                <w:kern w:val="0"/>
                <w:sz w:val="22"/>
                <w:szCs w:val="22"/>
                <w:lang w:eastAsia="ru-RU"/>
                <w14:ligatures w14:val="none"/>
              </w:rPr>
              <w:t>Внешнеторговый</w:t>
            </w:r>
            <w:r w:rsidRPr="00654D8C">
              <w:rPr>
                <w:rFonts w:ascii="Times New Roman" w:eastAsia="Times New Roman" w:hAnsi="Times New Roman" w:cs="Times New Roman"/>
                <w:color w:val="000000"/>
                <w:kern w:val="0"/>
                <w:sz w:val="22"/>
                <w:szCs w:val="22"/>
                <w:lang w:eastAsia="ru-RU"/>
                <w14:ligatures w14:val="none"/>
              </w:rPr>
              <w:t xml:space="preserve"> оборот</w:t>
            </w:r>
          </w:p>
        </w:tc>
        <w:tc>
          <w:tcPr>
            <w:tcW w:w="1701" w:type="dxa"/>
            <w:vAlign w:val="center"/>
            <w:hideMark/>
          </w:tcPr>
          <w:p w14:paraId="10F0BCD4"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Торговый баланс</w:t>
            </w:r>
          </w:p>
        </w:tc>
      </w:tr>
      <w:tr w:rsidR="00101231" w:rsidRPr="00654D8C" w14:paraId="1D05D0A9" w14:textId="77777777" w:rsidTr="00751BAD">
        <w:trPr>
          <w:trHeight w:val="259"/>
        </w:trPr>
        <w:tc>
          <w:tcPr>
            <w:tcW w:w="3964" w:type="dxa"/>
            <w:vAlign w:val="center"/>
            <w:hideMark/>
          </w:tcPr>
          <w:p w14:paraId="62456C28"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 xml:space="preserve">2021 г., </w:t>
            </w:r>
            <w:r w:rsidRPr="00AA7848">
              <w:rPr>
                <w:rFonts w:ascii="Times New Roman" w:eastAsia="Times New Roman" w:hAnsi="Times New Roman" w:cs="Times New Roman"/>
                <w:color w:val="000000"/>
                <w:kern w:val="0"/>
                <w:sz w:val="22"/>
                <w:szCs w:val="22"/>
                <w:lang w:eastAsia="ru-RU"/>
                <w14:ligatures w14:val="none"/>
              </w:rPr>
              <w:t>млрд.</w:t>
            </w:r>
            <w:r w:rsidRPr="00654D8C">
              <w:rPr>
                <w:rFonts w:ascii="Times New Roman" w:eastAsia="Times New Roman" w:hAnsi="Times New Roman" w:cs="Times New Roman"/>
                <w:color w:val="000000"/>
                <w:kern w:val="0"/>
                <w:sz w:val="22"/>
                <w:szCs w:val="22"/>
                <w:lang w:eastAsia="ru-RU"/>
                <w14:ligatures w14:val="none"/>
              </w:rPr>
              <w:t xml:space="preserve"> долл. США</w:t>
            </w:r>
          </w:p>
        </w:tc>
        <w:tc>
          <w:tcPr>
            <w:tcW w:w="1000" w:type="dxa"/>
            <w:noWrap/>
            <w:vAlign w:val="center"/>
            <w:hideMark/>
          </w:tcPr>
          <w:p w14:paraId="1C5320D0"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467</w:t>
            </w:r>
          </w:p>
        </w:tc>
        <w:tc>
          <w:tcPr>
            <w:tcW w:w="1119" w:type="dxa"/>
            <w:noWrap/>
            <w:vAlign w:val="center"/>
            <w:hideMark/>
          </w:tcPr>
          <w:p w14:paraId="3C1E7CB7"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315</w:t>
            </w:r>
          </w:p>
        </w:tc>
        <w:tc>
          <w:tcPr>
            <w:tcW w:w="1857" w:type="dxa"/>
            <w:noWrap/>
            <w:vAlign w:val="center"/>
            <w:hideMark/>
          </w:tcPr>
          <w:p w14:paraId="78A35850"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782</w:t>
            </w:r>
          </w:p>
        </w:tc>
        <w:tc>
          <w:tcPr>
            <w:tcW w:w="1701" w:type="dxa"/>
            <w:noWrap/>
            <w:vAlign w:val="center"/>
            <w:hideMark/>
          </w:tcPr>
          <w:p w14:paraId="2D7FDB1E"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152</w:t>
            </w:r>
          </w:p>
        </w:tc>
      </w:tr>
      <w:tr w:rsidR="00101231" w:rsidRPr="00654D8C" w14:paraId="785B068F" w14:textId="77777777" w:rsidTr="00751BAD">
        <w:trPr>
          <w:trHeight w:val="277"/>
        </w:trPr>
        <w:tc>
          <w:tcPr>
            <w:tcW w:w="3964" w:type="dxa"/>
            <w:vAlign w:val="center"/>
            <w:hideMark/>
          </w:tcPr>
          <w:p w14:paraId="0322B72B"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2022 г., млрд долл. США</w:t>
            </w:r>
          </w:p>
        </w:tc>
        <w:tc>
          <w:tcPr>
            <w:tcW w:w="1000" w:type="dxa"/>
            <w:noWrap/>
            <w:vAlign w:val="center"/>
            <w:hideMark/>
          </w:tcPr>
          <w:p w14:paraId="65D9A2F1"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430</w:t>
            </w:r>
          </w:p>
        </w:tc>
        <w:tc>
          <w:tcPr>
            <w:tcW w:w="1119" w:type="dxa"/>
            <w:noWrap/>
            <w:vAlign w:val="center"/>
            <w:hideMark/>
          </w:tcPr>
          <w:p w14:paraId="694CEBD7"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263</w:t>
            </w:r>
          </w:p>
        </w:tc>
        <w:tc>
          <w:tcPr>
            <w:tcW w:w="1857" w:type="dxa"/>
            <w:noWrap/>
            <w:vAlign w:val="center"/>
            <w:hideMark/>
          </w:tcPr>
          <w:p w14:paraId="4700845A"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693</w:t>
            </w:r>
          </w:p>
        </w:tc>
        <w:tc>
          <w:tcPr>
            <w:tcW w:w="1701" w:type="dxa"/>
            <w:noWrap/>
            <w:vAlign w:val="center"/>
            <w:hideMark/>
          </w:tcPr>
          <w:p w14:paraId="79E24416"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167</w:t>
            </w:r>
          </w:p>
        </w:tc>
      </w:tr>
      <w:tr w:rsidR="00101231" w:rsidRPr="00654D8C" w14:paraId="335D51A1" w14:textId="77777777" w:rsidTr="00751BAD">
        <w:trPr>
          <w:trHeight w:val="267"/>
        </w:trPr>
        <w:tc>
          <w:tcPr>
            <w:tcW w:w="3964" w:type="dxa"/>
            <w:vAlign w:val="center"/>
            <w:hideMark/>
          </w:tcPr>
          <w:p w14:paraId="5717A4D8"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2023 г., млрд долл. США</w:t>
            </w:r>
          </w:p>
        </w:tc>
        <w:tc>
          <w:tcPr>
            <w:tcW w:w="1000" w:type="dxa"/>
            <w:noWrap/>
            <w:vAlign w:val="center"/>
            <w:hideMark/>
          </w:tcPr>
          <w:p w14:paraId="411BC6EA"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269</w:t>
            </w:r>
          </w:p>
        </w:tc>
        <w:tc>
          <w:tcPr>
            <w:tcW w:w="1119" w:type="dxa"/>
            <w:noWrap/>
            <w:vAlign w:val="center"/>
            <w:hideMark/>
          </w:tcPr>
          <w:p w14:paraId="61AACDAE"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245</w:t>
            </w:r>
          </w:p>
        </w:tc>
        <w:tc>
          <w:tcPr>
            <w:tcW w:w="1857" w:type="dxa"/>
            <w:noWrap/>
            <w:vAlign w:val="center"/>
            <w:hideMark/>
          </w:tcPr>
          <w:p w14:paraId="70A181C5"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514</w:t>
            </w:r>
          </w:p>
        </w:tc>
        <w:tc>
          <w:tcPr>
            <w:tcW w:w="1701" w:type="dxa"/>
            <w:noWrap/>
            <w:vAlign w:val="center"/>
            <w:hideMark/>
          </w:tcPr>
          <w:p w14:paraId="7EFC628A"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24</w:t>
            </w:r>
          </w:p>
        </w:tc>
      </w:tr>
      <w:tr w:rsidR="00101231" w:rsidRPr="00654D8C" w14:paraId="7DD64EB3" w14:textId="77777777" w:rsidTr="00751BAD">
        <w:trPr>
          <w:trHeight w:val="272"/>
        </w:trPr>
        <w:tc>
          <w:tcPr>
            <w:tcW w:w="3964" w:type="dxa"/>
            <w:vAlign w:val="center"/>
            <w:hideMark/>
          </w:tcPr>
          <w:p w14:paraId="1E114CF4"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2024 г., млрд долл. США</w:t>
            </w:r>
          </w:p>
        </w:tc>
        <w:tc>
          <w:tcPr>
            <w:tcW w:w="1000" w:type="dxa"/>
            <w:noWrap/>
            <w:vAlign w:val="center"/>
            <w:hideMark/>
          </w:tcPr>
          <w:p w14:paraId="18C200B6"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BD2554">
              <w:rPr>
                <w:rFonts w:ascii="Times New Roman" w:eastAsia="Times New Roman" w:hAnsi="Times New Roman" w:cs="Times New Roman"/>
                <w:color w:val="000000"/>
                <w:kern w:val="0"/>
                <w:sz w:val="22"/>
                <w:szCs w:val="22"/>
                <w:lang w:eastAsia="ru-RU"/>
                <w14:ligatures w14:val="none"/>
              </w:rPr>
              <w:t>278</w:t>
            </w:r>
          </w:p>
        </w:tc>
        <w:tc>
          <w:tcPr>
            <w:tcW w:w="1119" w:type="dxa"/>
            <w:noWrap/>
            <w:vAlign w:val="center"/>
            <w:hideMark/>
          </w:tcPr>
          <w:p w14:paraId="65A21850"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247</w:t>
            </w:r>
          </w:p>
        </w:tc>
        <w:tc>
          <w:tcPr>
            <w:tcW w:w="1857" w:type="dxa"/>
            <w:noWrap/>
            <w:vAlign w:val="center"/>
            <w:hideMark/>
          </w:tcPr>
          <w:p w14:paraId="168B98DF"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525</w:t>
            </w:r>
          </w:p>
        </w:tc>
        <w:tc>
          <w:tcPr>
            <w:tcW w:w="1701" w:type="dxa"/>
            <w:noWrap/>
            <w:vAlign w:val="center"/>
            <w:hideMark/>
          </w:tcPr>
          <w:p w14:paraId="04745465"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38</w:t>
            </w:r>
          </w:p>
        </w:tc>
      </w:tr>
      <w:tr w:rsidR="00101231" w:rsidRPr="00654D8C" w14:paraId="3295C655" w14:textId="77777777" w:rsidTr="00751BAD">
        <w:trPr>
          <w:trHeight w:val="276"/>
        </w:trPr>
        <w:tc>
          <w:tcPr>
            <w:tcW w:w="3964" w:type="dxa"/>
            <w:vAlign w:val="center"/>
            <w:hideMark/>
          </w:tcPr>
          <w:p w14:paraId="21962915"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2025 г., млрд долл. США</w:t>
            </w:r>
          </w:p>
        </w:tc>
        <w:tc>
          <w:tcPr>
            <w:tcW w:w="1000" w:type="dxa"/>
            <w:noWrap/>
            <w:vAlign w:val="center"/>
            <w:hideMark/>
          </w:tcPr>
          <w:p w14:paraId="18B2CE71"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418</w:t>
            </w:r>
          </w:p>
        </w:tc>
        <w:tc>
          <w:tcPr>
            <w:tcW w:w="1119" w:type="dxa"/>
            <w:noWrap/>
            <w:vAlign w:val="center"/>
            <w:hideMark/>
          </w:tcPr>
          <w:p w14:paraId="1EA6874A"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279</w:t>
            </w:r>
          </w:p>
        </w:tc>
        <w:tc>
          <w:tcPr>
            <w:tcW w:w="1857" w:type="dxa"/>
            <w:noWrap/>
            <w:vAlign w:val="center"/>
            <w:hideMark/>
          </w:tcPr>
          <w:p w14:paraId="75A0EB3C"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697</w:t>
            </w:r>
          </w:p>
        </w:tc>
        <w:tc>
          <w:tcPr>
            <w:tcW w:w="1701" w:type="dxa"/>
            <w:noWrap/>
            <w:vAlign w:val="center"/>
            <w:hideMark/>
          </w:tcPr>
          <w:p w14:paraId="396D5655"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139</w:t>
            </w:r>
          </w:p>
        </w:tc>
      </w:tr>
      <w:tr w:rsidR="00101231" w:rsidRPr="00654D8C" w14:paraId="2D5230B6" w14:textId="77777777" w:rsidTr="00751BAD">
        <w:trPr>
          <w:trHeight w:val="372"/>
        </w:trPr>
        <w:tc>
          <w:tcPr>
            <w:tcW w:w="3964" w:type="dxa"/>
            <w:vAlign w:val="center"/>
            <w:hideMark/>
          </w:tcPr>
          <w:p w14:paraId="36E68159"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 xml:space="preserve">Темп </w:t>
            </w:r>
            <w:r w:rsidRPr="00AA7848">
              <w:rPr>
                <w:rFonts w:ascii="Times New Roman" w:eastAsia="Times New Roman" w:hAnsi="Times New Roman" w:cs="Times New Roman"/>
                <w:color w:val="000000"/>
                <w:kern w:val="0"/>
                <w:sz w:val="22"/>
                <w:szCs w:val="22"/>
                <w:lang w:eastAsia="ru-RU"/>
                <w14:ligatures w14:val="none"/>
              </w:rPr>
              <w:t>прироста</w:t>
            </w:r>
            <w:r w:rsidRPr="00654D8C">
              <w:rPr>
                <w:rFonts w:ascii="Times New Roman" w:eastAsia="Times New Roman" w:hAnsi="Times New Roman" w:cs="Times New Roman"/>
                <w:color w:val="000000"/>
                <w:kern w:val="0"/>
                <w:sz w:val="22"/>
                <w:szCs w:val="22"/>
                <w:lang w:eastAsia="ru-RU"/>
                <w14:ligatures w14:val="none"/>
              </w:rPr>
              <w:t>,% , 2022/2021гг.</w:t>
            </w:r>
          </w:p>
        </w:tc>
        <w:tc>
          <w:tcPr>
            <w:tcW w:w="1000" w:type="dxa"/>
            <w:noWrap/>
            <w:vAlign w:val="center"/>
            <w:hideMark/>
          </w:tcPr>
          <w:p w14:paraId="43FCFE56"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-8%</w:t>
            </w:r>
          </w:p>
        </w:tc>
        <w:tc>
          <w:tcPr>
            <w:tcW w:w="1119" w:type="dxa"/>
            <w:noWrap/>
            <w:vAlign w:val="center"/>
            <w:hideMark/>
          </w:tcPr>
          <w:p w14:paraId="5BB5FC43"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-17%</w:t>
            </w:r>
          </w:p>
        </w:tc>
        <w:tc>
          <w:tcPr>
            <w:tcW w:w="1857" w:type="dxa"/>
            <w:noWrap/>
            <w:vAlign w:val="center"/>
            <w:hideMark/>
          </w:tcPr>
          <w:p w14:paraId="6F9B7A11"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-11%</w:t>
            </w:r>
          </w:p>
        </w:tc>
        <w:tc>
          <w:tcPr>
            <w:tcW w:w="1701" w:type="dxa"/>
            <w:noWrap/>
            <w:vAlign w:val="center"/>
            <w:hideMark/>
          </w:tcPr>
          <w:p w14:paraId="3AA6D550"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p>
        </w:tc>
      </w:tr>
      <w:tr w:rsidR="00101231" w:rsidRPr="00654D8C" w14:paraId="5D811EFA" w14:textId="77777777" w:rsidTr="00751BAD">
        <w:trPr>
          <w:trHeight w:val="216"/>
        </w:trPr>
        <w:tc>
          <w:tcPr>
            <w:tcW w:w="3964" w:type="dxa"/>
            <w:vAlign w:val="center"/>
            <w:hideMark/>
          </w:tcPr>
          <w:p w14:paraId="45237701"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 xml:space="preserve">Темп </w:t>
            </w:r>
            <w:r w:rsidRPr="00AA7848">
              <w:rPr>
                <w:rFonts w:ascii="Times New Roman" w:eastAsia="Times New Roman" w:hAnsi="Times New Roman" w:cs="Times New Roman"/>
                <w:color w:val="000000"/>
                <w:kern w:val="0"/>
                <w:sz w:val="22"/>
                <w:szCs w:val="22"/>
                <w:lang w:eastAsia="ru-RU"/>
                <w14:ligatures w14:val="none"/>
              </w:rPr>
              <w:t>прироста</w:t>
            </w:r>
            <w:r w:rsidRPr="00654D8C">
              <w:rPr>
                <w:rFonts w:ascii="Times New Roman" w:eastAsia="Times New Roman" w:hAnsi="Times New Roman" w:cs="Times New Roman"/>
                <w:color w:val="000000"/>
                <w:kern w:val="0"/>
                <w:sz w:val="22"/>
                <w:szCs w:val="22"/>
                <w:lang w:eastAsia="ru-RU"/>
                <w14:ligatures w14:val="none"/>
              </w:rPr>
              <w:t>, %, 2023/2022гг.</w:t>
            </w:r>
          </w:p>
        </w:tc>
        <w:tc>
          <w:tcPr>
            <w:tcW w:w="1000" w:type="dxa"/>
            <w:noWrap/>
            <w:vAlign w:val="center"/>
            <w:hideMark/>
          </w:tcPr>
          <w:p w14:paraId="7C9946BD"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-37%</w:t>
            </w:r>
          </w:p>
        </w:tc>
        <w:tc>
          <w:tcPr>
            <w:tcW w:w="1119" w:type="dxa"/>
            <w:noWrap/>
            <w:vAlign w:val="center"/>
            <w:hideMark/>
          </w:tcPr>
          <w:p w14:paraId="1F3BB7A6"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-7%</w:t>
            </w:r>
          </w:p>
        </w:tc>
        <w:tc>
          <w:tcPr>
            <w:tcW w:w="1857" w:type="dxa"/>
            <w:noWrap/>
            <w:vAlign w:val="center"/>
            <w:hideMark/>
          </w:tcPr>
          <w:p w14:paraId="51011FDD"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-26%</w:t>
            </w:r>
          </w:p>
        </w:tc>
        <w:tc>
          <w:tcPr>
            <w:tcW w:w="1701" w:type="dxa"/>
            <w:noWrap/>
            <w:vAlign w:val="center"/>
            <w:hideMark/>
          </w:tcPr>
          <w:p w14:paraId="333042D8"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p>
        </w:tc>
      </w:tr>
      <w:tr w:rsidR="00101231" w:rsidRPr="00654D8C" w14:paraId="527559FB" w14:textId="77777777" w:rsidTr="00751BAD">
        <w:trPr>
          <w:trHeight w:val="288"/>
        </w:trPr>
        <w:tc>
          <w:tcPr>
            <w:tcW w:w="3964" w:type="dxa"/>
            <w:vAlign w:val="center"/>
            <w:hideMark/>
          </w:tcPr>
          <w:p w14:paraId="3D8E33BD"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 xml:space="preserve">Темп </w:t>
            </w:r>
            <w:r w:rsidRPr="00AA7848">
              <w:rPr>
                <w:rFonts w:ascii="Times New Roman" w:eastAsia="Times New Roman" w:hAnsi="Times New Roman" w:cs="Times New Roman"/>
                <w:color w:val="000000"/>
                <w:kern w:val="0"/>
                <w:sz w:val="22"/>
                <w:szCs w:val="22"/>
                <w:lang w:eastAsia="ru-RU"/>
                <w14:ligatures w14:val="none"/>
              </w:rPr>
              <w:t>прироста</w:t>
            </w:r>
            <w:r w:rsidRPr="00654D8C">
              <w:rPr>
                <w:rFonts w:ascii="Times New Roman" w:eastAsia="Times New Roman" w:hAnsi="Times New Roman" w:cs="Times New Roman"/>
                <w:color w:val="000000"/>
                <w:kern w:val="0"/>
                <w:sz w:val="22"/>
                <w:szCs w:val="22"/>
                <w:lang w:eastAsia="ru-RU"/>
                <w14:ligatures w14:val="none"/>
              </w:rPr>
              <w:t>, %, 2024/2023гг.</w:t>
            </w:r>
          </w:p>
        </w:tc>
        <w:tc>
          <w:tcPr>
            <w:tcW w:w="1000" w:type="dxa"/>
            <w:noWrap/>
            <w:vAlign w:val="center"/>
            <w:hideMark/>
          </w:tcPr>
          <w:p w14:paraId="1363A81D"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3%</w:t>
            </w:r>
          </w:p>
        </w:tc>
        <w:tc>
          <w:tcPr>
            <w:tcW w:w="1119" w:type="dxa"/>
            <w:noWrap/>
            <w:vAlign w:val="center"/>
            <w:hideMark/>
          </w:tcPr>
          <w:p w14:paraId="71351AD4"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1%</w:t>
            </w:r>
          </w:p>
        </w:tc>
        <w:tc>
          <w:tcPr>
            <w:tcW w:w="1857" w:type="dxa"/>
            <w:noWrap/>
            <w:vAlign w:val="center"/>
            <w:hideMark/>
          </w:tcPr>
          <w:p w14:paraId="1D531CFF"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2%</w:t>
            </w:r>
          </w:p>
        </w:tc>
        <w:tc>
          <w:tcPr>
            <w:tcW w:w="1701" w:type="dxa"/>
            <w:noWrap/>
            <w:vAlign w:val="center"/>
            <w:hideMark/>
          </w:tcPr>
          <w:p w14:paraId="188C1E5B"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p>
        </w:tc>
      </w:tr>
      <w:tr w:rsidR="00101231" w:rsidRPr="00654D8C" w14:paraId="131B9E8D" w14:textId="77777777" w:rsidTr="00751BAD">
        <w:trPr>
          <w:trHeight w:val="317"/>
        </w:trPr>
        <w:tc>
          <w:tcPr>
            <w:tcW w:w="3964" w:type="dxa"/>
            <w:vAlign w:val="center"/>
            <w:hideMark/>
          </w:tcPr>
          <w:p w14:paraId="7B09D29D"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 xml:space="preserve">Темп </w:t>
            </w:r>
            <w:r w:rsidRPr="00AA7848">
              <w:rPr>
                <w:rFonts w:ascii="Times New Roman" w:eastAsia="Times New Roman" w:hAnsi="Times New Roman" w:cs="Times New Roman"/>
                <w:color w:val="000000"/>
                <w:kern w:val="0"/>
                <w:sz w:val="22"/>
                <w:szCs w:val="22"/>
                <w:lang w:eastAsia="ru-RU"/>
                <w14:ligatures w14:val="none"/>
              </w:rPr>
              <w:t>прироста</w:t>
            </w:r>
            <w:r w:rsidRPr="00654D8C">
              <w:rPr>
                <w:rFonts w:ascii="Times New Roman" w:eastAsia="Times New Roman" w:hAnsi="Times New Roman" w:cs="Times New Roman"/>
                <w:color w:val="000000"/>
                <w:kern w:val="0"/>
                <w:sz w:val="22"/>
                <w:szCs w:val="22"/>
                <w:lang w:eastAsia="ru-RU"/>
                <w14:ligatures w14:val="none"/>
              </w:rPr>
              <w:t>, %, 2025/2024гг.</w:t>
            </w:r>
          </w:p>
        </w:tc>
        <w:tc>
          <w:tcPr>
            <w:tcW w:w="1000" w:type="dxa"/>
            <w:noWrap/>
            <w:vAlign w:val="center"/>
            <w:hideMark/>
          </w:tcPr>
          <w:p w14:paraId="42E1C879"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50%</w:t>
            </w:r>
          </w:p>
        </w:tc>
        <w:tc>
          <w:tcPr>
            <w:tcW w:w="1119" w:type="dxa"/>
            <w:noWrap/>
            <w:vAlign w:val="center"/>
            <w:hideMark/>
          </w:tcPr>
          <w:p w14:paraId="6AD4921C"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13%</w:t>
            </w:r>
          </w:p>
        </w:tc>
        <w:tc>
          <w:tcPr>
            <w:tcW w:w="1857" w:type="dxa"/>
            <w:noWrap/>
            <w:vAlign w:val="center"/>
            <w:hideMark/>
          </w:tcPr>
          <w:p w14:paraId="77F6394D"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33%</w:t>
            </w:r>
          </w:p>
        </w:tc>
        <w:tc>
          <w:tcPr>
            <w:tcW w:w="1701" w:type="dxa"/>
            <w:noWrap/>
            <w:vAlign w:val="center"/>
            <w:hideMark/>
          </w:tcPr>
          <w:p w14:paraId="3C012600"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p>
        </w:tc>
      </w:tr>
      <w:tr w:rsidR="00101231" w:rsidRPr="00654D8C" w14:paraId="6A8B0916" w14:textId="77777777" w:rsidTr="00751BAD">
        <w:trPr>
          <w:trHeight w:val="576"/>
        </w:trPr>
        <w:tc>
          <w:tcPr>
            <w:tcW w:w="3964" w:type="dxa"/>
            <w:vAlign w:val="center"/>
            <w:hideMark/>
          </w:tcPr>
          <w:p w14:paraId="259E44D1"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Абсолютное изменение 2022г, млрд долл. США</w:t>
            </w:r>
          </w:p>
        </w:tc>
        <w:tc>
          <w:tcPr>
            <w:tcW w:w="1000" w:type="dxa"/>
            <w:noWrap/>
            <w:vAlign w:val="center"/>
            <w:hideMark/>
          </w:tcPr>
          <w:p w14:paraId="43C2C53E"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119" w:type="dxa"/>
            <w:noWrap/>
            <w:vAlign w:val="center"/>
            <w:hideMark/>
          </w:tcPr>
          <w:p w14:paraId="2215A1A9" w14:textId="77777777" w:rsidR="00101231" w:rsidRPr="00654D8C" w:rsidRDefault="00101231" w:rsidP="00751BAD">
            <w:pPr>
              <w:spacing w:after="0" w:line="240" w:lineRule="auto"/>
              <w:jc w:val="center"/>
              <w:rPr>
                <w:rFonts w:ascii="Times New Roman" w:eastAsia="Times New Roman" w:hAnsi="Times New Roman" w:cs="Times New Roman"/>
                <w:kern w:val="0"/>
                <w:sz w:val="22"/>
                <w:szCs w:val="22"/>
                <w:lang w:eastAsia="ru-RU"/>
                <w14:ligatures w14:val="none"/>
              </w:rPr>
            </w:pPr>
          </w:p>
        </w:tc>
        <w:tc>
          <w:tcPr>
            <w:tcW w:w="1857" w:type="dxa"/>
            <w:noWrap/>
            <w:vAlign w:val="center"/>
            <w:hideMark/>
          </w:tcPr>
          <w:p w14:paraId="32E78479" w14:textId="77777777" w:rsidR="00101231" w:rsidRPr="00654D8C" w:rsidRDefault="00101231" w:rsidP="00751BAD">
            <w:pPr>
              <w:spacing w:after="0" w:line="240" w:lineRule="auto"/>
              <w:jc w:val="center"/>
              <w:rPr>
                <w:rFonts w:ascii="Times New Roman" w:eastAsia="Times New Roman" w:hAnsi="Times New Roman" w:cs="Times New Roman"/>
                <w:kern w:val="0"/>
                <w:sz w:val="22"/>
                <w:szCs w:val="22"/>
                <w:lang w:eastAsia="ru-RU"/>
                <w14:ligatures w14:val="none"/>
              </w:rPr>
            </w:pPr>
          </w:p>
        </w:tc>
        <w:tc>
          <w:tcPr>
            <w:tcW w:w="1701" w:type="dxa"/>
            <w:noWrap/>
            <w:vAlign w:val="center"/>
            <w:hideMark/>
          </w:tcPr>
          <w:p w14:paraId="76D1D2A5"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15</w:t>
            </w:r>
          </w:p>
        </w:tc>
      </w:tr>
      <w:tr w:rsidR="00101231" w:rsidRPr="00654D8C" w14:paraId="2DC30CB4" w14:textId="77777777" w:rsidTr="00751BAD">
        <w:trPr>
          <w:trHeight w:val="529"/>
        </w:trPr>
        <w:tc>
          <w:tcPr>
            <w:tcW w:w="3964" w:type="dxa"/>
            <w:vAlign w:val="center"/>
            <w:hideMark/>
          </w:tcPr>
          <w:p w14:paraId="72E888A6"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Абсолютное изменение 2023г, млрд долл. США</w:t>
            </w:r>
          </w:p>
        </w:tc>
        <w:tc>
          <w:tcPr>
            <w:tcW w:w="1000" w:type="dxa"/>
            <w:noWrap/>
            <w:vAlign w:val="center"/>
            <w:hideMark/>
          </w:tcPr>
          <w:p w14:paraId="5DCF4B94"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119" w:type="dxa"/>
            <w:noWrap/>
            <w:vAlign w:val="center"/>
            <w:hideMark/>
          </w:tcPr>
          <w:p w14:paraId="74934F98" w14:textId="77777777" w:rsidR="00101231" w:rsidRPr="00654D8C" w:rsidRDefault="00101231" w:rsidP="00751BAD">
            <w:pPr>
              <w:spacing w:after="0" w:line="240" w:lineRule="auto"/>
              <w:jc w:val="center"/>
              <w:rPr>
                <w:rFonts w:ascii="Times New Roman" w:eastAsia="Times New Roman" w:hAnsi="Times New Roman" w:cs="Times New Roman"/>
                <w:kern w:val="0"/>
                <w:sz w:val="22"/>
                <w:szCs w:val="22"/>
                <w:lang w:eastAsia="ru-RU"/>
                <w14:ligatures w14:val="none"/>
              </w:rPr>
            </w:pPr>
          </w:p>
        </w:tc>
        <w:tc>
          <w:tcPr>
            <w:tcW w:w="1857" w:type="dxa"/>
            <w:noWrap/>
            <w:vAlign w:val="center"/>
            <w:hideMark/>
          </w:tcPr>
          <w:p w14:paraId="52616A76" w14:textId="77777777" w:rsidR="00101231" w:rsidRPr="00654D8C" w:rsidRDefault="00101231" w:rsidP="00751BAD">
            <w:pPr>
              <w:spacing w:after="0" w:line="240" w:lineRule="auto"/>
              <w:jc w:val="center"/>
              <w:rPr>
                <w:rFonts w:ascii="Times New Roman" w:eastAsia="Times New Roman" w:hAnsi="Times New Roman" w:cs="Times New Roman"/>
                <w:kern w:val="0"/>
                <w:sz w:val="22"/>
                <w:szCs w:val="22"/>
                <w:lang w:eastAsia="ru-RU"/>
                <w14:ligatures w14:val="none"/>
              </w:rPr>
            </w:pPr>
          </w:p>
        </w:tc>
        <w:tc>
          <w:tcPr>
            <w:tcW w:w="1701" w:type="dxa"/>
            <w:noWrap/>
            <w:vAlign w:val="center"/>
            <w:hideMark/>
          </w:tcPr>
          <w:p w14:paraId="7E3E0E99"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-143</w:t>
            </w:r>
          </w:p>
        </w:tc>
      </w:tr>
      <w:tr w:rsidR="00101231" w:rsidRPr="00654D8C" w14:paraId="01D08F12" w14:textId="77777777" w:rsidTr="00751BAD">
        <w:trPr>
          <w:trHeight w:val="353"/>
        </w:trPr>
        <w:tc>
          <w:tcPr>
            <w:tcW w:w="3964" w:type="dxa"/>
            <w:vAlign w:val="center"/>
            <w:hideMark/>
          </w:tcPr>
          <w:p w14:paraId="2ECB1874"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Абсолютное изменение 2024г, млрд долл. США</w:t>
            </w:r>
          </w:p>
        </w:tc>
        <w:tc>
          <w:tcPr>
            <w:tcW w:w="1000" w:type="dxa"/>
            <w:noWrap/>
            <w:vAlign w:val="center"/>
            <w:hideMark/>
          </w:tcPr>
          <w:p w14:paraId="4075E36C"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119" w:type="dxa"/>
            <w:noWrap/>
            <w:vAlign w:val="center"/>
            <w:hideMark/>
          </w:tcPr>
          <w:p w14:paraId="05A27271" w14:textId="77777777" w:rsidR="00101231" w:rsidRPr="00654D8C" w:rsidRDefault="00101231" w:rsidP="00751BAD">
            <w:pPr>
              <w:spacing w:after="0" w:line="240" w:lineRule="auto"/>
              <w:jc w:val="center"/>
              <w:rPr>
                <w:rFonts w:ascii="Times New Roman" w:eastAsia="Times New Roman" w:hAnsi="Times New Roman" w:cs="Times New Roman"/>
                <w:kern w:val="0"/>
                <w:sz w:val="22"/>
                <w:szCs w:val="22"/>
                <w:lang w:eastAsia="ru-RU"/>
                <w14:ligatures w14:val="none"/>
              </w:rPr>
            </w:pPr>
          </w:p>
        </w:tc>
        <w:tc>
          <w:tcPr>
            <w:tcW w:w="1857" w:type="dxa"/>
            <w:noWrap/>
            <w:vAlign w:val="center"/>
            <w:hideMark/>
          </w:tcPr>
          <w:p w14:paraId="440D021D" w14:textId="77777777" w:rsidR="00101231" w:rsidRPr="00654D8C" w:rsidRDefault="00101231" w:rsidP="00751BAD">
            <w:pPr>
              <w:spacing w:after="0" w:line="240" w:lineRule="auto"/>
              <w:jc w:val="center"/>
              <w:rPr>
                <w:rFonts w:ascii="Times New Roman" w:eastAsia="Times New Roman" w:hAnsi="Times New Roman" w:cs="Times New Roman"/>
                <w:kern w:val="0"/>
                <w:sz w:val="22"/>
                <w:szCs w:val="22"/>
                <w:lang w:eastAsia="ru-RU"/>
                <w14:ligatures w14:val="none"/>
              </w:rPr>
            </w:pPr>
          </w:p>
        </w:tc>
        <w:tc>
          <w:tcPr>
            <w:tcW w:w="1701" w:type="dxa"/>
            <w:noWrap/>
            <w:vAlign w:val="center"/>
            <w:hideMark/>
          </w:tcPr>
          <w:p w14:paraId="4216DAB1"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14</w:t>
            </w:r>
          </w:p>
        </w:tc>
      </w:tr>
      <w:tr w:rsidR="00101231" w:rsidRPr="00654D8C" w14:paraId="2AD6D58D" w14:textId="77777777" w:rsidTr="00751BAD">
        <w:trPr>
          <w:trHeight w:val="624"/>
        </w:trPr>
        <w:tc>
          <w:tcPr>
            <w:tcW w:w="3964" w:type="dxa"/>
            <w:vAlign w:val="center"/>
            <w:hideMark/>
          </w:tcPr>
          <w:p w14:paraId="390D660E"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Абсолютное изменение 2025г, млрд долл. США</w:t>
            </w:r>
          </w:p>
        </w:tc>
        <w:tc>
          <w:tcPr>
            <w:tcW w:w="1000" w:type="dxa"/>
            <w:noWrap/>
            <w:vAlign w:val="center"/>
            <w:hideMark/>
          </w:tcPr>
          <w:p w14:paraId="5210E9A0"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119" w:type="dxa"/>
            <w:noWrap/>
            <w:vAlign w:val="center"/>
            <w:hideMark/>
          </w:tcPr>
          <w:p w14:paraId="6DDF74FE" w14:textId="77777777" w:rsidR="00101231" w:rsidRPr="00654D8C" w:rsidRDefault="00101231" w:rsidP="00751BAD">
            <w:pPr>
              <w:spacing w:after="0" w:line="240" w:lineRule="auto"/>
              <w:jc w:val="center"/>
              <w:rPr>
                <w:rFonts w:ascii="Times New Roman" w:eastAsia="Times New Roman" w:hAnsi="Times New Roman" w:cs="Times New Roman"/>
                <w:kern w:val="0"/>
                <w:sz w:val="22"/>
                <w:szCs w:val="22"/>
                <w:lang w:eastAsia="ru-RU"/>
                <w14:ligatures w14:val="none"/>
              </w:rPr>
            </w:pPr>
          </w:p>
        </w:tc>
        <w:tc>
          <w:tcPr>
            <w:tcW w:w="1857" w:type="dxa"/>
            <w:noWrap/>
            <w:vAlign w:val="center"/>
            <w:hideMark/>
          </w:tcPr>
          <w:p w14:paraId="30981442" w14:textId="77777777" w:rsidR="00101231" w:rsidRPr="00654D8C" w:rsidRDefault="00101231" w:rsidP="00751BAD">
            <w:pPr>
              <w:spacing w:after="0" w:line="240" w:lineRule="auto"/>
              <w:jc w:val="center"/>
              <w:rPr>
                <w:rFonts w:ascii="Times New Roman" w:eastAsia="Times New Roman" w:hAnsi="Times New Roman" w:cs="Times New Roman"/>
                <w:kern w:val="0"/>
                <w:sz w:val="22"/>
                <w:szCs w:val="22"/>
                <w:lang w:eastAsia="ru-RU"/>
                <w14:ligatures w14:val="none"/>
              </w:rPr>
            </w:pPr>
          </w:p>
        </w:tc>
        <w:tc>
          <w:tcPr>
            <w:tcW w:w="1701" w:type="dxa"/>
            <w:noWrap/>
            <w:vAlign w:val="center"/>
            <w:hideMark/>
          </w:tcPr>
          <w:p w14:paraId="554DF5AD"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101</w:t>
            </w:r>
          </w:p>
        </w:tc>
      </w:tr>
      <w:tr w:rsidR="00101231" w:rsidRPr="00654D8C" w14:paraId="4D7A6502" w14:textId="77777777" w:rsidTr="00751BAD">
        <w:trPr>
          <w:trHeight w:val="274"/>
        </w:trPr>
        <w:tc>
          <w:tcPr>
            <w:tcW w:w="3964" w:type="dxa"/>
            <w:vAlign w:val="center"/>
            <w:hideMark/>
          </w:tcPr>
          <w:p w14:paraId="0ECB44B0"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Темп изменения за 2021-2024гг.,%</w:t>
            </w:r>
          </w:p>
        </w:tc>
        <w:tc>
          <w:tcPr>
            <w:tcW w:w="1000" w:type="dxa"/>
            <w:noWrap/>
            <w:vAlign w:val="center"/>
            <w:hideMark/>
          </w:tcPr>
          <w:p w14:paraId="2716CBD6"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-40%</w:t>
            </w:r>
          </w:p>
        </w:tc>
        <w:tc>
          <w:tcPr>
            <w:tcW w:w="1119" w:type="dxa"/>
            <w:noWrap/>
            <w:vAlign w:val="center"/>
            <w:hideMark/>
          </w:tcPr>
          <w:p w14:paraId="3096978D"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-22%</w:t>
            </w:r>
          </w:p>
        </w:tc>
        <w:tc>
          <w:tcPr>
            <w:tcW w:w="1857" w:type="dxa"/>
            <w:noWrap/>
            <w:vAlign w:val="center"/>
            <w:hideMark/>
          </w:tcPr>
          <w:p w14:paraId="1C40C8A7"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-33%</w:t>
            </w:r>
          </w:p>
        </w:tc>
        <w:tc>
          <w:tcPr>
            <w:tcW w:w="1701" w:type="dxa"/>
            <w:noWrap/>
            <w:vAlign w:val="center"/>
            <w:hideMark/>
          </w:tcPr>
          <w:p w14:paraId="7C5E6CA1"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p>
        </w:tc>
      </w:tr>
      <w:tr w:rsidR="00101231" w:rsidRPr="00654D8C" w14:paraId="3FB8A6A8" w14:textId="77777777" w:rsidTr="00751BAD">
        <w:trPr>
          <w:trHeight w:val="277"/>
        </w:trPr>
        <w:tc>
          <w:tcPr>
            <w:tcW w:w="3964" w:type="dxa"/>
            <w:vAlign w:val="center"/>
            <w:hideMark/>
          </w:tcPr>
          <w:p w14:paraId="6B81D5C4"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Темп изменения за 2021-2023гг.,%</w:t>
            </w:r>
          </w:p>
        </w:tc>
        <w:tc>
          <w:tcPr>
            <w:tcW w:w="1000" w:type="dxa"/>
            <w:noWrap/>
            <w:vAlign w:val="center"/>
            <w:hideMark/>
          </w:tcPr>
          <w:p w14:paraId="6EF2AA73"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-42%</w:t>
            </w:r>
          </w:p>
        </w:tc>
        <w:tc>
          <w:tcPr>
            <w:tcW w:w="1119" w:type="dxa"/>
            <w:noWrap/>
            <w:vAlign w:val="center"/>
            <w:hideMark/>
          </w:tcPr>
          <w:p w14:paraId="6E81ED7E"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-29%</w:t>
            </w:r>
          </w:p>
        </w:tc>
        <w:tc>
          <w:tcPr>
            <w:tcW w:w="1857" w:type="dxa"/>
            <w:noWrap/>
            <w:vAlign w:val="center"/>
            <w:hideMark/>
          </w:tcPr>
          <w:p w14:paraId="0980F463"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-52%</w:t>
            </w:r>
          </w:p>
        </w:tc>
        <w:tc>
          <w:tcPr>
            <w:tcW w:w="1701" w:type="dxa"/>
            <w:noWrap/>
            <w:vAlign w:val="center"/>
            <w:hideMark/>
          </w:tcPr>
          <w:p w14:paraId="332C25F3"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p>
        </w:tc>
      </w:tr>
      <w:tr w:rsidR="00101231" w:rsidRPr="00654D8C" w14:paraId="2DF63A71" w14:textId="77777777" w:rsidTr="00751BAD">
        <w:trPr>
          <w:trHeight w:val="268"/>
        </w:trPr>
        <w:tc>
          <w:tcPr>
            <w:tcW w:w="3964" w:type="dxa"/>
            <w:vAlign w:val="center"/>
            <w:hideMark/>
          </w:tcPr>
          <w:p w14:paraId="29DE4A88"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Темп изменения за 2021-2025гг.,%</w:t>
            </w:r>
          </w:p>
        </w:tc>
        <w:tc>
          <w:tcPr>
            <w:tcW w:w="1000" w:type="dxa"/>
            <w:noWrap/>
            <w:vAlign w:val="center"/>
            <w:hideMark/>
          </w:tcPr>
          <w:p w14:paraId="4FDE1288"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-10%</w:t>
            </w:r>
          </w:p>
        </w:tc>
        <w:tc>
          <w:tcPr>
            <w:tcW w:w="1119" w:type="dxa"/>
            <w:noWrap/>
            <w:vAlign w:val="center"/>
            <w:hideMark/>
          </w:tcPr>
          <w:p w14:paraId="1579BE0E"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-11%</w:t>
            </w:r>
          </w:p>
        </w:tc>
        <w:tc>
          <w:tcPr>
            <w:tcW w:w="1857" w:type="dxa"/>
            <w:noWrap/>
            <w:vAlign w:val="center"/>
            <w:hideMark/>
          </w:tcPr>
          <w:p w14:paraId="7A7CDFF8"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654D8C">
              <w:rPr>
                <w:rFonts w:ascii="Times New Roman" w:eastAsia="Times New Roman" w:hAnsi="Times New Roman" w:cs="Times New Roman"/>
                <w:color w:val="000000"/>
                <w:kern w:val="0"/>
                <w:sz w:val="22"/>
                <w:szCs w:val="22"/>
                <w:lang w:eastAsia="ru-RU"/>
                <w14:ligatures w14:val="none"/>
              </w:rPr>
              <w:t>-11%</w:t>
            </w:r>
          </w:p>
        </w:tc>
        <w:tc>
          <w:tcPr>
            <w:tcW w:w="1701" w:type="dxa"/>
            <w:noWrap/>
            <w:vAlign w:val="center"/>
            <w:hideMark/>
          </w:tcPr>
          <w:p w14:paraId="23A938D6" w14:textId="77777777" w:rsidR="00101231" w:rsidRPr="00654D8C" w:rsidRDefault="00101231" w:rsidP="00751BAD">
            <w:pPr>
              <w:spacing w:after="0" w:line="240" w:lineRule="auto"/>
              <w:jc w:val="center"/>
              <w:rPr>
                <w:rFonts w:ascii="Times New Roman" w:eastAsia="Times New Roman" w:hAnsi="Times New Roman" w:cs="Times New Roman"/>
                <w:color w:val="000000"/>
                <w:kern w:val="0"/>
                <w:sz w:val="22"/>
                <w:szCs w:val="22"/>
                <w:lang w:eastAsia="ru-RU"/>
                <w14:ligatures w14:val="none"/>
              </w:rPr>
            </w:pPr>
          </w:p>
        </w:tc>
      </w:tr>
    </w:tbl>
    <w:p w14:paraId="44015FA1" w14:textId="77777777" w:rsidR="00101231" w:rsidRDefault="00101231" w:rsidP="00101231">
      <w:pPr>
        <w:keepNext/>
        <w:spacing w:before="240" w:after="60" w:line="360" w:lineRule="auto"/>
        <w:ind w:firstLine="720"/>
        <w:jc w:val="both"/>
        <w:outlineLvl w:val="1"/>
        <w:rPr>
          <w:rFonts w:ascii="Times New Roman" w:eastAsia="Times New Roman" w:hAnsi="Times New Roman" w:cs="Times New Roman"/>
          <w:b/>
          <w:bCs/>
          <w:kern w:val="0"/>
          <w:sz w:val="28"/>
          <w:szCs w:val="28"/>
          <w:lang w:eastAsia="ru-RU"/>
          <w14:ligatures w14:val="none"/>
        </w:rPr>
      </w:pPr>
    </w:p>
    <w:p w14:paraId="3B6C235A" w14:textId="1B3F2B68" w:rsidR="00101231" w:rsidRPr="00923009" w:rsidRDefault="00101231" w:rsidP="00101231">
      <w:pPr>
        <w:keepNext/>
        <w:spacing w:before="240" w:after="60" w:line="360" w:lineRule="auto"/>
        <w:ind w:firstLine="720"/>
        <w:jc w:val="both"/>
        <w:outlineLvl w:val="1"/>
        <w:rPr>
          <w:rFonts w:ascii="Times New Roman" w:eastAsia="Times New Roman" w:hAnsi="Times New Roman" w:cs="Times New Roman"/>
          <w:b/>
          <w:bCs/>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 xml:space="preserve">1.2 </w:t>
      </w:r>
      <w:r w:rsidRPr="009059F4">
        <w:rPr>
          <w:rFonts w:ascii="Times New Roman" w:eastAsia="Times New Roman" w:hAnsi="Times New Roman" w:cs="Times New Roman"/>
          <w:b/>
          <w:bCs/>
          <w:kern w:val="0"/>
          <w:sz w:val="28"/>
          <w:szCs w:val="28"/>
          <w:lang w:eastAsia="ru-RU"/>
          <w14:ligatures w14:val="none"/>
        </w:rPr>
        <w:t>Анализ состояния и тенденций развития рынка СЭД для государственных учреждений</w:t>
      </w:r>
    </w:p>
    <w:p w14:paraId="3E950C56" w14:textId="77777777" w:rsidR="00101231"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sidRPr="009059F4">
        <w:rPr>
          <w:rFonts w:ascii="Times New Roman" w:eastAsia="Arial" w:hAnsi="Times New Roman" w:cs="Times New Roman"/>
          <w:kern w:val="0"/>
          <w:sz w:val="28"/>
          <w:szCs w:val="28"/>
          <w14:ligatures w14:val="none"/>
        </w:rPr>
        <w:t xml:space="preserve">Рынок систем электронного документооборота (СЭД) в мире и России продолжает активно развиваться под воздействием цифровой трансформации, перехода государственных учреждений на цифровизацию процессов и усиления нормативных требований к управлению документацией. Мировой рынок СЭД ожидается, что достигнет 9,7 миллиарда долларов к 2026 году, а к </w:t>
      </w:r>
      <w:r w:rsidRPr="009059F4">
        <w:rPr>
          <w:rFonts w:ascii="Times New Roman" w:eastAsia="Arial" w:hAnsi="Times New Roman" w:cs="Times New Roman"/>
          <w:kern w:val="0"/>
          <w:sz w:val="28"/>
          <w:szCs w:val="28"/>
          <w14:ligatures w14:val="none"/>
        </w:rPr>
        <w:lastRenderedPageBreak/>
        <w:t xml:space="preserve">2033 году его объем вырастет до 27,7 миллиарда, демонстрируя среднегодовой рост на 16,2% в период с 2026 по 2033 годы. </w:t>
      </w:r>
    </w:p>
    <w:p w14:paraId="77071482" w14:textId="77777777" w:rsidR="00101231" w:rsidRPr="009059F4"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sidRPr="009059F4">
        <w:rPr>
          <w:rFonts w:ascii="Times New Roman" w:eastAsia="Arial" w:hAnsi="Times New Roman" w:cs="Times New Roman"/>
          <w:kern w:val="0"/>
          <w:sz w:val="28"/>
          <w:szCs w:val="28"/>
          <w14:ligatures w14:val="none"/>
        </w:rPr>
        <w:t>В 2022 году на российском рынке систем электронного документооборота (СЭД) произошли кардинальные трансформации, обусловленные геополитическими изменениями и уходом зарубежных поставщиков программного обеспечения (ПО). Эти факторы стимулировали развитие отечественного программного обеспечения, что привело к существенному росту доли отечественных разработчиков в данном сегменте. Государственные органы обязаны использовать программное обеспечение, включ</w:t>
      </w:r>
      <w:r>
        <w:rPr>
          <w:rFonts w:ascii="Times New Roman" w:eastAsia="Arial" w:hAnsi="Times New Roman" w:cs="Times New Roman"/>
          <w:kern w:val="0"/>
          <w:sz w:val="28"/>
          <w:szCs w:val="28"/>
          <w14:ligatures w14:val="none"/>
        </w:rPr>
        <w:t>е</w:t>
      </w:r>
      <w:r w:rsidRPr="009059F4">
        <w:rPr>
          <w:rFonts w:ascii="Times New Roman" w:eastAsia="Arial" w:hAnsi="Times New Roman" w:cs="Times New Roman"/>
          <w:kern w:val="0"/>
          <w:sz w:val="28"/>
          <w:szCs w:val="28"/>
          <w14:ligatures w14:val="none"/>
        </w:rPr>
        <w:t>нное в Единый реестр российских программ для электронных вычислительных машин и баз данных, что способствует укреплению национальной технологической базы и поддержке отечественного программного обеспечения.</w:t>
      </w:r>
    </w:p>
    <w:p w14:paraId="65AAB430" w14:textId="77777777" w:rsidR="00101231" w:rsidRPr="009059F4"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sidRPr="009059F4">
        <w:rPr>
          <w:rFonts w:ascii="Times New Roman" w:eastAsia="Arial" w:hAnsi="Times New Roman" w:cs="Times New Roman"/>
          <w:kern w:val="0"/>
          <w:sz w:val="28"/>
          <w:szCs w:val="28"/>
          <w14:ligatures w14:val="none"/>
        </w:rPr>
        <w:t xml:space="preserve">Основными движущими силами развития стали внедрение </w:t>
      </w:r>
      <w:r>
        <w:rPr>
          <w:rFonts w:ascii="Times New Roman" w:eastAsia="Arial" w:hAnsi="Times New Roman" w:cs="Times New Roman"/>
          <w:kern w:val="0"/>
          <w:sz w:val="28"/>
          <w:szCs w:val="28"/>
          <w14:ligatures w14:val="none"/>
        </w:rPr>
        <w:t>новых</w:t>
      </w:r>
      <w:r w:rsidRPr="009059F4">
        <w:rPr>
          <w:rFonts w:ascii="Times New Roman" w:eastAsia="Arial" w:hAnsi="Times New Roman" w:cs="Times New Roman"/>
          <w:kern w:val="0"/>
          <w:sz w:val="28"/>
          <w:szCs w:val="28"/>
          <w14:ligatures w14:val="none"/>
        </w:rPr>
        <w:t xml:space="preserve"> технологий, интеграция искусственного интеллекта (ИИ) и автоматизации</w:t>
      </w:r>
      <w:r w:rsidRPr="00336AF4">
        <w:rPr>
          <w:rFonts w:ascii="Times New Roman" w:eastAsia="Arial" w:hAnsi="Times New Roman" w:cs="Times New Roman"/>
          <w:kern w:val="0"/>
          <w:sz w:val="28"/>
          <w:szCs w:val="28"/>
          <w14:ligatures w14:val="none"/>
        </w:rPr>
        <w:t xml:space="preserve"> [</w:t>
      </w:r>
      <w:r w:rsidRPr="00330EDE">
        <w:rPr>
          <w:rFonts w:ascii="Times New Roman" w:eastAsia="Arial" w:hAnsi="Times New Roman" w:cs="Times New Roman"/>
          <w:kern w:val="0"/>
          <w:sz w:val="28"/>
          <w:szCs w:val="28"/>
          <w14:ligatures w14:val="none"/>
        </w:rPr>
        <w:t>1</w:t>
      </w:r>
      <w:r w:rsidRPr="00336AF4">
        <w:rPr>
          <w:rFonts w:ascii="Times New Roman" w:eastAsia="Arial" w:hAnsi="Times New Roman" w:cs="Times New Roman"/>
          <w:kern w:val="0"/>
          <w:sz w:val="28"/>
          <w:szCs w:val="28"/>
          <w14:ligatures w14:val="none"/>
        </w:rPr>
        <w:t>]</w:t>
      </w:r>
      <w:r w:rsidRPr="009059F4">
        <w:rPr>
          <w:rFonts w:ascii="Times New Roman" w:eastAsia="Arial" w:hAnsi="Times New Roman" w:cs="Times New Roman"/>
          <w:kern w:val="0"/>
          <w:sz w:val="28"/>
          <w:szCs w:val="28"/>
          <w14:ligatures w14:val="none"/>
        </w:rPr>
        <w:t xml:space="preserve">. Отрасли с высокими регуляторными требованиями, включая здравоохранение, госуправление, банковское дело, финансовые услуги и страхование (BFSI), проявляют особый интерес к этим решениям для управления данными и их защиты. </w:t>
      </w:r>
    </w:p>
    <w:p w14:paraId="60CF841B" w14:textId="629C0320" w:rsidR="00101231"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sidRPr="009059F4">
        <w:rPr>
          <w:rFonts w:ascii="Times New Roman" w:eastAsia="Arial" w:hAnsi="Times New Roman" w:cs="Times New Roman"/>
          <w:kern w:val="0"/>
          <w:sz w:val="28"/>
          <w:szCs w:val="28"/>
          <w14:ligatures w14:val="none"/>
        </w:rPr>
        <w:t xml:space="preserve">В России рост рынка СЭД также заметен и устойчив: по данным аналитических агентств, за несколько последних лет оборот российского рынка систем электронного документооборота увеличился более чем в полтора раза, что можно увидеть на рисунке </w:t>
      </w:r>
      <w:r>
        <w:rPr>
          <w:rFonts w:ascii="Times New Roman" w:eastAsia="Arial" w:hAnsi="Times New Roman" w:cs="Times New Roman"/>
          <w:kern w:val="0"/>
          <w:sz w:val="28"/>
          <w:szCs w:val="28"/>
          <w14:ligatures w14:val="none"/>
        </w:rPr>
        <w:t>1</w:t>
      </w:r>
      <w:r w:rsidRPr="009059F4">
        <w:rPr>
          <w:rFonts w:ascii="Times New Roman" w:eastAsia="Arial" w:hAnsi="Times New Roman" w:cs="Times New Roman"/>
          <w:kern w:val="0"/>
          <w:sz w:val="28"/>
          <w:szCs w:val="28"/>
          <w14:ligatures w14:val="none"/>
        </w:rPr>
        <w:t>.</w:t>
      </w:r>
    </w:p>
    <w:p w14:paraId="140BE484" w14:textId="77777777" w:rsidR="00101231" w:rsidRPr="00E15FD5"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sidRPr="009059F4">
        <w:rPr>
          <w:rFonts w:ascii="Times New Roman" w:eastAsia="Arial" w:hAnsi="Times New Roman" w:cs="Times New Roman"/>
          <w:kern w:val="0"/>
          <w:sz w:val="28"/>
          <w:szCs w:val="28"/>
          <w14:ligatures w14:val="none"/>
        </w:rPr>
        <w:t>Согласно российскому законодательству, электронный документооборот официально признан равнозначным бумажному формату при наличии усиленной квалифицированной электронной подписи. СЭД активно применяются в процессах государственных закупок, кадрового делопроизводства, регистрации нормативных правовых актов и межведомственного взаимодействия через интегрированную систему межведомственного электронного взаимодействия (СМЭВ).</w:t>
      </w:r>
      <w:r w:rsidRPr="00D47726">
        <w:rPr>
          <w:rFonts w:ascii="Times New Roman" w:eastAsia="Arial" w:hAnsi="Times New Roman" w:cs="Times New Roman"/>
          <w:kern w:val="0"/>
          <w:sz w:val="28"/>
          <w:szCs w:val="28"/>
          <w14:ligatures w14:val="none"/>
        </w:rPr>
        <w:t xml:space="preserve"> </w:t>
      </w:r>
    </w:p>
    <w:p w14:paraId="274A543A" w14:textId="77777777" w:rsidR="00101231" w:rsidRPr="00E15FD5"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Pr>
          <w:rFonts w:ascii="Times New Roman" w:eastAsia="Arial" w:hAnsi="Times New Roman" w:cs="Times New Roman"/>
          <w:kern w:val="0"/>
          <w:sz w:val="28"/>
          <w:szCs w:val="28"/>
          <w14:ligatures w14:val="none"/>
        </w:rPr>
        <w:lastRenderedPageBreak/>
        <w:t>Однако г</w:t>
      </w:r>
      <w:r w:rsidRPr="009059F4">
        <w:rPr>
          <w:rFonts w:ascii="Times New Roman" w:eastAsia="Arial" w:hAnsi="Times New Roman" w:cs="Times New Roman"/>
          <w:kern w:val="0"/>
          <w:sz w:val="28"/>
          <w:szCs w:val="28"/>
          <w14:ligatures w14:val="none"/>
        </w:rPr>
        <w:t>осударственные органы обязаны обеспечивать сохранность документации, е</w:t>
      </w:r>
      <w:r>
        <w:rPr>
          <w:rFonts w:ascii="Times New Roman" w:eastAsia="Arial" w:hAnsi="Times New Roman" w:cs="Times New Roman"/>
          <w:kern w:val="0"/>
          <w:sz w:val="28"/>
          <w:szCs w:val="28"/>
          <w14:ligatures w14:val="none"/>
        </w:rPr>
        <w:t>е</w:t>
      </w:r>
      <w:r w:rsidRPr="009059F4">
        <w:rPr>
          <w:rFonts w:ascii="Times New Roman" w:eastAsia="Arial" w:hAnsi="Times New Roman" w:cs="Times New Roman"/>
          <w:kern w:val="0"/>
          <w:sz w:val="28"/>
          <w:szCs w:val="28"/>
          <w14:ligatures w14:val="none"/>
        </w:rPr>
        <w:t xml:space="preserve"> архивное хранение, ведение журналов уч</w:t>
      </w:r>
      <w:r>
        <w:rPr>
          <w:rFonts w:ascii="Times New Roman" w:eastAsia="Arial" w:hAnsi="Times New Roman" w:cs="Times New Roman"/>
          <w:kern w:val="0"/>
          <w:sz w:val="28"/>
          <w:szCs w:val="28"/>
          <w14:ligatures w14:val="none"/>
        </w:rPr>
        <w:t>е</w:t>
      </w:r>
      <w:r w:rsidRPr="009059F4">
        <w:rPr>
          <w:rFonts w:ascii="Times New Roman" w:eastAsia="Arial" w:hAnsi="Times New Roman" w:cs="Times New Roman"/>
          <w:kern w:val="0"/>
          <w:sz w:val="28"/>
          <w:szCs w:val="28"/>
          <w14:ligatures w14:val="none"/>
        </w:rPr>
        <w:t>та и контроль доступа. Системы электронного документооборота (СЭД) позволяют соблюдать эти требования за сч</w:t>
      </w:r>
      <w:r>
        <w:rPr>
          <w:rFonts w:ascii="Times New Roman" w:eastAsia="Arial" w:hAnsi="Times New Roman" w:cs="Times New Roman"/>
          <w:kern w:val="0"/>
          <w:sz w:val="28"/>
          <w:szCs w:val="28"/>
          <w14:ligatures w14:val="none"/>
        </w:rPr>
        <w:t>е</w:t>
      </w:r>
      <w:r w:rsidRPr="009059F4">
        <w:rPr>
          <w:rFonts w:ascii="Times New Roman" w:eastAsia="Arial" w:hAnsi="Times New Roman" w:cs="Times New Roman"/>
          <w:kern w:val="0"/>
          <w:sz w:val="28"/>
          <w:szCs w:val="28"/>
          <w14:ligatures w14:val="none"/>
        </w:rPr>
        <w:t xml:space="preserve">т механизмов разграничения прав доступа, использования электронной подписи, шифрования данных, </w:t>
      </w:r>
      <w:r>
        <w:rPr>
          <w:rFonts w:ascii="Times New Roman" w:eastAsia="Arial" w:hAnsi="Times New Roman" w:cs="Times New Roman"/>
          <w:kern w:val="0"/>
          <w:sz w:val="28"/>
          <w:szCs w:val="28"/>
          <w14:ligatures w14:val="none"/>
        </w:rPr>
        <w:t>регулирования</w:t>
      </w:r>
      <w:r w:rsidRPr="009059F4">
        <w:rPr>
          <w:rFonts w:ascii="Times New Roman" w:eastAsia="Arial" w:hAnsi="Times New Roman" w:cs="Times New Roman"/>
          <w:kern w:val="0"/>
          <w:sz w:val="28"/>
          <w:szCs w:val="28"/>
          <w14:ligatures w14:val="none"/>
        </w:rPr>
        <w:t xml:space="preserve"> действий пользователей.</w:t>
      </w:r>
    </w:p>
    <w:p w14:paraId="698DF85B" w14:textId="77777777" w:rsidR="00101231"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sidRPr="009059F4">
        <w:rPr>
          <w:rFonts w:ascii="Times New Roman" w:eastAsia="Arial" w:hAnsi="Times New Roman" w:cs="Times New Roman"/>
          <w:kern w:val="0"/>
          <w:sz w:val="28"/>
          <w:szCs w:val="28"/>
          <w14:ligatures w14:val="none"/>
        </w:rPr>
        <w:t xml:space="preserve">Переход к электронным процессам способствует </w:t>
      </w:r>
      <w:r>
        <w:rPr>
          <w:rFonts w:ascii="Times New Roman" w:eastAsia="Arial" w:hAnsi="Times New Roman" w:cs="Times New Roman"/>
          <w:kern w:val="0"/>
          <w:sz w:val="28"/>
          <w:szCs w:val="28"/>
          <w14:ligatures w14:val="none"/>
        </w:rPr>
        <w:t>улучшение</w:t>
      </w:r>
      <w:r w:rsidRPr="009059F4">
        <w:rPr>
          <w:rFonts w:ascii="Times New Roman" w:eastAsia="Arial" w:hAnsi="Times New Roman" w:cs="Times New Roman"/>
          <w:kern w:val="0"/>
          <w:sz w:val="28"/>
          <w:szCs w:val="28"/>
          <w14:ligatures w14:val="none"/>
        </w:rPr>
        <w:t xml:space="preserve"> административных процедур, сокращению временных затрат на обработку документов, снижению издержек.</w:t>
      </w:r>
    </w:p>
    <w:p w14:paraId="067D993F" w14:textId="77777777" w:rsidR="00101231"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sidRPr="009059F4">
        <w:rPr>
          <w:rFonts w:ascii="Times New Roman" w:eastAsia="Arial" w:hAnsi="Times New Roman" w:cs="Times New Roman"/>
          <w:kern w:val="0"/>
          <w:sz w:val="28"/>
          <w:szCs w:val="28"/>
          <w14:ligatures w14:val="none"/>
        </w:rPr>
        <w:t xml:space="preserve"> Эти факторы имеют первостепенное значение для </w:t>
      </w:r>
      <w:r>
        <w:rPr>
          <w:rFonts w:ascii="Times New Roman" w:eastAsia="Arial" w:hAnsi="Times New Roman" w:cs="Times New Roman"/>
          <w:kern w:val="0"/>
          <w:sz w:val="28"/>
          <w:szCs w:val="28"/>
          <w14:ligatures w14:val="none"/>
        </w:rPr>
        <w:t xml:space="preserve">улучшения </w:t>
      </w:r>
      <w:r w:rsidRPr="009059F4">
        <w:rPr>
          <w:rFonts w:ascii="Times New Roman" w:eastAsia="Arial" w:hAnsi="Times New Roman" w:cs="Times New Roman"/>
          <w:kern w:val="0"/>
          <w:sz w:val="28"/>
          <w:szCs w:val="28"/>
          <w14:ligatures w14:val="none"/>
        </w:rPr>
        <w:t>функционирования органов исполнительной власти и контрольных структур, а также для обеспечения их соответствия современным требованиям цифровизации государственного управления.</w:t>
      </w:r>
    </w:p>
    <w:p w14:paraId="1B6CC5BA" w14:textId="799F7822" w:rsidR="00101231" w:rsidRPr="009059F4"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sidRPr="009059F4">
        <w:rPr>
          <w:rFonts w:ascii="Times New Roman" w:eastAsia="Arial" w:hAnsi="Times New Roman" w:cs="Times New Roman"/>
          <w:kern w:val="0"/>
          <w:sz w:val="28"/>
          <w:szCs w:val="28"/>
          <w14:ligatures w14:val="none"/>
        </w:rPr>
        <w:t xml:space="preserve">Кроме того, расширение электронного взаимодействия между государственными структурами требует интеграции СЭД с внешними информационными системами и соблюдения установленных стандартов обмена информацией. </w:t>
      </w:r>
      <w:r>
        <w:rPr>
          <w:rFonts w:ascii="Times New Roman" w:eastAsia="Arial" w:hAnsi="Times New Roman" w:cs="Times New Roman"/>
          <w:kern w:val="0"/>
          <w:sz w:val="28"/>
          <w:szCs w:val="28"/>
          <w14:ligatures w14:val="none"/>
        </w:rPr>
        <w:t xml:space="preserve"> У</w:t>
      </w:r>
      <w:r w:rsidRPr="009059F4">
        <w:rPr>
          <w:rFonts w:ascii="Times New Roman" w:eastAsia="Arial" w:hAnsi="Times New Roman" w:cs="Times New Roman"/>
          <w:kern w:val="0"/>
          <w:sz w:val="28"/>
          <w:szCs w:val="28"/>
          <w14:ligatures w14:val="none"/>
        </w:rPr>
        <w:t>жесточение нормативных требований и необходимость соблюдения стандартов информационной безопасности обуславливают целесообразность и обязательность внедрения систем электронного документооборота в современную инфраструктуру государственного управления</w:t>
      </w:r>
      <w:r>
        <w:rPr>
          <w:rFonts w:ascii="Times New Roman" w:eastAsia="Arial" w:hAnsi="Times New Roman" w:cs="Times New Roman"/>
          <w:kern w:val="0"/>
          <w:sz w:val="28"/>
          <w:szCs w:val="28"/>
          <w14:ligatures w14:val="none"/>
        </w:rPr>
        <w:t>.</w:t>
      </w:r>
    </w:p>
    <w:p w14:paraId="36EA411E" w14:textId="77777777" w:rsidR="00101231"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sidRPr="009059F4">
        <w:rPr>
          <w:rFonts w:ascii="Times New Roman" w:eastAsia="Arial" w:hAnsi="Times New Roman" w:cs="Times New Roman"/>
          <w:kern w:val="0"/>
          <w:sz w:val="28"/>
          <w:szCs w:val="28"/>
          <w14:ligatures w14:val="none"/>
        </w:rPr>
        <w:t>Российский рынок систем электронного документооборота демонстрирует устойчивую положительную динамику за период 2021–202</w:t>
      </w:r>
      <w:r>
        <w:rPr>
          <w:rFonts w:ascii="Times New Roman" w:eastAsia="Arial" w:hAnsi="Times New Roman" w:cs="Times New Roman"/>
          <w:kern w:val="0"/>
          <w:sz w:val="28"/>
          <w:szCs w:val="28"/>
          <w14:ligatures w14:val="none"/>
        </w:rPr>
        <w:t>4</w:t>
      </w:r>
      <w:r w:rsidRPr="009059F4">
        <w:rPr>
          <w:rFonts w:ascii="Times New Roman" w:eastAsia="Arial" w:hAnsi="Times New Roman" w:cs="Times New Roman"/>
          <w:kern w:val="0"/>
          <w:sz w:val="28"/>
          <w:szCs w:val="28"/>
          <w14:ligatures w14:val="none"/>
        </w:rPr>
        <w:t xml:space="preserve"> гг., поскольку его объ</w:t>
      </w:r>
      <w:r>
        <w:rPr>
          <w:rFonts w:ascii="Times New Roman" w:eastAsia="Arial" w:hAnsi="Times New Roman" w:cs="Times New Roman"/>
          <w:kern w:val="0"/>
          <w:sz w:val="28"/>
          <w:szCs w:val="28"/>
          <w14:ligatures w14:val="none"/>
        </w:rPr>
        <w:t>е</w:t>
      </w:r>
      <w:r w:rsidRPr="009059F4">
        <w:rPr>
          <w:rFonts w:ascii="Times New Roman" w:eastAsia="Arial" w:hAnsi="Times New Roman" w:cs="Times New Roman"/>
          <w:kern w:val="0"/>
          <w:sz w:val="28"/>
          <w:szCs w:val="28"/>
          <w14:ligatures w14:val="none"/>
        </w:rPr>
        <w:t>м увеличился в полтора раза за последние 4–5 лет,</w:t>
      </w:r>
      <w:r>
        <w:rPr>
          <w:rFonts w:ascii="Times New Roman" w:eastAsia="Arial" w:hAnsi="Times New Roman" w:cs="Times New Roman"/>
          <w:kern w:val="0"/>
          <w:sz w:val="28"/>
          <w:szCs w:val="28"/>
          <w14:ligatures w14:val="none"/>
        </w:rPr>
        <w:t xml:space="preserve"> поэтому с</w:t>
      </w:r>
      <w:r w:rsidRPr="009059F4">
        <w:rPr>
          <w:rFonts w:ascii="Times New Roman" w:eastAsia="Arial" w:hAnsi="Times New Roman" w:cs="Times New Roman"/>
          <w:kern w:val="0"/>
          <w:sz w:val="28"/>
          <w:szCs w:val="28"/>
          <w14:ligatures w14:val="none"/>
        </w:rPr>
        <w:t>огласно прогнозам, в период с 2024 по 2026 годы ожидается ежегодное увеличение объ</w:t>
      </w:r>
      <w:r>
        <w:rPr>
          <w:rFonts w:ascii="Times New Roman" w:eastAsia="Arial" w:hAnsi="Times New Roman" w:cs="Times New Roman"/>
          <w:kern w:val="0"/>
          <w:sz w:val="28"/>
          <w:szCs w:val="28"/>
          <w14:ligatures w14:val="none"/>
        </w:rPr>
        <w:t>е</w:t>
      </w:r>
      <w:r w:rsidRPr="009059F4">
        <w:rPr>
          <w:rFonts w:ascii="Times New Roman" w:eastAsia="Arial" w:hAnsi="Times New Roman" w:cs="Times New Roman"/>
          <w:kern w:val="0"/>
          <w:sz w:val="28"/>
          <w:szCs w:val="28"/>
          <w14:ligatures w14:val="none"/>
        </w:rPr>
        <w:t xml:space="preserve">ма рынка на 10–15%. Данный тренд обусловлен развитием нормативно-правовой базы и внедрением инновационных технологий. </w:t>
      </w:r>
      <w:r>
        <w:rPr>
          <w:rFonts w:ascii="Times New Roman" w:eastAsia="Arial" w:hAnsi="Times New Roman" w:cs="Times New Roman"/>
          <w:kern w:val="0"/>
          <w:sz w:val="28"/>
          <w:szCs w:val="28"/>
          <w14:ligatures w14:val="none"/>
        </w:rPr>
        <w:t>А также в</w:t>
      </w:r>
      <w:r w:rsidRPr="009059F4">
        <w:rPr>
          <w:rFonts w:ascii="Times New Roman" w:eastAsia="Arial" w:hAnsi="Times New Roman" w:cs="Times New Roman"/>
          <w:kern w:val="0"/>
          <w:sz w:val="28"/>
          <w:szCs w:val="28"/>
          <w14:ligatures w14:val="none"/>
        </w:rPr>
        <w:t xml:space="preserve"> ближайшие годы ожидается активное развитие облачных и гибридных технологий для СЭД.</w:t>
      </w:r>
    </w:p>
    <w:p w14:paraId="53D0FFDA" w14:textId="77777777" w:rsidR="00101231"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sidRPr="009059F4">
        <w:rPr>
          <w:rFonts w:ascii="Times New Roman" w:eastAsia="Arial" w:hAnsi="Times New Roman" w:cs="Times New Roman"/>
          <w:kern w:val="0"/>
          <w:sz w:val="28"/>
          <w:szCs w:val="28"/>
          <w14:ligatures w14:val="none"/>
        </w:rPr>
        <w:t xml:space="preserve">Это обеспечит органам государственной власти возможность снижения </w:t>
      </w:r>
      <w:r w:rsidRPr="009059F4">
        <w:rPr>
          <w:rFonts w:ascii="Times New Roman" w:eastAsia="Arial" w:hAnsi="Times New Roman" w:cs="Times New Roman"/>
          <w:kern w:val="0"/>
          <w:sz w:val="28"/>
          <w:szCs w:val="28"/>
          <w14:ligatures w14:val="none"/>
        </w:rPr>
        <w:lastRenderedPageBreak/>
        <w:t xml:space="preserve">затрат на информационно-технологическую инфраструктуру и обеспечит более гибкую масштабируемость систем. Современные технологии, такие как автоматическая классификация документов, интеллектуальный поиск, оптическое распознавание символов (OCR) и аналитические информационные панели, значительно расширяют функциональные возможности СЭД. </w:t>
      </w:r>
    </w:p>
    <w:p w14:paraId="13F433E0" w14:textId="77777777" w:rsidR="00101231" w:rsidRPr="009059F4"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sidRPr="009059F4">
        <w:rPr>
          <w:rFonts w:ascii="Times New Roman" w:eastAsia="Arial" w:hAnsi="Times New Roman" w:cs="Times New Roman"/>
          <w:kern w:val="0"/>
          <w:sz w:val="28"/>
          <w:szCs w:val="28"/>
          <w14:ligatures w14:val="none"/>
        </w:rPr>
        <w:t xml:space="preserve">По данным аналитического агентства </w:t>
      </w:r>
      <w:proofErr w:type="spellStart"/>
      <w:r w:rsidRPr="009059F4">
        <w:rPr>
          <w:rFonts w:ascii="Times New Roman" w:eastAsia="Arial" w:hAnsi="Times New Roman" w:cs="Times New Roman"/>
          <w:kern w:val="0"/>
          <w:sz w:val="28"/>
          <w:szCs w:val="28"/>
          <w14:ligatures w14:val="none"/>
        </w:rPr>
        <w:t>BusinesStat</w:t>
      </w:r>
      <w:proofErr w:type="spellEnd"/>
      <w:r w:rsidRPr="009059F4">
        <w:rPr>
          <w:rFonts w:ascii="Times New Roman" w:eastAsia="Arial" w:hAnsi="Times New Roman" w:cs="Times New Roman"/>
          <w:kern w:val="0"/>
          <w:sz w:val="28"/>
          <w:szCs w:val="28"/>
          <w14:ligatures w14:val="none"/>
        </w:rPr>
        <w:t>, в 2024 году объ</w:t>
      </w:r>
      <w:r>
        <w:rPr>
          <w:rFonts w:ascii="Times New Roman" w:eastAsia="Arial" w:hAnsi="Times New Roman" w:cs="Times New Roman"/>
          <w:kern w:val="0"/>
          <w:sz w:val="28"/>
          <w:szCs w:val="28"/>
          <w14:ligatures w14:val="none"/>
        </w:rPr>
        <w:t>е</w:t>
      </w:r>
      <w:r w:rsidRPr="009059F4">
        <w:rPr>
          <w:rFonts w:ascii="Times New Roman" w:eastAsia="Arial" w:hAnsi="Times New Roman" w:cs="Times New Roman"/>
          <w:kern w:val="0"/>
          <w:sz w:val="28"/>
          <w:szCs w:val="28"/>
          <w14:ligatures w14:val="none"/>
        </w:rPr>
        <w:t>м рынка СЭД вырос на 15%, достигнув отметки в 95 миллиардов рублей. Это свидетельствует об увеличении применения таких систем как в коммерческих, так и в государственных структурах</w:t>
      </w:r>
      <w:r>
        <w:rPr>
          <w:rFonts w:ascii="Times New Roman" w:eastAsia="Arial" w:hAnsi="Times New Roman" w:cs="Times New Roman"/>
          <w:kern w:val="0"/>
          <w:sz w:val="28"/>
          <w:szCs w:val="28"/>
          <w14:ligatures w14:val="none"/>
        </w:rPr>
        <w:t xml:space="preserve"> </w:t>
      </w:r>
      <w:r w:rsidRPr="00360FC2">
        <w:rPr>
          <w:rFonts w:ascii="Times New Roman" w:eastAsia="Arial" w:hAnsi="Times New Roman" w:cs="Times New Roman"/>
          <w:kern w:val="0"/>
          <w:sz w:val="28"/>
          <w:szCs w:val="28"/>
          <w14:ligatures w14:val="none"/>
        </w:rPr>
        <w:t>[</w:t>
      </w:r>
      <w:r w:rsidRPr="00D47726">
        <w:rPr>
          <w:rFonts w:ascii="Times New Roman" w:eastAsia="Arial" w:hAnsi="Times New Roman" w:cs="Times New Roman"/>
          <w:kern w:val="0"/>
          <w:sz w:val="28"/>
          <w:szCs w:val="28"/>
          <w14:ligatures w14:val="none"/>
        </w:rPr>
        <w:t>16</w:t>
      </w:r>
      <w:r w:rsidRPr="00360FC2">
        <w:rPr>
          <w:rFonts w:ascii="Times New Roman" w:eastAsia="Arial" w:hAnsi="Times New Roman" w:cs="Times New Roman"/>
          <w:kern w:val="0"/>
          <w:sz w:val="28"/>
          <w:szCs w:val="28"/>
          <w14:ligatures w14:val="none"/>
        </w:rPr>
        <w:t>].</w:t>
      </w:r>
    </w:p>
    <w:p w14:paraId="1A76DE83" w14:textId="77777777" w:rsidR="00101231" w:rsidRPr="009059F4"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sidRPr="009059F4">
        <w:rPr>
          <w:rFonts w:ascii="Times New Roman" w:eastAsia="Arial" w:hAnsi="Times New Roman" w:cs="Times New Roman"/>
          <w:kern w:val="0"/>
          <w:sz w:val="28"/>
          <w:szCs w:val="28"/>
          <w14:ligatures w14:val="none"/>
        </w:rPr>
        <w:t>Российский рынок систем электронного документооборота демонстрирует устойчивую положительную динамику за период 2021–2025 гг., поскольку его объ</w:t>
      </w:r>
      <w:r>
        <w:rPr>
          <w:rFonts w:ascii="Times New Roman" w:eastAsia="Arial" w:hAnsi="Times New Roman" w:cs="Times New Roman"/>
          <w:kern w:val="0"/>
          <w:sz w:val="28"/>
          <w:szCs w:val="28"/>
          <w14:ligatures w14:val="none"/>
        </w:rPr>
        <w:t>е</w:t>
      </w:r>
      <w:r w:rsidRPr="009059F4">
        <w:rPr>
          <w:rFonts w:ascii="Times New Roman" w:eastAsia="Arial" w:hAnsi="Times New Roman" w:cs="Times New Roman"/>
          <w:kern w:val="0"/>
          <w:sz w:val="28"/>
          <w:szCs w:val="28"/>
          <w14:ligatures w14:val="none"/>
        </w:rPr>
        <w:t>м увеличился в полтора раза за последние 4–5 лет, также существует сильная тенденция роста и ожидается, что даже в 2026 году рынок продолжит расширяться.</w:t>
      </w:r>
    </w:p>
    <w:p w14:paraId="5D42FBAA" w14:textId="77777777" w:rsidR="00101231" w:rsidRPr="009059F4" w:rsidRDefault="00101231" w:rsidP="00101231">
      <w:pPr>
        <w:widowControl w:val="0"/>
        <w:spacing w:after="0" w:line="240" w:lineRule="auto"/>
        <w:ind w:firstLine="709"/>
        <w:contextualSpacing/>
        <w:jc w:val="both"/>
        <w:rPr>
          <w:rFonts w:ascii="Times New Roman" w:eastAsia="Arial" w:hAnsi="Times New Roman" w:cs="Times New Roman"/>
          <w:kern w:val="0"/>
          <w:sz w:val="28"/>
          <w:szCs w:val="28"/>
          <w14:ligatures w14:val="none"/>
        </w:rPr>
      </w:pPr>
    </w:p>
    <w:p w14:paraId="6DBD8BD0" w14:textId="77777777" w:rsidR="00101231" w:rsidRPr="009059F4" w:rsidRDefault="00101231" w:rsidP="00101231">
      <w:pPr>
        <w:widowControl w:val="0"/>
        <w:spacing w:after="0" w:line="360" w:lineRule="auto"/>
        <w:contextualSpacing/>
        <w:jc w:val="both"/>
        <w:rPr>
          <w:rFonts w:ascii="Times New Roman" w:eastAsia="Arial" w:hAnsi="Times New Roman" w:cs="Times New Roman"/>
          <w:kern w:val="0"/>
          <w:sz w:val="28"/>
          <w:szCs w:val="28"/>
          <w14:ligatures w14:val="none"/>
        </w:rPr>
      </w:pPr>
      <w:r w:rsidRPr="009059F4">
        <w:rPr>
          <w:rFonts w:ascii="Times New Roman" w:eastAsia="Arial" w:hAnsi="Times New Roman" w:cs="Times New Roman"/>
          <w:noProof/>
          <w:kern w:val="0"/>
          <w:sz w:val="28"/>
          <w:szCs w:val="28"/>
          <w:lang w:eastAsia="ru-RU"/>
          <w14:ligatures w14:val="none"/>
        </w:rPr>
        <w:drawing>
          <wp:inline distT="0" distB="0" distL="0" distR="0" wp14:anchorId="0CC560E3" wp14:editId="0B22AE6C">
            <wp:extent cx="5932170" cy="1240971"/>
            <wp:effectExtent l="0" t="0" r="11430" b="16510"/>
            <wp:docPr id="2095582730"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BA98959" w14:textId="66D1F1DE" w:rsidR="00101231" w:rsidRPr="009059F4" w:rsidRDefault="00101231" w:rsidP="00101231">
      <w:pPr>
        <w:widowControl w:val="0"/>
        <w:spacing w:after="0" w:line="360" w:lineRule="auto"/>
        <w:ind w:firstLine="709"/>
        <w:contextualSpacing/>
        <w:jc w:val="center"/>
        <w:rPr>
          <w:rFonts w:ascii="Times New Roman" w:eastAsia="Arial" w:hAnsi="Times New Roman" w:cs="Times New Roman"/>
          <w:kern w:val="0"/>
          <w:sz w:val="28"/>
          <w:szCs w:val="28"/>
          <w14:ligatures w14:val="none"/>
        </w:rPr>
      </w:pPr>
      <w:r w:rsidRPr="009059F4">
        <w:rPr>
          <w:rFonts w:ascii="Times New Roman" w:eastAsia="Arial" w:hAnsi="Times New Roman" w:cs="Times New Roman"/>
          <w:kern w:val="0"/>
          <w:sz w:val="28"/>
          <w:szCs w:val="28"/>
          <w14:ligatures w14:val="none"/>
        </w:rPr>
        <w:t xml:space="preserve">Рисунок </w:t>
      </w:r>
      <w:r>
        <w:rPr>
          <w:rFonts w:ascii="Times New Roman" w:eastAsia="Arial" w:hAnsi="Times New Roman" w:cs="Times New Roman"/>
          <w:kern w:val="0"/>
          <w:sz w:val="28"/>
          <w:szCs w:val="28"/>
          <w14:ligatures w14:val="none"/>
        </w:rPr>
        <w:t>1</w:t>
      </w:r>
      <w:r w:rsidRPr="009059F4">
        <w:rPr>
          <w:rFonts w:ascii="Times New Roman" w:eastAsia="Arial" w:hAnsi="Times New Roman" w:cs="Times New Roman"/>
          <w:kern w:val="0"/>
          <w:sz w:val="28"/>
          <w:szCs w:val="28"/>
          <w14:ligatures w14:val="none"/>
        </w:rPr>
        <w:t xml:space="preserve"> – Оборот рынка систем электронного документооборота в России в 2021–2025гг.</w:t>
      </w:r>
    </w:p>
    <w:p w14:paraId="5206ECA1" w14:textId="77777777" w:rsidR="00101231" w:rsidRPr="009059F4" w:rsidRDefault="00101231" w:rsidP="00101231">
      <w:pPr>
        <w:widowControl w:val="0"/>
        <w:spacing w:after="0" w:line="240" w:lineRule="auto"/>
        <w:ind w:firstLine="709"/>
        <w:contextualSpacing/>
        <w:jc w:val="center"/>
        <w:rPr>
          <w:rFonts w:ascii="Times New Roman" w:eastAsia="Arial" w:hAnsi="Times New Roman" w:cs="Times New Roman"/>
          <w:kern w:val="0"/>
          <w:sz w:val="28"/>
          <w:szCs w:val="28"/>
          <w14:ligatures w14:val="none"/>
        </w:rPr>
      </w:pPr>
    </w:p>
    <w:p w14:paraId="6EB0B966" w14:textId="03BE8C78" w:rsidR="00101231" w:rsidRDefault="00101231" w:rsidP="00101231">
      <w:pPr>
        <w:widowControl w:val="0"/>
        <w:spacing w:before="240" w:line="360" w:lineRule="auto"/>
        <w:ind w:firstLine="709"/>
        <w:contextualSpacing/>
        <w:jc w:val="both"/>
        <w:rPr>
          <w:rFonts w:ascii="Times New Roman" w:eastAsia="Arial" w:hAnsi="Times New Roman" w:cs="Times New Roman"/>
          <w:kern w:val="0"/>
          <w:sz w:val="28"/>
          <w:szCs w:val="28"/>
          <w14:ligatures w14:val="none"/>
        </w:rPr>
      </w:pPr>
      <w:r w:rsidRPr="009059F4">
        <w:rPr>
          <w:rFonts w:ascii="Times New Roman" w:eastAsia="Arial" w:hAnsi="Times New Roman" w:cs="Times New Roman"/>
          <w:kern w:val="0"/>
          <w:sz w:val="28"/>
          <w:szCs w:val="28"/>
          <w14:ligatures w14:val="none"/>
        </w:rPr>
        <w:t>Это подтверждает востребованность СЭД как инструментов автоматизации, цифровизации и обеспечения эффективности бизнес-процессов в государственных и коммерческих организациях, включая ключевые отрасли экономики.</w:t>
      </w:r>
    </w:p>
    <w:p w14:paraId="0E52C7A7" w14:textId="78D724CE" w:rsidR="00101231" w:rsidRDefault="00101231" w:rsidP="00101231">
      <w:pPr>
        <w:keepNext/>
        <w:spacing w:before="240" w:after="60" w:line="360" w:lineRule="auto"/>
        <w:ind w:firstLine="720"/>
        <w:jc w:val="both"/>
        <w:outlineLvl w:val="1"/>
        <w:rPr>
          <w:rFonts w:ascii="Times New Roman" w:eastAsia="Times New Roman" w:hAnsi="Times New Roman" w:cs="Times New Roman"/>
          <w:b/>
          <w:bCs/>
          <w:color w:val="EE0000"/>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 xml:space="preserve">1.3 </w:t>
      </w:r>
      <w:r w:rsidRPr="00671738">
        <w:rPr>
          <w:rFonts w:ascii="Times New Roman" w:eastAsia="Times New Roman" w:hAnsi="Times New Roman" w:cs="Times New Roman"/>
          <w:b/>
          <w:bCs/>
          <w:kern w:val="0"/>
          <w:sz w:val="28"/>
          <w:szCs w:val="28"/>
          <w:lang w:eastAsia="ru-RU"/>
          <w14:ligatures w14:val="none"/>
        </w:rPr>
        <w:t xml:space="preserve">Проведение исследования особенностей документооборота </w:t>
      </w:r>
    </w:p>
    <w:p w14:paraId="18C1F8A2" w14:textId="3AC2878B" w:rsidR="00101231"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sidRPr="00F30061">
        <w:rPr>
          <w:rFonts w:ascii="Times New Roman" w:eastAsia="Arial" w:hAnsi="Times New Roman" w:cs="Times New Roman"/>
          <w:kern w:val="0"/>
          <w:sz w:val="28"/>
          <w:szCs w:val="28"/>
          <w14:ligatures w14:val="none"/>
        </w:rPr>
        <w:t xml:space="preserve">Документооборот в ФКУ «ЦЭКТУ» характеризуется комплексом специфических особенностей, обусловленных правовым статусом учреждения и характером его деятельности. В первую очередь, процессы </w:t>
      </w:r>
      <w:r w:rsidRPr="00F30061">
        <w:rPr>
          <w:rFonts w:ascii="Times New Roman" w:eastAsia="Arial" w:hAnsi="Times New Roman" w:cs="Times New Roman"/>
          <w:kern w:val="0"/>
          <w:sz w:val="28"/>
          <w:szCs w:val="28"/>
          <w14:ligatures w14:val="none"/>
        </w:rPr>
        <w:lastRenderedPageBreak/>
        <w:t xml:space="preserve">документирования подвержены жесткой регламентации и регулируются многоуровневой системой нормативно-правовых актов. Ключевыми из них являются Таможенное законодательство, в частности Федеральный закон № 289-ФЗ «О таможенном регулировании», который устанавливает общие требования к проведению таможенных экспертиз. </w:t>
      </w:r>
    </w:p>
    <w:p w14:paraId="646C23B5" w14:textId="77777777" w:rsidR="00101231" w:rsidRPr="00F30061"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sidRPr="00F30061">
        <w:rPr>
          <w:rFonts w:ascii="Times New Roman" w:eastAsia="Arial" w:hAnsi="Times New Roman" w:cs="Times New Roman"/>
          <w:kern w:val="0"/>
          <w:sz w:val="28"/>
          <w:szCs w:val="28"/>
          <w14:ligatures w14:val="none"/>
        </w:rPr>
        <w:t>Не менее значимо Уголовно-процессуальное законодательство, регламентирующее порядок назначения и проведения экспертиз по уголовным делам. На оперативном уровне деятельность детализируется многочисленными ведомственными приказами, регламентами и инструкциями ФТС России, которые определяют внутренние процедуры и формы документов.</w:t>
      </w:r>
    </w:p>
    <w:p w14:paraId="23A2D430" w14:textId="77777777" w:rsidR="00101231"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sidRPr="00F30061">
        <w:rPr>
          <w:rFonts w:ascii="Times New Roman" w:eastAsia="Arial" w:hAnsi="Times New Roman" w:cs="Times New Roman"/>
          <w:kern w:val="0"/>
          <w:sz w:val="28"/>
          <w:szCs w:val="28"/>
          <w14:ligatures w14:val="none"/>
        </w:rPr>
        <w:t xml:space="preserve">Заключения экспертов, постановления о назначении экспертиз, протоколы отбора проб и иные процессуальные документы имеют законодательно установленную форму и содержание. Отклонения от этих требований недопустимы, так как могут повлечь признание доказательств недопустимыми. </w:t>
      </w:r>
    </w:p>
    <w:p w14:paraId="38B2EB76" w14:textId="77777777" w:rsidR="00101231" w:rsidRPr="00F30061"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sidRPr="00F30061">
        <w:rPr>
          <w:rFonts w:ascii="Times New Roman" w:eastAsia="Arial" w:hAnsi="Times New Roman" w:cs="Times New Roman"/>
          <w:kern w:val="0"/>
          <w:sz w:val="28"/>
          <w:szCs w:val="28"/>
          <w14:ligatures w14:val="none"/>
        </w:rPr>
        <w:t>Каждое заключение эксперта должно содержать исчерпывающие сведения о ходе и результатах исследования, обоснование выводов и отвечать критериям полноты, научной обоснованности и объективности.</w:t>
      </w:r>
    </w:p>
    <w:p w14:paraId="42FFE648" w14:textId="3951138B" w:rsidR="00101231"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sidRPr="00F30061">
        <w:rPr>
          <w:rFonts w:ascii="Times New Roman" w:eastAsia="Arial" w:hAnsi="Times New Roman" w:cs="Times New Roman"/>
          <w:kern w:val="0"/>
          <w:sz w:val="28"/>
          <w:szCs w:val="28"/>
          <w14:ligatures w14:val="none"/>
        </w:rPr>
        <w:t xml:space="preserve">Конфиденциальность информации выступает одним из фундаментальных принципов документооборота. Значительный объем документов, включая материалы уголовных дел, заключения экспертов, служебную переписку и данные предварительных исследований, содержит информацию ограниченного доступа. Это может быть служебная, коммерческая, следственная или иная тайна, охраняемая законом. </w:t>
      </w:r>
    </w:p>
    <w:p w14:paraId="6E323EE1" w14:textId="77777777" w:rsidR="00101231" w:rsidRPr="00F30061"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sidRPr="00F30061">
        <w:rPr>
          <w:rFonts w:ascii="Times New Roman" w:eastAsia="Arial" w:hAnsi="Times New Roman" w:cs="Times New Roman"/>
          <w:kern w:val="0"/>
          <w:sz w:val="28"/>
          <w:szCs w:val="28"/>
          <w14:ligatures w14:val="none"/>
        </w:rPr>
        <w:t xml:space="preserve">Это обусловлено тем, что таможенные органы выполняют не хозяйственные, а государственно-властные функции, связанные с контролем внешнеэкономической деятельности и обеспечением экономической безопасности государства. В связи с этим, система документооборота должна обеспечивать надежную защиту информации, разграничение прав доступа и </w:t>
      </w:r>
      <w:r w:rsidRPr="00F30061">
        <w:rPr>
          <w:rFonts w:ascii="Times New Roman" w:eastAsia="Arial" w:hAnsi="Times New Roman" w:cs="Times New Roman"/>
          <w:kern w:val="0"/>
          <w:sz w:val="28"/>
          <w:szCs w:val="28"/>
          <w14:ligatures w14:val="none"/>
        </w:rPr>
        <w:lastRenderedPageBreak/>
        <w:t>строгий учет всех операций с документами.</w:t>
      </w:r>
    </w:p>
    <w:p w14:paraId="18A33F11" w14:textId="77777777" w:rsidR="00101231"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sidRPr="00F30061">
        <w:rPr>
          <w:rFonts w:ascii="Times New Roman" w:eastAsia="Arial" w:hAnsi="Times New Roman" w:cs="Times New Roman"/>
          <w:kern w:val="0"/>
          <w:sz w:val="28"/>
          <w:szCs w:val="28"/>
          <w14:ligatures w14:val="none"/>
        </w:rPr>
        <w:t>Кроме того, к организации документооборота предъявляются высокие требования к срокам</w:t>
      </w:r>
      <w:r>
        <w:rPr>
          <w:rFonts w:ascii="Times New Roman" w:eastAsia="Arial" w:hAnsi="Times New Roman" w:cs="Times New Roman"/>
          <w:kern w:val="0"/>
          <w:sz w:val="28"/>
          <w:szCs w:val="28"/>
          <w14:ligatures w14:val="none"/>
        </w:rPr>
        <w:t>, поскольку п</w:t>
      </w:r>
      <w:r w:rsidRPr="00F30061">
        <w:rPr>
          <w:rFonts w:ascii="Times New Roman" w:eastAsia="Arial" w:hAnsi="Times New Roman" w:cs="Times New Roman"/>
          <w:kern w:val="0"/>
          <w:sz w:val="28"/>
          <w:szCs w:val="28"/>
          <w14:ligatures w14:val="none"/>
        </w:rPr>
        <w:t>роизводство таможенных экспертиз осуществляется в строго установленные законодательством и ведомственными актами сроки. Их нарушение может привести к срыву сроков таможенного контроля, расследования уголовных дел или принятия управленческих решений, что влечет за собой серьезные процессуальные и организационные последствия.</w:t>
      </w:r>
    </w:p>
    <w:p w14:paraId="49B7366F" w14:textId="77777777" w:rsidR="00101231" w:rsidRPr="00F30061" w:rsidRDefault="00101231" w:rsidP="00101231">
      <w:pPr>
        <w:widowControl w:val="0"/>
        <w:spacing w:after="0" w:line="360" w:lineRule="auto"/>
        <w:ind w:firstLine="709"/>
        <w:contextualSpacing/>
        <w:jc w:val="both"/>
        <w:rPr>
          <w:rFonts w:ascii="Times New Roman" w:eastAsia="Arial" w:hAnsi="Times New Roman" w:cs="Times New Roman"/>
          <w:kern w:val="0"/>
          <w:sz w:val="28"/>
          <w:szCs w:val="28"/>
          <w14:ligatures w14:val="none"/>
        </w:rPr>
      </w:pPr>
      <w:r w:rsidRPr="00F30061">
        <w:rPr>
          <w:rFonts w:ascii="Times New Roman" w:eastAsia="Arial" w:hAnsi="Times New Roman" w:cs="Times New Roman"/>
          <w:kern w:val="0"/>
          <w:sz w:val="28"/>
          <w:szCs w:val="28"/>
          <w14:ligatures w14:val="none"/>
        </w:rPr>
        <w:t xml:space="preserve"> Это требует построения эффективной системы контроля исполнения документов, оперативного согласования и быстрой передачи результатов между структурными подразделениями и взаимодействующими органами.</w:t>
      </w:r>
    </w:p>
    <w:p w14:paraId="58A6B3F6" w14:textId="14B01033" w:rsidR="00101231" w:rsidRPr="00923009" w:rsidRDefault="00101231" w:rsidP="00101231">
      <w:pPr>
        <w:widowControl w:val="0"/>
        <w:spacing w:before="240" w:line="360" w:lineRule="auto"/>
        <w:ind w:firstLine="709"/>
        <w:contextualSpacing/>
        <w:jc w:val="both"/>
        <w:rPr>
          <w:rFonts w:ascii="Times New Roman" w:eastAsia="Arial" w:hAnsi="Times New Roman" w:cs="Times New Roman"/>
          <w:kern w:val="0"/>
          <w:sz w:val="28"/>
          <w:szCs w:val="28"/>
          <w14:ligatures w14:val="none"/>
        </w:rPr>
      </w:pPr>
      <w:r>
        <w:rPr>
          <w:rFonts w:ascii="Times New Roman" w:eastAsia="Arial" w:hAnsi="Times New Roman" w:cs="Times New Roman"/>
          <w:kern w:val="0"/>
          <w:sz w:val="28"/>
          <w:szCs w:val="28"/>
          <w14:ligatures w14:val="none"/>
        </w:rPr>
        <w:t>В связи с этим выявлена необходимость в моделировании бизнес-процессов, существующих на данный момент, а также последующая их автоматизация</w:t>
      </w:r>
    </w:p>
    <w:sectPr w:rsidR="00101231" w:rsidRPr="00923009">
      <w:footerReference w:type="first" r:id="rId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7140586"/>
      <w:docPartObj>
        <w:docPartGallery w:val="Page Numbers (Bottom of Page)"/>
        <w:docPartUnique/>
      </w:docPartObj>
    </w:sdtPr>
    <w:sdtContent>
      <w:p w14:paraId="72A86F0D" w14:textId="77777777" w:rsidR="00101231" w:rsidRDefault="00101231">
        <w:pPr>
          <w:pStyle w:val="ac"/>
          <w:jc w:val="center"/>
        </w:pPr>
        <w:r>
          <w:fldChar w:fldCharType="begin"/>
        </w:r>
        <w:r>
          <w:instrText>PAGE   \* MERGEFORMAT</w:instrText>
        </w:r>
        <w:r>
          <w:fldChar w:fldCharType="separate"/>
        </w:r>
        <w:r>
          <w:rPr>
            <w:noProof/>
          </w:rPr>
          <w:t>111</w:t>
        </w:r>
        <w:r>
          <w:fldChar w:fldCharType="end"/>
        </w:r>
      </w:p>
    </w:sdtContent>
  </w:sdt>
  <w:p w14:paraId="42B92CE6" w14:textId="77777777" w:rsidR="00101231" w:rsidRDefault="00101231">
    <w:pPr>
      <w:pStyle w:val="ac"/>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825D5"/>
    <w:multiLevelType w:val="multilevel"/>
    <w:tmpl w:val="2B1EA9DA"/>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671302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231"/>
    <w:rsid w:val="000155DC"/>
    <w:rsid w:val="00101231"/>
    <w:rsid w:val="005D3714"/>
    <w:rsid w:val="009B357C"/>
    <w:rsid w:val="00B63F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0D450"/>
  <w15:chartTrackingRefBased/>
  <w15:docId w15:val="{E8B8AF13-1B44-4CE0-ADCD-D203268BF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1231"/>
  </w:style>
  <w:style w:type="paragraph" w:styleId="1">
    <w:name w:val="heading 1"/>
    <w:basedOn w:val="a"/>
    <w:next w:val="a"/>
    <w:link w:val="10"/>
    <w:uiPriority w:val="9"/>
    <w:qFormat/>
    <w:rsid w:val="0010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0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0123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0123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0123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0123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0123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0123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0123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0123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0123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0123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0123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0123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0123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01231"/>
    <w:rPr>
      <w:rFonts w:eastAsiaTheme="majorEastAsia" w:cstheme="majorBidi"/>
      <w:color w:val="595959" w:themeColor="text1" w:themeTint="A6"/>
    </w:rPr>
  </w:style>
  <w:style w:type="character" w:customStyle="1" w:styleId="80">
    <w:name w:val="Заголовок 8 Знак"/>
    <w:basedOn w:val="a0"/>
    <w:link w:val="8"/>
    <w:uiPriority w:val="9"/>
    <w:semiHidden/>
    <w:rsid w:val="0010123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01231"/>
    <w:rPr>
      <w:rFonts w:eastAsiaTheme="majorEastAsia" w:cstheme="majorBidi"/>
      <w:color w:val="272727" w:themeColor="text1" w:themeTint="D8"/>
    </w:rPr>
  </w:style>
  <w:style w:type="paragraph" w:styleId="a3">
    <w:name w:val="Title"/>
    <w:basedOn w:val="a"/>
    <w:next w:val="a"/>
    <w:link w:val="a4"/>
    <w:uiPriority w:val="10"/>
    <w:qFormat/>
    <w:rsid w:val="00101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012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123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0123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01231"/>
    <w:pPr>
      <w:spacing w:before="160"/>
      <w:jc w:val="center"/>
    </w:pPr>
    <w:rPr>
      <w:i/>
      <w:iCs/>
      <w:color w:val="404040" w:themeColor="text1" w:themeTint="BF"/>
    </w:rPr>
  </w:style>
  <w:style w:type="character" w:customStyle="1" w:styleId="22">
    <w:name w:val="Цитата 2 Знак"/>
    <w:basedOn w:val="a0"/>
    <w:link w:val="21"/>
    <w:uiPriority w:val="29"/>
    <w:rsid w:val="00101231"/>
    <w:rPr>
      <w:i/>
      <w:iCs/>
      <w:color w:val="404040" w:themeColor="text1" w:themeTint="BF"/>
    </w:rPr>
  </w:style>
  <w:style w:type="paragraph" w:styleId="a7">
    <w:name w:val="List Paragraph"/>
    <w:basedOn w:val="a"/>
    <w:uiPriority w:val="34"/>
    <w:qFormat/>
    <w:rsid w:val="00101231"/>
    <w:pPr>
      <w:ind w:left="720"/>
      <w:contextualSpacing/>
    </w:pPr>
  </w:style>
  <w:style w:type="character" w:styleId="a8">
    <w:name w:val="Intense Emphasis"/>
    <w:basedOn w:val="a0"/>
    <w:uiPriority w:val="21"/>
    <w:qFormat/>
    <w:rsid w:val="00101231"/>
    <w:rPr>
      <w:i/>
      <w:iCs/>
      <w:color w:val="0F4761" w:themeColor="accent1" w:themeShade="BF"/>
    </w:rPr>
  </w:style>
  <w:style w:type="paragraph" w:styleId="a9">
    <w:name w:val="Intense Quote"/>
    <w:basedOn w:val="a"/>
    <w:next w:val="a"/>
    <w:link w:val="aa"/>
    <w:uiPriority w:val="30"/>
    <w:qFormat/>
    <w:rsid w:val="0010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01231"/>
    <w:rPr>
      <w:i/>
      <w:iCs/>
      <w:color w:val="0F4761" w:themeColor="accent1" w:themeShade="BF"/>
    </w:rPr>
  </w:style>
  <w:style w:type="character" w:styleId="ab">
    <w:name w:val="Intense Reference"/>
    <w:basedOn w:val="a0"/>
    <w:uiPriority w:val="32"/>
    <w:qFormat/>
    <w:rsid w:val="00101231"/>
    <w:rPr>
      <w:b/>
      <w:bCs/>
      <w:smallCaps/>
      <w:color w:val="0F4761" w:themeColor="accent1" w:themeShade="BF"/>
      <w:spacing w:val="5"/>
    </w:rPr>
  </w:style>
  <w:style w:type="paragraph" w:styleId="ac">
    <w:name w:val="footer"/>
    <w:basedOn w:val="a"/>
    <w:link w:val="ad"/>
    <w:uiPriority w:val="99"/>
    <w:unhideWhenUsed/>
    <w:rsid w:val="00101231"/>
    <w:pPr>
      <w:tabs>
        <w:tab w:val="center" w:pos="4677"/>
        <w:tab w:val="right" w:pos="9355"/>
      </w:tabs>
      <w:spacing w:after="0" w:line="240" w:lineRule="auto"/>
    </w:pPr>
  </w:style>
  <w:style w:type="character" w:customStyle="1" w:styleId="ad">
    <w:name w:val="Нижний колонтитул Знак"/>
    <w:basedOn w:val="a0"/>
    <w:link w:val="ac"/>
    <w:uiPriority w:val="99"/>
    <w:rsid w:val="001012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1087;&#1088;&#1072;&#1082;&#1090;&#1080;&#1082;&#1080;%20&#1080;%20&#1076;&#1080;&#1087;&#1083;&#1086;&#1084;\&#1090;&#1077;&#1084;&#1087;&#1099;%20&#1087;&#1088;&#1080;&#1088;&#1086;&#1089;&#1090;&#1072;%20&#1048;,&#1069;,&#1086;&#1074;%20(&#1082;&#1086;&#1087;&#1080;&#110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3818445674879242"/>
          <c:y val="6.4820271066588095E-2"/>
          <c:w val="0.51960105644277244"/>
          <c:h val="0.72307963567017297"/>
        </c:manualLayout>
      </c:layout>
      <c:barChart>
        <c:barDir val="bar"/>
        <c:grouping val="clustered"/>
        <c:varyColors val="0"/>
        <c:ser>
          <c:idx val="0"/>
          <c:order val="0"/>
          <c:tx>
            <c:strRef>
              <c:f>Лист1!$D$1</c:f>
              <c:strCache>
                <c:ptCount val="1"/>
                <c:pt idx="0">
                  <c:v>2020 год</c:v>
                </c:pt>
              </c:strCache>
            </c:strRef>
          </c:tx>
          <c:spPr>
            <a:solidFill>
              <a:schemeClr val="accent6"/>
            </a:solidFill>
            <a:ln>
              <a:noFill/>
            </a:ln>
            <a:effectLst/>
          </c:spPr>
          <c:invertIfNegative val="0"/>
          <c:cat>
            <c:strRef>
              <c:f>Лист1!$C$2:$C$6</c:f>
              <c:strCache>
                <c:ptCount val="5"/>
                <c:pt idx="0">
                  <c:v>продукты питания, тонн</c:v>
                </c:pt>
                <c:pt idx="1">
                  <c:v>топливо (нефтесодержащая продукция),тыс тонн</c:v>
                </c:pt>
                <c:pt idx="2">
                  <c:v>руда, тонн</c:v>
                </c:pt>
                <c:pt idx="3">
                  <c:v>сырье для производств, тыс тонн</c:v>
                </c:pt>
                <c:pt idx="4">
                  <c:v>автомобили и запчасти, 1000 шт</c:v>
                </c:pt>
              </c:strCache>
            </c:strRef>
          </c:cat>
          <c:val>
            <c:numRef>
              <c:f>Лист1!$D$2:$D$6</c:f>
              <c:numCache>
                <c:formatCode>#\ ##0.0</c:formatCode>
                <c:ptCount val="5"/>
                <c:pt idx="0">
                  <c:v>790.1</c:v>
                </c:pt>
                <c:pt idx="1">
                  <c:v>195.4</c:v>
                </c:pt>
                <c:pt idx="2">
                  <c:v>213.65</c:v>
                </c:pt>
                <c:pt idx="3">
                  <c:v>316.29999999999995</c:v>
                </c:pt>
                <c:pt idx="4">
                  <c:v>319.10000000000002</c:v>
                </c:pt>
              </c:numCache>
            </c:numRef>
          </c:val>
          <c:extLst>
            <c:ext xmlns:c16="http://schemas.microsoft.com/office/drawing/2014/chart" uri="{C3380CC4-5D6E-409C-BE32-E72D297353CC}">
              <c16:uniqueId val="{00000000-69EB-4DC8-8D40-3368C0A11945}"/>
            </c:ext>
          </c:extLst>
        </c:ser>
        <c:ser>
          <c:idx val="1"/>
          <c:order val="1"/>
          <c:tx>
            <c:strRef>
              <c:f>Лист1!$E$1</c:f>
              <c:strCache>
                <c:ptCount val="1"/>
                <c:pt idx="0">
                  <c:v>2021 год</c:v>
                </c:pt>
              </c:strCache>
            </c:strRef>
          </c:tx>
          <c:spPr>
            <a:solidFill>
              <a:schemeClr val="accent5"/>
            </a:solidFill>
            <a:ln>
              <a:noFill/>
            </a:ln>
            <a:effectLst/>
          </c:spPr>
          <c:invertIfNegative val="0"/>
          <c:cat>
            <c:strRef>
              <c:f>Лист1!$C$2:$C$6</c:f>
              <c:strCache>
                <c:ptCount val="5"/>
                <c:pt idx="0">
                  <c:v>продукты питания, тонн</c:v>
                </c:pt>
                <c:pt idx="1">
                  <c:v>топливо (нефтесодержащая продукция),тыс тонн</c:v>
                </c:pt>
                <c:pt idx="2">
                  <c:v>руда, тонн</c:v>
                </c:pt>
                <c:pt idx="3">
                  <c:v>сырье для производств, тыс тонн</c:v>
                </c:pt>
                <c:pt idx="4">
                  <c:v>автомобили и запчасти, 1000 шт</c:v>
                </c:pt>
              </c:strCache>
            </c:strRef>
          </c:cat>
          <c:val>
            <c:numRef>
              <c:f>Лист1!$E$2:$E$6</c:f>
              <c:numCache>
                <c:formatCode>#\ ##0.0</c:formatCode>
                <c:ptCount val="5"/>
                <c:pt idx="0" formatCode="General">
                  <c:v>862.59999999999991</c:v>
                </c:pt>
                <c:pt idx="1">
                  <c:v>258.3</c:v>
                </c:pt>
                <c:pt idx="2">
                  <c:v>888.36</c:v>
                </c:pt>
                <c:pt idx="3">
                  <c:v>733</c:v>
                </c:pt>
                <c:pt idx="4">
                  <c:v>671.5</c:v>
                </c:pt>
              </c:numCache>
            </c:numRef>
          </c:val>
          <c:extLst>
            <c:ext xmlns:c16="http://schemas.microsoft.com/office/drawing/2014/chart" uri="{C3380CC4-5D6E-409C-BE32-E72D297353CC}">
              <c16:uniqueId val="{00000001-69EB-4DC8-8D40-3368C0A11945}"/>
            </c:ext>
          </c:extLst>
        </c:ser>
        <c:ser>
          <c:idx val="2"/>
          <c:order val="2"/>
          <c:tx>
            <c:strRef>
              <c:f>Лист1!$F$1</c:f>
              <c:strCache>
                <c:ptCount val="1"/>
                <c:pt idx="0">
                  <c:v>2022 год</c:v>
                </c:pt>
              </c:strCache>
            </c:strRef>
          </c:tx>
          <c:spPr>
            <a:solidFill>
              <a:schemeClr val="accent4"/>
            </a:solidFill>
            <a:ln>
              <a:noFill/>
            </a:ln>
            <a:effectLst/>
          </c:spPr>
          <c:invertIfNegative val="0"/>
          <c:cat>
            <c:strRef>
              <c:f>Лист1!$C$2:$C$6</c:f>
              <c:strCache>
                <c:ptCount val="5"/>
                <c:pt idx="0">
                  <c:v>продукты питания, тонн</c:v>
                </c:pt>
                <c:pt idx="1">
                  <c:v>топливо (нефтесодержащая продукция),тыс тонн</c:v>
                </c:pt>
                <c:pt idx="2">
                  <c:v>руда, тонн</c:v>
                </c:pt>
                <c:pt idx="3">
                  <c:v>сырье для производств, тыс тонн</c:v>
                </c:pt>
                <c:pt idx="4">
                  <c:v>автомобили и запчасти, 1000 шт</c:v>
                </c:pt>
              </c:strCache>
            </c:strRef>
          </c:cat>
          <c:val>
            <c:numRef>
              <c:f>Лист1!$F$2:$F$6</c:f>
              <c:numCache>
                <c:formatCode>#\ ##0.0</c:formatCode>
                <c:ptCount val="5"/>
                <c:pt idx="0">
                  <c:v>779.1</c:v>
                </c:pt>
                <c:pt idx="1">
                  <c:v>238.6</c:v>
                </c:pt>
                <c:pt idx="2">
                  <c:v>936.31999999999994</c:v>
                </c:pt>
                <c:pt idx="3">
                  <c:v>1217.8</c:v>
                </c:pt>
                <c:pt idx="4">
                  <c:v>875.9</c:v>
                </c:pt>
              </c:numCache>
            </c:numRef>
          </c:val>
          <c:extLst>
            <c:ext xmlns:c16="http://schemas.microsoft.com/office/drawing/2014/chart" uri="{C3380CC4-5D6E-409C-BE32-E72D297353CC}">
              <c16:uniqueId val="{00000002-69EB-4DC8-8D40-3368C0A11945}"/>
            </c:ext>
          </c:extLst>
        </c:ser>
        <c:dLbls>
          <c:showLegendKey val="0"/>
          <c:showVal val="0"/>
          <c:showCatName val="0"/>
          <c:showSerName val="0"/>
          <c:showPercent val="0"/>
          <c:showBubbleSize val="0"/>
        </c:dLbls>
        <c:gapWidth val="182"/>
        <c:axId val="2091229887"/>
        <c:axId val="70359999"/>
      </c:barChart>
      <c:catAx>
        <c:axId val="209122988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0359999"/>
        <c:crosses val="autoZero"/>
        <c:auto val="1"/>
        <c:lblAlgn val="ctr"/>
        <c:lblOffset val="100"/>
        <c:noMultiLvlLbl val="0"/>
      </c:catAx>
      <c:valAx>
        <c:axId val="70359999"/>
        <c:scaling>
          <c:orientation val="minMax"/>
        </c:scaling>
        <c:delete val="0"/>
        <c:axPos val="b"/>
        <c:majorGridlines>
          <c:spPr>
            <a:ln w="9525" cap="flat" cmpd="sng" algn="ctr">
              <a:solidFill>
                <a:schemeClr val="tx1">
                  <a:lumMod val="15000"/>
                  <a:lumOff val="85000"/>
                </a:schemeClr>
              </a:solidFill>
              <a:round/>
            </a:ln>
            <a:effectLst/>
          </c:spPr>
        </c:majorGridlines>
        <c:numFmt formatCode="#\ ##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912298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900" b="0" i="0" u="none" strike="noStrike" kern="1200" spc="0" baseline="0">
                <a:solidFill>
                  <a:sysClr val="windowText" lastClr="000000">
                    <a:lumMod val="65000"/>
                    <a:lumOff val="35000"/>
                  </a:sysClr>
                </a:solidFill>
                <a:latin typeface="+mn-lt"/>
                <a:ea typeface="+mn-ea"/>
                <a:cs typeface="+mn-cs"/>
              </a:rPr>
              <a:t>2022/2021                              2023/2022                                           2024/2023                                     2025/2024  </a:t>
            </a:r>
          </a:p>
        </c:rich>
      </c:tx>
      <c:layout>
        <c:manualLayout>
          <c:xMode val="edge"/>
          <c:yMode val="edge"/>
          <c:x val="0.13546328992998441"/>
          <c:y val="0.8316930779305971"/>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Лист1!$A$2</c:f>
              <c:strCache>
                <c:ptCount val="1"/>
                <c:pt idx="0">
                  <c:v>Экспорт</c:v>
                </c:pt>
              </c:strCache>
            </c:strRef>
          </c:tx>
          <c:spPr>
            <a:solidFill>
              <a:srgbClr val="99B8C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Лист1!$G$2:$J$2</c:f>
              <c:numCache>
                <c:formatCode>0%</c:formatCode>
                <c:ptCount val="4"/>
                <c:pt idx="0">
                  <c:v>-7.922912205567452E-2</c:v>
                </c:pt>
                <c:pt idx="1">
                  <c:v>-0.37441860465116278</c:v>
                </c:pt>
                <c:pt idx="2">
                  <c:v>3.3457249070631967E-2</c:v>
                </c:pt>
                <c:pt idx="3">
                  <c:v>0.50359712230215825</c:v>
                </c:pt>
              </c:numCache>
            </c:numRef>
          </c:val>
          <c:extLst>
            <c:ext xmlns:c16="http://schemas.microsoft.com/office/drawing/2014/chart" uri="{C3380CC4-5D6E-409C-BE32-E72D297353CC}">
              <c16:uniqueId val="{00000000-5064-4C81-91C9-827E114F4FEA}"/>
            </c:ext>
          </c:extLst>
        </c:ser>
        <c:ser>
          <c:idx val="1"/>
          <c:order val="1"/>
          <c:tx>
            <c:strRef>
              <c:f>Лист1!$A$3</c:f>
              <c:strCache>
                <c:ptCount val="1"/>
                <c:pt idx="0">
                  <c:v>Импорт</c:v>
                </c:pt>
              </c:strCache>
            </c:strRef>
          </c:tx>
          <c:spPr>
            <a:solidFill>
              <a:schemeClr val="accent1">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Лист1!$G$3:$J$3</c:f>
              <c:numCache>
                <c:formatCode>0%</c:formatCode>
                <c:ptCount val="4"/>
                <c:pt idx="0">
                  <c:v>-0.16507936507936508</c:v>
                </c:pt>
                <c:pt idx="1">
                  <c:v>-6.8441064638783272E-2</c:v>
                </c:pt>
                <c:pt idx="2">
                  <c:v>8.1632653061224497E-3</c:v>
                </c:pt>
                <c:pt idx="3">
                  <c:v>0.12955465587044535</c:v>
                </c:pt>
              </c:numCache>
            </c:numRef>
          </c:val>
          <c:extLst>
            <c:ext xmlns:c16="http://schemas.microsoft.com/office/drawing/2014/chart" uri="{C3380CC4-5D6E-409C-BE32-E72D297353CC}">
              <c16:uniqueId val="{00000001-5064-4C81-91C9-827E114F4FEA}"/>
            </c:ext>
          </c:extLst>
        </c:ser>
        <c:ser>
          <c:idx val="2"/>
          <c:order val="2"/>
          <c:tx>
            <c:strRef>
              <c:f>Лист1!$A$4</c:f>
              <c:strCache>
                <c:ptCount val="1"/>
                <c:pt idx="0">
                  <c:v>Внешнетоговый оборот</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Лист1!$G$4:$J$4</c:f>
              <c:numCache>
                <c:formatCode>0%</c:formatCode>
                <c:ptCount val="4"/>
                <c:pt idx="0">
                  <c:v>-0.11381074168797954</c:v>
                </c:pt>
                <c:pt idx="1">
                  <c:v>-0.2582972582972583</c:v>
                </c:pt>
                <c:pt idx="2">
                  <c:v>2.1400778210116732E-2</c:v>
                </c:pt>
                <c:pt idx="3">
                  <c:v>0.32761904761904764</c:v>
                </c:pt>
              </c:numCache>
            </c:numRef>
          </c:val>
          <c:extLst>
            <c:ext xmlns:c16="http://schemas.microsoft.com/office/drawing/2014/chart" uri="{C3380CC4-5D6E-409C-BE32-E72D297353CC}">
              <c16:uniqueId val="{00000002-5064-4C81-91C9-827E114F4FEA}"/>
            </c:ext>
          </c:extLst>
        </c:ser>
        <c:dLbls>
          <c:dLblPos val="outEnd"/>
          <c:showLegendKey val="0"/>
          <c:showVal val="1"/>
          <c:showCatName val="0"/>
          <c:showSerName val="0"/>
          <c:showPercent val="0"/>
          <c:showBubbleSize val="0"/>
        </c:dLbls>
        <c:gapWidth val="219"/>
        <c:overlap val="-27"/>
        <c:axId val="725207936"/>
        <c:axId val="725213216"/>
      </c:barChart>
      <c:catAx>
        <c:axId val="725207936"/>
        <c:scaling>
          <c:orientation val="minMax"/>
        </c:scaling>
        <c:delete val="1"/>
        <c:axPos val="b"/>
        <c:majorTickMark val="none"/>
        <c:minorTickMark val="none"/>
        <c:tickLblPos val="nextTo"/>
        <c:crossAx val="725213216"/>
        <c:crosses val="autoZero"/>
        <c:auto val="1"/>
        <c:lblAlgn val="ctr"/>
        <c:lblOffset val="100"/>
        <c:noMultiLvlLbl val="0"/>
      </c:catAx>
      <c:valAx>
        <c:axId val="72521321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25207936"/>
        <c:crosses val="autoZero"/>
        <c:crossBetween val="between"/>
      </c:valAx>
      <c:spPr>
        <a:noFill/>
        <a:ln>
          <a:noFill/>
        </a:ln>
        <a:effectLst/>
      </c:spPr>
    </c:plotArea>
    <c:legend>
      <c:legendPos val="b"/>
      <c:layout>
        <c:manualLayout>
          <c:xMode val="edge"/>
          <c:yMode val="edge"/>
          <c:x val="0.27004565187645385"/>
          <c:y val="0.89834266198652879"/>
          <c:w val="0.4556959526978559"/>
          <c:h val="0.1016573380134712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5"/>
    </mc:Choice>
    <mc:Fallback>
      <c:style val="5"/>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Лист1!$B$1</c:f>
              <c:strCache>
                <c:ptCount val="1"/>
                <c:pt idx="0">
                  <c:v>Ряд 1</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Лист1!$A$2:$A$6</c:f>
              <c:numCache>
                <c:formatCode>General</c:formatCode>
                <c:ptCount val="5"/>
                <c:pt idx="0">
                  <c:v>2021</c:v>
                </c:pt>
                <c:pt idx="1">
                  <c:v>2022</c:v>
                </c:pt>
                <c:pt idx="2">
                  <c:v>2023</c:v>
                </c:pt>
                <c:pt idx="3">
                  <c:v>2024</c:v>
                </c:pt>
                <c:pt idx="4">
                  <c:v>2025</c:v>
                </c:pt>
              </c:numCache>
            </c:numRef>
          </c:cat>
          <c:val>
            <c:numRef>
              <c:f>Лист1!$B$2:$B$6</c:f>
              <c:numCache>
                <c:formatCode>General</c:formatCode>
                <c:ptCount val="5"/>
                <c:pt idx="0">
                  <c:v>67.900000000000006</c:v>
                </c:pt>
                <c:pt idx="1">
                  <c:v>74.7</c:v>
                </c:pt>
                <c:pt idx="2">
                  <c:v>85.9</c:v>
                </c:pt>
                <c:pt idx="3">
                  <c:v>94.4</c:v>
                </c:pt>
                <c:pt idx="4">
                  <c:v>108.6</c:v>
                </c:pt>
              </c:numCache>
            </c:numRef>
          </c:val>
          <c:extLst>
            <c:ext xmlns:c16="http://schemas.microsoft.com/office/drawing/2014/chart" uri="{C3380CC4-5D6E-409C-BE32-E72D297353CC}">
              <c16:uniqueId val="{00000000-CA90-40F4-858E-59A723D877CE}"/>
            </c:ext>
          </c:extLst>
        </c:ser>
        <c:dLbls>
          <c:dLblPos val="outEnd"/>
          <c:showLegendKey val="0"/>
          <c:showVal val="1"/>
          <c:showCatName val="0"/>
          <c:showSerName val="0"/>
          <c:showPercent val="0"/>
          <c:showBubbleSize val="0"/>
        </c:dLbls>
        <c:gapWidth val="444"/>
        <c:overlap val="-90"/>
        <c:axId val="1842918575"/>
        <c:axId val="1842920495"/>
      </c:barChart>
      <c:catAx>
        <c:axId val="184291857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ru-RU"/>
          </a:p>
        </c:txPr>
        <c:crossAx val="1842920495"/>
        <c:crosses val="autoZero"/>
        <c:auto val="1"/>
        <c:lblAlgn val="ctr"/>
        <c:lblOffset val="100"/>
        <c:noMultiLvlLbl val="0"/>
      </c:catAx>
      <c:valAx>
        <c:axId val="1842920495"/>
        <c:scaling>
          <c:orientation val="minMax"/>
        </c:scaling>
        <c:delete val="1"/>
        <c:axPos val="l"/>
        <c:numFmt formatCode="General" sourceLinked="1"/>
        <c:majorTickMark val="none"/>
        <c:minorTickMark val="none"/>
        <c:tickLblPos val="nextTo"/>
        <c:crossAx val="184291857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6">
  <a:schemeClr val="accent3"/>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9</TotalTime>
  <Pages>9</Pages>
  <Words>2080</Words>
  <Characters>11860</Characters>
  <Application>Microsoft Office Word</Application>
  <DocSecurity>0</DocSecurity>
  <Lines>98</Lines>
  <Paragraphs>27</Paragraphs>
  <ScaleCrop>false</ScaleCrop>
  <Company/>
  <LinksUpToDate>false</LinksUpToDate>
  <CharactersWithSpaces>13913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Полина Мищенко</dc:creator>
  <cp:keywords/>
  <dc:description/>
  <cp:lastModifiedBy>Полина Мищенко</cp:lastModifiedBy>
  <cp:revision>1</cp:revision>
  <dcterms:created xsi:type="dcterms:W3CDTF">2026-05-31T19:03:00Z</dcterms:created>
  <dcterms:modified xsi:type="dcterms:W3CDTF">2026-05-31T19:14:00Z</dcterms:modified>
</cp:coreProperties>
</file>