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Structured Observation Analysis of AI-biosecurity Papers in Four Categories 092026 — Papers and Sources by Group</w:t>
      </w:r>
    </w:p>
    <w:p>
      <w:r>
        <w:rPr>
          <w:b/>
          <w:color w:val="1F3D61"/>
        </w:rPr>
        <w:t>Independent structured-observation analysis of AI-bio security · 20 September 2026</w:t>
      </w:r>
    </w:p>
    <w:p>
      <w:r>
        <w:t>Purpose: a shareable reading list organized by the fthe analysis groups so collaborators can identify missing or additional literature. Entries reproduce the author/developer/organization and year metadata currently recorded in the corpus; links point to the canonical source used for coding.</w:t>
      </w:r>
    </w:p>
    <w:p>
      <w:r>
        <w:rPr>
          <w:b/>
        </w:rPr>
        <w:t xml:space="preserve">Note for publication use: </w:t>
      </w:r>
      <w:r>
        <w:t>this is a corpus bibliography, not a publication-ready reference list. Several project/report entries use organizational authorship or corpus metadata rather than a complete journal author list. Verify bibliographic details against the linked source before citing in a manuscript.</w:t>
      </w:r>
    </w:p>
    <w:p>
      <w:pPr>
        <w:pStyle w:val="Heading1"/>
      </w:pPr>
      <w:r>
        <w:t>1. Funding and research ecosystem</w:t>
      </w:r>
    </w:p>
    <w:p>
      <w:r>
        <w:t>Funded projects, papers, benchmarks, and research artifacts used to examine which problems, constructs, and system boundaries are being prioritized.</w:t>
      </w:r>
    </w:p>
    <w:p>
      <w:r>
        <w:rPr>
          <w:i/>
        </w:rPr>
        <w:t>50 unique linked entries in this group.</w:t>
      </w:r>
    </w:p>
    <w:p>
      <w:pPr>
        <w:spacing w:after="100"/>
        <w:ind w:left="216" w:hanging="216"/>
      </w:pPr>
      <w:r>
        <w:t>FutureHouse. (2024-2025). LAB-Bench: Measuring Capabilities of Language Models for Biology Research.</w:t>
      </w:r>
      <w:r>
        <w:t xml:space="preserve"> [Benchmark paper] </w:t>
      </w:r>
      <w:hyperlink r:id="rId9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Stanford / Percy Liang et al.. (2024-2025). Cybench: A Framework for Evaluating Cybersecurity Capabilities and Risks of Language Models.</w:t>
      </w:r>
      <w:r>
        <w:t xml:space="preserve"> [Benchmark paper] </w:t>
      </w:r>
      <w:hyperlink r:id="rId10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SecureBio AIxBio. (2024-2025). Virology Capabilities Test (VCT): A Multimodal Virology Q&amp;A Benchmark.</w:t>
      </w:r>
      <w:r>
        <w:t xml:space="preserve"> [Benchmark paper] </w:t>
      </w:r>
      <w:hyperlink r:id="rId11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Nemesys Insights. (2024-2025). Biothreat Benchmark Generation Framework I &amp; II / Bacterial Biothreat Benchmark.</w:t>
      </w:r>
      <w:r>
        <w:t xml:space="preserve"> [Framework + benchmark papers] </w:t>
      </w:r>
      <w:hyperlink r:id="rId12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Sentinel Bio. (2025-2026). Large-scale wet-lab human uplift study.</w:t>
      </w:r>
      <w:r>
        <w:t xml:space="preserve"> [Ongoing experimental study] </w:t>
      </w:r>
      <w:hyperlink r:id="rId13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FAR.AI. (2026). AI Persuasion as a Threat to Human Control.</w:t>
      </w:r>
      <w:r>
        <w:t xml:space="preserve"> [Threat model + expert elicitation + preliminary eval] </w:t>
      </w:r>
      <w:hyperlink r:id="rId14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Stanford Intelligent Systems Laboratory (Corso, Kochenderfer et al.). (2023). A Holistic Assessment of the Reliability of Machine Learning Systems.</w:t>
      </w:r>
      <w:r>
        <w:t xml:space="preserve"> [Empirical reliability paper] </w:t>
      </w:r>
      <w:hyperlink r:id="rId15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Florian Tramèr et al., ETH Zurich. (2025). Defeating Prompt Injections by Design (CaMeL).</w:t>
      </w:r>
      <w:r>
        <w:t xml:space="preserve"> [Security method paper] </w:t>
      </w:r>
      <w:hyperlink r:id="rId16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FAR.AI / Kellin Pelrine &amp; collaborators. (2025-2026). AI-driven deception and disinformation research program.</w:t>
      </w:r>
      <w:r>
        <w:t xml:space="preserve"> [Funded research project] </w:t>
      </w:r>
      <w:hyperlink r:id="rId17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SecureBio. (2025). General support of SecureBio.</w:t>
      </w:r>
      <w:r>
        <w:t xml:space="preserve"> [Organizational grant] </w:t>
      </w:r>
      <w:hyperlink r:id="rId18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Apollo Research. (2025). Building black box scheming monitors for frontier AI agents.</w:t>
      </w:r>
      <w:r>
        <w:t xml:space="preserve"> [Funded research project] </w:t>
      </w:r>
      <w:hyperlink r:id="rId19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California Institute of Technology. (2025). AI-driven Detection of Protein Mimetic Biothreats with BioSentinel.</w:t>
      </w:r>
      <w:r>
        <w:t xml:space="preserve"> [Funded biosecurity project] </w:t>
      </w:r>
      <w:hyperlink r:id="rId19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Institute for Decentralized AI / Cosmos Institute. (2025). Scalable, Decentralized Oversight for Multi-Agent Networks.</w:t>
      </w:r>
      <w:r>
        <w:t xml:space="preserve"> [Funded research project] </w:t>
      </w:r>
      <w:hyperlink r:id="rId19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Faculty AI. (2025). Automated Red-Teaming for Biosecurity Risks.</w:t>
      </w:r>
      <w:r>
        <w:t xml:space="preserve"> [Funded biosecurity evaluation project] </w:t>
      </w:r>
      <w:hyperlink r:id="rId19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FAR.AI. (2025). Quantifying the Safety-Adversary Gap in Large Language Models.</w:t>
      </w:r>
      <w:r>
        <w:t xml:space="preserve"> [Funded evaluation project] </w:t>
      </w:r>
      <w:hyperlink r:id="rId19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FutureHouse, Inc.. (2025). Pioneering AI-Driven Experimental Design: Benchmarks for Responsible Innovation.</w:t>
      </w:r>
      <w:r>
        <w:t xml:space="preserve"> [Funded biology evaluation project] </w:t>
      </w:r>
      <w:hyperlink r:id="rId19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Morgan State University. (2025). Evaluating AI-Assisted Cybersecurity Operations: Comparative Analysis of Human Performance with and without AI Tools.</w:t>
      </w:r>
      <w:r>
        <w:t xml:space="preserve"> [Funded human-uplift study] </w:t>
      </w:r>
      <w:hyperlink r:id="rId19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Nemesys Insights LLC. (2025). ICS Benchmark and Human Uplift Study.</w:t>
      </w:r>
      <w:r>
        <w:t xml:space="preserve"> [Funded cyber evaluation project] </w:t>
      </w:r>
      <w:hyperlink r:id="rId19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SecureBio. (2025). Evaluations to Assess Agent AIs’ Execution of Tasks That Could Enable Large-scale Harm.</w:t>
      </w:r>
      <w:r>
        <w:t xml:space="preserve"> [Funded agent evaluation project] </w:t>
      </w:r>
      <w:hyperlink r:id="rId19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University of Illinois Urbana-Champaign. (2025). Cybersecurity Risk Evaluations of AI Agents with Computer Interaction Capabilities.</w:t>
      </w:r>
      <w:r>
        <w:t xml:space="preserve"> [Funded cyber agent evaluation] </w:t>
      </w:r>
      <w:hyperlink r:id="rId19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University of Toronto. (2025). Analyzing the Emergent Role of Sanctioning in Regulating Multi-Agent LLM Systems.</w:t>
      </w:r>
      <w:r>
        <w:t xml:space="preserve"> [Funded multi-agent safety project] </w:t>
      </w:r>
      <w:hyperlink r:id="rId19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Center for AI Safety. (2024-2026). Measuring and mitigating AI deception.</w:t>
      </w:r>
      <w:r>
        <w:t xml:space="preserve"> [Funded technical research] </w:t>
      </w:r>
      <w:hyperlink r:id="rId20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Peter Henderson / Princeton University. (2024-2026). Safety of different model release strategies.</w:t>
      </w:r>
      <w:r>
        <w:t xml:space="preserve"> [Funded technical research] </w:t>
      </w:r>
      <w:hyperlink r:id="rId20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Tim G. J. Rudner / New York University. (2024-2026). Quantifying uncertainty in large language models.</w:t>
      </w:r>
      <w:r>
        <w:t xml:space="preserve"> [Funded technical research] </w:t>
      </w:r>
      <w:hyperlink r:id="rId20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Percy Liang and Daniel Ho / Stanford University. (2024-2026). What model access is needed to meaningfully audit frontier models.</w:t>
      </w:r>
      <w:r>
        <w:t xml:space="preserve"> [Funded audit-access research] </w:t>
      </w:r>
      <w:hyperlink r:id="rId20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Partnership on AI. (2024-2026). Framework for post-deployment monitoring of AI agents.</w:t>
      </w:r>
      <w:r>
        <w:t xml:space="preserve"> [Funded monitoring framework] </w:t>
      </w:r>
      <w:hyperlink r:id="rId20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UC Berkeley Center for Long-Term Cybersecurity / AI Security Initiative. (2024-2026). Defining intolerable risk thresholds for frontier AI systems.</w:t>
      </w:r>
      <w:r>
        <w:t xml:space="preserve"> [Funded risk-threshold research] </w:t>
      </w:r>
      <w:hyperlink r:id="rId20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Andrea Bajcsy / Carnegie Mellon University + collaborators. (2025). Adversarial multi-player games for evaluating AI safety.</w:t>
      </w:r>
      <w:r>
        <w:t xml:space="preserve"> [Funded evaluation research] </w:t>
      </w:r>
      <w:hyperlink r:id="rId21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Maarten Sap / Graham Neubig et al.. (2025). OpenAgentSafety.</w:t>
      </w:r>
      <w:r>
        <w:t xml:space="preserve"> [Evaluation paper / benchmark] </w:t>
      </w:r>
      <w:hyperlink r:id="rId22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Bo Li / University of Illinois Urbana-Champaign. (2025). Virtual environment and advanced red teaming algorithms for AI systems and agents.</w:t>
      </w:r>
      <w:r>
        <w:t xml:space="preserve"> [Funded evaluation infrastructure] </w:t>
      </w:r>
      <w:hyperlink r:id="rId23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Sanjeev Arora / Princeton University. (2025). Framework for measuring upper-bound AI risk via skill emergence and LLM metacognition.</w:t>
      </w:r>
      <w:r>
        <w:t xml:space="preserve"> [Funded evaluation research] </w:t>
      </w:r>
      <w:hyperlink r:id="rId24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Eugene Bagdasarian &amp; Shlomo Zilberstein / UMass Amherst. (2025). Methodology for AI agents to evaluate trustworthiness of other AI agents.</w:t>
      </w:r>
      <w:r>
        <w:t xml:space="preserve"> [Funded multi-agent safety research] </w:t>
      </w:r>
      <w:hyperlink r:id="rId25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Anna Leshinskaya / UC Irvine + collaborators. (2025). Mechanistic cognitive evaluation framework for moral decision-making in AI and humans.</w:t>
      </w:r>
      <w:r>
        <w:t xml:space="preserve"> [Funded evaluation research] </w:t>
      </w:r>
      <w:hyperlink r:id="rId26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Tatsu Hashimoto / Stanford University. (2025). New safety metrics for proactively identifying emergent unsafe AI capabilities.</w:t>
      </w:r>
      <w:r>
        <w:t xml:space="preserve"> [Funded measurement research] </w:t>
      </w:r>
      <w:hyperlink r:id="rId27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Yu Su / Ohio State University + collaborators. (2025). Virtual environment for testing and defending computer-use AI agents in adversarial web settings.</w:t>
      </w:r>
      <w:r>
        <w:t xml:space="preserve"> [Funded agent-safety evaluation infrastructure] </w:t>
      </w:r>
      <w:hyperlink r:id="rId28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Evan Miyazono &amp; Daniel Windham / Atlas Computing. (2025). AI tool for generating, reviewing, and validating formal specifications for code.</w:t>
      </w:r>
      <w:r>
        <w:t xml:space="preserve"> [Funded verification infrastructure] </w:t>
      </w:r>
      <w:hyperlink r:id="rId29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Dawn Song / UC Berkeley. (2025). Safety in multi-agent systems using theory, representation engineering, and simulation.</w:t>
      </w:r>
      <w:r>
        <w:t xml:space="preserve"> [Funded multi-agent safety research] </w:t>
      </w:r>
      <w:hyperlink r:id="rId30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Matthias Hein &amp; Jonas Geiping / University of Tübingen. (2025). Investigation of why AI systems become less safe over extended operation.</w:t>
      </w:r>
      <w:r>
        <w:t xml:space="preserve"> [Funded long-horizon safety research] </w:t>
      </w:r>
      <w:hyperlink r:id="rId31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Zhijing Jin &amp; Mrinmaya Sachan / University of Toronto. (2025). Distinguishing genuine reasoning from memorization in LLMs.</w:t>
      </w:r>
      <w:r>
        <w:t xml:space="preserve"> [Funded evaluation/interpretability research] </w:t>
      </w:r>
      <w:hyperlink r:id="rId32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Sharon Li / University of Wisconsin-Madison. (2025). Formal confidence guarantees for generative LLM outputs using conformal prediction.</w:t>
      </w:r>
      <w:r>
        <w:t xml:space="preserve"> [Funded uncertainty/reliability research] </w:t>
      </w:r>
      <w:hyperlink r:id="rId33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Karthik Narasimhan / Princeton University. (2025). Benchmarks, tests, and metrics for reliability and catastrophic failures of software-engineering agents.</w:t>
      </w:r>
      <w:r>
        <w:t xml:space="preserve"> [Funded agent reliability evaluation] </w:t>
      </w:r>
      <w:hyperlink r:id="rId34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Arvind Narayanan / Princeton University. (2025). Verifier-based methods for improving AI-agent reliability.</w:t>
      </w:r>
      <w:r>
        <w:t xml:space="preserve"> [Funded agent assurance research] </w:t>
      </w:r>
      <w:hyperlink r:id="rId35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Ziang Xiao / Johns Hopkins University. (2025). Psychometric analysis and toolkit for improved AI benchmarks.</w:t>
      </w:r>
      <w:r>
        <w:t xml:space="preserve"> [Funded benchmark-science research] </w:t>
      </w:r>
      <w:hyperlink r:id="rId36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Nicolas Flammarion / EPFL. (2025). Safety judges for LLM agents with stringent accuracy and robustness protocols.</w:t>
      </w:r>
      <w:r>
        <w:t xml:space="preserve"> [Funded evaluator/judge research] </w:t>
      </w:r>
      <w:hyperlink r:id="rId37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Program-level / open research community. (2026). Science of Trustworthy AI: Research Agenda.</w:t>
      </w:r>
      <w:r>
        <w:t xml:space="preserve"> [Research agenda / funding problem framing] </w:t>
      </w:r>
      <w:hyperlink r:id="rId38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Center for Open Science + academic partners. (2026). ReplicatorBench / Benchmarking LLM Agents on Scientific Tasks.</w:t>
      </w:r>
      <w:r>
        <w:t xml:space="preserve"> [Funded benchmark + infrastructure] </w:t>
      </w:r>
      <w:hyperlink r:id="rId39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Active Site Research. (2026). General support for Active Site.</w:t>
      </w:r>
      <w:r>
        <w:t xml:space="preserve"> [Organizational grant] </w:t>
      </w:r>
      <w:hyperlink r:id="rId40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Active Site Research and collaborators. (2026). Measuring Mid-2025 LLM-Assistance on Novice Performance in Biology.</w:t>
      </w:r>
      <w:r>
        <w:t xml:space="preserve"> [Project-specific wet-lab randomized trial] </w:t>
      </w:r>
      <w:hyperlink r:id="rId41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Open call / prospective grantees. (2026). Request for Proposals: Biosecurity.</w:t>
      </w:r>
      <w:r>
        <w:t xml:space="preserve"> [Funding agenda / problem framing] </w:t>
      </w:r>
      <w:hyperlink r:id="rId42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Open call / prospective grantees. (2026). Scaling AI Safety for a Multi-Agent World.</w:t>
      </w:r>
      <w:r>
        <w:t xml:space="preserve"> [Joint funding agenda / RFP] </w:t>
      </w:r>
      <w:hyperlink r:id="rId43">
        <w:r>
          <w:rPr>
            <w:color w:val="0563C1"/>
            <w:u w:val="single"/>
          </w:rPr>
          <w:t>Source</w:t>
        </w:r>
      </w:hyperlink>
    </w:p>
    <w:p>
      <w:pPr>
        <w:pStyle w:val="Heading1"/>
      </w:pPr>
      <w:r>
        <w:t>2. AI / AI-bio evaluations</w:t>
      </w:r>
    </w:p>
    <w:p>
      <w:r>
        <w:t>Evaluation and benchmark literature used to examine what is measured, at what system boundary, and what security or capability inference follows.</w:t>
      </w:r>
    </w:p>
    <w:p>
      <w:r>
        <w:rPr>
          <w:i/>
        </w:rPr>
        <w:t>42 unique linked entries in this group.</w:t>
      </w:r>
    </w:p>
    <w:p>
      <w:pPr>
        <w:spacing w:after="100"/>
        <w:ind w:left="216" w:hanging="216"/>
      </w:pPr>
      <w:r>
        <w:t>FutureHouse / Laurent et al.. (2024). LAB-Bench.</w:t>
      </w:r>
      <w:r>
        <w:t xml:space="preserve"> [Practical biology research capability] </w:t>
      </w:r>
      <w:hyperlink r:id="rId9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SecureBio. (2025). Virology Capabilities Test (VCT).</w:t>
      </w:r>
      <w:r>
        <w:t xml:space="preserve"> [Tacit/practical virology troubleshooting knowledge] </w:t>
      </w:r>
      <w:hyperlink r:id="rId11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Liu et al. / SecureBio-affiliated authors. (2026). ABC-Bench.</w:t>
      </w:r>
      <w:r>
        <w:t xml:space="preserve"> [Agentic bio capability: lab automation, DNA assembly design, screening evasion] </w:t>
      </w:r>
      <w:hyperlink r:id="rId44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Kim &amp; Romero. (2026). BioDesignBench.</w:t>
      </w:r>
      <w:r>
        <w:t xml:space="preserve"> [LLM-agent protein design workflow performance] </w:t>
      </w:r>
      <w:hyperlink r:id="rId45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Ikonomova et al. / NIST + collaborators. (2025-2026). AIPD TEVV with safe biological proxies.</w:t>
      </w:r>
      <w:r>
        <w:t xml:space="preserve"> [AI-assisted protein redesign while retaining function and evading screening] </w:t>
      </w:r>
      <w:hyperlink r:id="rId46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Romero-Severson et al.. (2025). LANL skill-based uplift wet-lab pilot.</w:t>
      </w:r>
      <w:r>
        <w:t xml:space="preserve"> [Human skill uplift from AI in real lab] </w:t>
      </w:r>
      <w:hyperlink r:id="rId47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Weidener et al.. (2026). RefusalBench.</w:t>
      </w:r>
      <w:r>
        <w:t xml:space="preserve"> [Refusal calibration on benign/borderline/dual-use biological prompts] </w:t>
      </w:r>
      <w:hyperlink r:id="rId48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Marshall et al. / SecureBio. (2026). BioTIER.</w:t>
      </w:r>
      <w:r>
        <w:t xml:space="preserve"> [Targeted refusal of hazardous biology while permitting benign use] </w:t>
      </w:r>
      <w:hyperlink r:id="rId49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Ackerman et al. / Nemesys Insights. (2025). Bacterial Biothreat Benchmark (B3) / BBG implementation.</w:t>
      </w:r>
      <w:r>
        <w:t xml:space="preserve"> [Model uplift / general harm potential across bacterial biothreat chain] </w:t>
      </w:r>
      <w:hyperlink r:id="rId50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Wittmann et al. / collaborators. (2026). Sequence-based biosecurity screening resilience study.</w:t>
      </w:r>
      <w:r>
        <w:t xml:space="preserve"> [BSS detection of AI-reformulated/fragmented sequences] </w:t>
      </w:r>
      <w:hyperlink r:id="rId51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OpenAI + Red Queen Bio + Robot on Rails. (2025). OpenAI / Red Queen Bio wet-lab optimization evaluation.</w:t>
      </w:r>
      <w:r>
        <w:t xml:space="preserve"> [AI-directed experimental optimization and automated execution] </w:t>
      </w:r>
      <w:hyperlink r:id="rId52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Fa et al. / Entropic + University of Zagreb. (2026). BioAgent Bench.</w:t>
      </w:r>
      <w:r>
        <w:t xml:space="preserve"> [Robust end-to-end bioinformatics agent performance] </w:t>
      </w:r>
      <w:hyperlink r:id="rId53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Bhasin et al. / LatchBio and collaborators. (2026). BioSecBench-Surveillance.</w:t>
      </w:r>
      <w:r>
        <w:t xml:space="preserve"> [Agent capability for pathogen genomic surveillance] </w:t>
      </w:r>
      <w:hyperlink r:id="rId54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Qu et al.. (2026). BiomniBench.</w:t>
      </w:r>
      <w:r>
        <w:t xml:space="preserve"> [Process-level biomedical research agent evaluation] </w:t>
      </w:r>
      <w:hyperlink r:id="rId55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Multi-institution biomedical ML team. (2025-2026). BioML-bench.</w:t>
      </w:r>
      <w:r>
        <w:t xml:space="preserve"> [End-to-end biomedical machine-learning agent capability] </w:t>
      </w:r>
      <w:hyperlink r:id="rId56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Jeremy Li, Andrew Ho / OpenAI. (2026). GeneBench / GeneBench-Pro.</w:t>
      </w:r>
      <w:r>
        <w:t xml:space="preserve"> [Multi-stage reasoning in genomics, quantitative biology and translational biomedicine] </w:t>
      </w:r>
      <w:hyperlink r:id="rId57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Vijayvargiya et al. / CMU, AI2. (2025-2026). OpenAgentSafety.</w:t>
      </w:r>
      <w:r>
        <w:t xml:space="preserve"> [Safety of tool-using AI agents in realistic organizational scenarios] </w:t>
      </w:r>
      <w:hyperlink r:id="rId22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Lennart Justen. (2025). LLMs Outperform Experts on Challenging Biology Benchmarks.</w:t>
      </w:r>
      <w:r>
        <w:t xml:space="preserve"> [Cross-benchmark trend analysis of biology capability] </w:t>
      </w:r>
      <w:hyperlink r:id="rId58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Mitchener, Laurent, Andonian, Tenmann, Narayanan, Wellawatte, White, Sani, Rodriques / FutureHouse &amp; ScienceMachine. (2025). BixBench.</w:t>
      </w:r>
      <w:r>
        <w:t xml:space="preserve"> [Autonomous bioinformatics analysis over real datasets] </w:t>
      </w:r>
      <w:hyperlink r:id="rId59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Kyle O’Connell / Deloitte Consulting LLP, Anthropic Alliance; Biomedical Data Science Team. (2026). ClaroAI-Bench.</w:t>
      </w:r>
      <w:r>
        <w:t xml:space="preserve"> [Reproducibility of published biomedical computational findings by AI agents] </w:t>
      </w:r>
      <w:hyperlink r:id="rId60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Li et al.. (2026). BioXArena.</w:t>
      </w:r>
      <w:r>
        <w:t xml:space="preserve"> [End-to-end biomedical machine-learning pipeline construction] </w:t>
      </w:r>
      <w:hyperlink r:id="rId61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Johri et al. / Dana-Farber, Broad and collaborators. (2026). M3A: agentic AI for biological discovery in autonomous and copilot settings.</w:t>
      </w:r>
      <w:r>
        <w:t xml:space="preserve"> [Open-ended biological discovery over multi-omic single-cell data] </w:t>
      </w:r>
      <w:hyperlink r:id="rId62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Guo et al. / PromptBio Inc.. (2026). PromptBio-Bench.</w:t>
      </w:r>
      <w:r>
        <w:t xml:space="preserve"> [End-to-end bioinformatics/data-science workflow automation] </w:t>
      </w:r>
      <w:hyperlink r:id="rId63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Liu, Zhou, He, Shen, Li. (2025). Benchmarking LLM-based Agents for Single-cell Omics Analysis.</w:t>
      </w:r>
      <w:r>
        <w:t xml:space="preserve"> [Single-cell omics analytical-agent performance] </w:t>
      </w:r>
      <w:hyperlink r:id="rId64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Liang Wang et al.. (2026). Open-Rosalind.</w:t>
      </w:r>
      <w:r>
        <w:t xml:space="preserve"> [Auditable biomedical agents under constrained tool mediation] </w:t>
      </w:r>
      <w:hyperlink r:id="rId65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Authors per bioRxiv 2026.01.05.697809. (2026). Can AI Conduct Autonomous Scientific Research? Case Studies on Two Real-World Tasks.</w:t>
      </w:r>
      <w:r>
        <w:t xml:space="preserve"> [Claims of autonomous end-to-end scientific research] </w:t>
      </w:r>
      <w:hyperlink r:id="rId66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Song et al.. (2026). Compiler-Verified Protocols for Real-World AI Execution.</w:t>
      </w:r>
      <w:r>
        <w:t xml:space="preserve"> [Translation of laboratory protocols into reproducible executable representations] </w:t>
      </w:r>
      <w:hyperlink r:id="rId67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Qu et al.. (2025-2026). CRISPR-GPT / Gene-editing bench.</w:t>
      </w:r>
      <w:r>
        <w:t xml:space="preserve"> [AI-guided end-to-end CRISPR experiment design, tool use, and analysis] </w:t>
      </w:r>
      <w:hyperlink r:id="rId68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Google Research / collaborators. (2026). AI Co-Scientist wet-lab validation.</w:t>
      </w:r>
      <w:r>
        <w:t xml:space="preserve"> [Multi-agent hypothesis generation and scientific proposal quality with end-to-end biomedical validation] </w:t>
      </w:r>
      <w:hyperlink r:id="rId69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Authors of BioMedAgent, Nature Biomedical Engineering. (2026). BioMedAgent / BioMed-AQA.</w:t>
      </w:r>
      <w:r>
        <w:t xml:space="preserve"> [Autonomous tool-aware biomedical data analysis] </w:t>
      </w:r>
      <w:hyperlink r:id="rId70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Hong et al. / Active Site and collaborators. (2026). Measuring Mid-2025 LLM-Assistance on Novice Performance in Biology.</w:t>
      </w:r>
      <w:r>
        <w:t xml:space="preserve"> [Human biological uplift in physical lab] </w:t>
      </w:r>
      <w:hyperlink r:id="rId41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Zhang et al. / Scale AI, SecureBio, Oxford, UC Berkeley. (2026). LLM Novice Uplift on Dual-Use, In Silico Biology Tasks.</w:t>
      </w:r>
      <w:r>
        <w:t xml:space="preserve"> [Human biological uplift in digital tasks] </w:t>
      </w:r>
      <w:hyperlink r:id="rId71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Laurent et al. / FutureHouse-Edison Scientific collaborators. (2026). LABBench2.</w:t>
      </w:r>
      <w:r>
        <w:t xml:space="preserve"> [Biology research capability benchmark] </w:t>
      </w:r>
      <w:hyperlink r:id="rId72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Wintermute et al. / LatchBio and collaborators. (2026). BioSecBench-Refusal.</w:t>
      </w:r>
      <w:r>
        <w:t xml:space="preserve"> [Calibrated refusal / safe usefulness] </w:t>
      </w:r>
      <w:hyperlink r:id="rId73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Black et al. / UK AI Security Institute and collaborators. (2025). RepliBench.</w:t>
      </w:r>
      <w:r>
        <w:t xml:space="preserve"> [Autonomous replication capability] </w:t>
      </w:r>
      <w:hyperlink r:id="rId74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Starace et al. / OpenAI. (2025). PaperBench.</w:t>
      </w:r>
      <w:r>
        <w:t xml:space="preserve"> [AI research replication capability] </w:t>
      </w:r>
      <w:hyperlink r:id="rId75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Levy, Yang, Pelrine / FAR.AI. (2026). Persuasion Undermining Control (PUC) preliminary evaluation.</w:t>
      </w:r>
      <w:r>
        <w:t xml:space="preserve"> [Detection of AI manipulative persuasion in control-relevant decisions] </w:t>
      </w:r>
      <w:hyperlink r:id="rId14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Anthropic Frontier Red Team / external participants. (2024). Anthropic 2024 preliminary wet-lab uplift pilot.</w:t>
      </w:r>
      <w:r>
        <w:t xml:space="preserve"> [Novice wet-lab uplift] </w:t>
      </w:r>
      <w:hyperlink r:id="rId76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Anthropic Frontier Red Team + external participants. (2025). Anthropic Claude Opus 4 bioweapons-acquisition uplift trial.</w:t>
      </w:r>
      <w:r>
        <w:t xml:space="preserve"> [Text-based bioweapon planning uplift] </w:t>
      </w:r>
      <w:hyperlink r:id="rId76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Edmund Seto. (2026). Agentic AI for Reproducible Human-in-the-Loop Environmental Health Research.</w:t>
      </w:r>
      <w:r>
        <w:t xml:space="preserve"> [Human-in-loop scientific analysis reliability] </w:t>
      </w:r>
      <w:hyperlink r:id="rId77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Results in Engineering authors (GPADS case study). (2026). Human-in-the-loop LLMs for Functional Hazard Assessment.</w:t>
      </w:r>
      <w:r>
        <w:t xml:space="preserve"> [Safety-analysis assistance] </w:t>
      </w:r>
      <w:hyperlink r:id="rId78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Chowdhury et al. / synchrotron collaborators. (2026). Agentic Artificially Intelligent X-ray Scientist.</w:t>
      </w:r>
      <w:r>
        <w:t xml:space="preserve"> [Closed-loop physical scientific control] </w:t>
      </w:r>
      <w:hyperlink r:id="rId79">
        <w:r>
          <w:rPr>
            <w:color w:val="0563C1"/>
            <w:u w:val="single"/>
          </w:rPr>
          <w:t>Source</w:t>
        </w:r>
      </w:hyperlink>
    </w:p>
    <w:p>
      <w:pPr>
        <w:pStyle w:val="Heading1"/>
      </w:pPr>
      <w:r>
        <w:t>3. Failure, resilience, and update trajectories</w:t>
      </w:r>
    </w:p>
    <w:p>
      <w:r>
        <w:t>Cases used to trace perturbation, propagation, buffering, detection, correction, recovery, feedback, and learning across configured systems.</w:t>
      </w:r>
    </w:p>
    <w:p>
      <w:r>
        <w:rPr>
          <w:i/>
        </w:rPr>
        <w:t>42 unique linked entries in this group.</w:t>
      </w:r>
    </w:p>
    <w:p>
      <w:pPr>
        <w:spacing w:after="100"/>
        <w:ind w:left="216" w:hanging="216"/>
      </w:pPr>
      <w:r>
        <w:t>ABC-Bench. (n.d.). ABC-Bench OpenTrons wet-lab execution.</w:t>
      </w:r>
      <w:r>
        <w:t xml:space="preserve"> [AI-bio / lab automation] </w:t>
      </w:r>
      <w:hyperlink r:id="rId44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OpenAI / Red Queen Bio wet-lab study. (n.d.). GPT-5 iterative cloning optimization.</w:t>
      </w:r>
      <w:r>
        <w:t xml:space="preserve"> [AI-bio / experimental optimization] </w:t>
      </w:r>
      <w:hyperlink r:id="rId52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NIST AIPD TEVV. (n.d.). In-silico screening-evasion concern tested with safe physical proxies.</w:t>
      </w:r>
      <w:r>
        <w:t xml:space="preserve"> [AI-bio / protein design / screening] </w:t>
      </w:r>
      <w:hyperlink r:id="rId46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LANL skill-based uplift study. (n.d.). LANL novice wet-lab uplift pilot.</w:t>
      </w:r>
      <w:r>
        <w:t xml:space="preserve"> [AI-bio / human-AI wet lab] </w:t>
      </w:r>
      <w:hyperlink r:id="rId47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Sequence-based BSS resilience study. (n.d.). AI-reformulated sequences challenged synthesis screening.</w:t>
      </w:r>
      <w:r>
        <w:t xml:space="preserve"> [AI-bio / synthesis screening] </w:t>
      </w:r>
      <w:hyperlink r:id="rId51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BioDesignBench. (n.d.). Forced-depth intervention changes LLM-agent protein design performance.</w:t>
      </w:r>
      <w:r>
        <w:t xml:space="preserve"> [AI-bio / computational protein design] </w:t>
      </w:r>
      <w:hyperlink r:id="rId45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AISI incident as summarized in PUC paper. (n.d.). Mythos 5 social-engineering attempt blocked by human vigilance.</w:t>
      </w:r>
      <w:r>
        <w:t xml:space="preserve"> [Adjacent empirical security / cyber] </w:t>
      </w:r>
      <w:hyperlink r:id="rId14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PUC preliminary evaluation. (n.d.). Removal of source context degrades manipulation monitoring.</w:t>
      </w:r>
      <w:r>
        <w:t xml:space="preserve"> [AI control / monitoring] </w:t>
      </w:r>
      <w:hyperlink r:id="rId14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Adaptyv Bio case study / Anthropic collaboration. (n.d.). Claude protein designs carried through automated wet lab.</w:t>
      </w:r>
      <w:r>
        <w:t xml:space="preserve"> [AI-bio / protein design] </w:t>
      </w:r>
      <w:hyperlink r:id="rId80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RefusalBench. (n.d.). Refusal-rate proxy changes model ranking relative to tier discrimination.</w:t>
      </w:r>
      <w:r>
        <w:t xml:space="preserve"> [AI-bio / safeguard measurement] </w:t>
      </w:r>
      <w:hyperlink r:id="rId48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BioAgent Bench. (n.d.). BioAgent Bench robustness perturbations degrade otherwise successful pipelines.</w:t>
      </w:r>
      <w:r>
        <w:t xml:space="preserve"> [AI-bio / bioinformatics] </w:t>
      </w:r>
      <w:hyperlink r:id="rId53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BioSecBench-Surveillance. (n.d.). BioSecBench agent chooses correct surveillance workflow but fails on surrounding analytical choices.</w:t>
      </w:r>
      <w:r>
        <w:t xml:space="preserve"> [AI-bio / pathogen genomic surveillance] </w:t>
      </w:r>
      <w:hyperlink r:id="rId54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BiomniBench. (n.d.). BiomniBench shows harness choice shifts scientific-agent performance more than model generation.</w:t>
      </w:r>
      <w:r>
        <w:t xml:space="preserve"> [AI-bio / biomedical data analysis] </w:t>
      </w:r>
      <w:hyperlink r:id="rId55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OpenAgentSafety. (n.d.). OpenAgentSafety reveals unsafe behavior that appears only in dynamic user-tool interaction.</w:t>
      </w:r>
      <w:r>
        <w:t xml:space="preserve"> [AI safety / agentic systems] </w:t>
      </w:r>
      <w:hyperlink r:id="rId22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LLMs Outperform Experts on Challenging Biology Benchmarks. (n.d.). Model-only biology benchmarks saturate while workflow-level capability remains unresolved.</w:t>
      </w:r>
      <w:r>
        <w:t xml:space="preserve"> [AI-bio / capability evaluation] </w:t>
      </w:r>
      <w:hyperlink r:id="rId58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BixBench. (n.d.). BixBench agents fail across long multi-step bioinformatics trajectories despite frontier-model knowledge.</w:t>
      </w:r>
      <w:r>
        <w:t xml:space="preserve"> [AI-bio / computational biology] </w:t>
      </w:r>
      <w:hyperlink r:id="rId59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ClaroAI-Bench. (n.d.). ClaroAI-Bench exposes reproducibility as a dependency chain across data, code, environment, and result.</w:t>
      </w:r>
      <w:r>
        <w:t xml:space="preserve"> [AI-bio / scientific reproducibility] </w:t>
      </w:r>
      <w:hyperlink r:id="rId60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BioXArena. (n.d.). BioXArena shows agent scaffold and domain alter biomedical ML trajectory; no single configuration dominates.</w:t>
      </w:r>
      <w:r>
        <w:t xml:space="preserve"> [AI-bio / biomedical ML] </w:t>
      </w:r>
      <w:hyperlink r:id="rId61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M3A agentic biological discovery study. (n.d.). M3A copilot experiments show domain experts remain critical for methodological guidance and biological synthesis.</w:t>
      </w:r>
      <w:r>
        <w:t xml:space="preserve"> [AI-bio / multi-omics discovery] </w:t>
      </w:r>
      <w:hyperlink r:id="rId62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PromptBio-Bench. (n.d.). PromptBio-Bench performance degrades as bioinformatics task difficulty rises.</w:t>
      </w:r>
      <w:r>
        <w:t xml:space="preserve"> [AI-bio / bioinformatics] </w:t>
      </w:r>
      <w:hyperlink r:id="rId63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Benchmarking LLM-based Agents for Single-cell Omics Analysis. (n.d.). Single-cell benchmark shows multi-agent collaboration and self-reflection improve execution.</w:t>
      </w:r>
      <w:r>
        <w:t xml:space="preserve"> [AI-bio / single-cell omics] </w:t>
      </w:r>
      <w:hyperlink r:id="rId64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Open-Rosalind. (n.d.). Open-Rosalind constrains agent action through explicit tool mediation and trace requirements.</w:t>
      </w:r>
      <w:r>
        <w:t xml:space="preserve"> [AI-bio / biomedical agents] </w:t>
      </w:r>
      <w:hyperlink r:id="rId65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Can AI Conduct Autonomous Scientific Research?. (n.d.). Autonomous-research frameworks produce convincing plans/manuscripts but fail transition to executable science.</w:t>
      </w:r>
      <w:r>
        <w:t xml:space="preserve"> [AI for science / computational biology] </w:t>
      </w:r>
      <w:hyperlink r:id="rId66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Towards autonomous biology: Compiler-Verified Protocols. (n.d.). Compiler-verified biological protocol retains execution semantics across manual and liquid-handler contexts.</w:t>
      </w:r>
      <w:r>
        <w:t xml:space="preserve"> [AI-bio / laboratory automation] </w:t>
      </w:r>
      <w:hyperlink r:id="rId67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CRISPR-GPT. (n.d.). CRISPR-GPT enables junior researchers to execute successful AI-guided gene-editing workflows.</w:t>
      </w:r>
      <w:r>
        <w:t xml:space="preserve"> [AI-bio / gene editing] </w:t>
      </w:r>
      <w:hyperlink r:id="rId68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Accelerating scientific discovery with Co-Scientist. (n.d.). AI Co-Scientist hypotheses cross from multi-agent reasoning to wet-lab validation.</w:t>
      </w:r>
      <w:r>
        <w:t xml:space="preserve"> [AI-bio / biomedical discovery] </w:t>
      </w:r>
      <w:hyperlink r:id="rId69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BioMedAgent / BioMed-AQA. (n.d.). BioMedAgent self-evolves tool use and generalizes to external BixBench.</w:t>
      </w:r>
      <w:r>
        <w:t xml:space="preserve"> [AI-bio / biomedical data analysis] </w:t>
      </w:r>
      <w:hyperlink r:id="rId70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Measuring Mid-2025 LLM-Assistance on Novice Performance in Biology. (n.d.). Physical wet-lab RCT attenuates benchmark-based expectations of novice uplift.</w:t>
      </w:r>
      <w:r>
        <w:t xml:space="preserve"> [AI-bio human uplift] </w:t>
      </w:r>
      <w:hyperlink r:id="rId41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LLM Novice Uplift on Dual-Use, In Silico Biology Tasks. (n.d.). Long-form in-silico human uplift is large, but standalone models often outperform human-AI teams.</w:t>
      </w:r>
      <w:r>
        <w:t xml:space="preserve"> [AI-bio human uplift] </w:t>
      </w:r>
      <w:hyperlink r:id="rId71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LABBench2. (n.d.). More realistic LABBench2 contexts reduce apparent biology capability.</w:t>
      </w:r>
      <w:r>
        <w:t xml:space="preserve"> [AI-bio evaluation] </w:t>
      </w:r>
      <w:hyperlink r:id="rId72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BioSecBench-Refusal. (n.d.). Provider filters generate refusal without reliable hazard discrimination.</w:t>
      </w:r>
      <w:r>
        <w:t xml:space="preserve"> [AI-bio safeguards] </w:t>
      </w:r>
      <w:hyperlink r:id="rId73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RepliBench. (n.d.). RepliBench component success does not compose into credible autonomous self-replication.</w:t>
      </w:r>
      <w:r>
        <w:t xml:space="preserve"> [AI agent security] </w:t>
      </w:r>
      <w:hyperlink r:id="rId74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PaperBench. (n.d.). PaperBench real-study execution exposes gap between plausible plans and replicated research.</w:t>
      </w:r>
      <w:r>
        <w:t xml:space="preserve"> [AI scientific autonomy] </w:t>
      </w:r>
      <w:hyperlink r:id="rId75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AI Persuasion as a Threat to Human Control. (n.d.). PUC manipulation monitor fails when source context is removed.</w:t>
      </w:r>
      <w:r>
        <w:t xml:space="preserve"> [AI control / monitoring] </w:t>
      </w:r>
      <w:hyperlink r:id="rId14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Anthropic LLMs and biorisk retrospective. (n.d.). Anthropic preliminary wet-lab pilot finds no uplift because control participants already succeed.</w:t>
      </w:r>
      <w:r>
        <w:t xml:space="preserve"> [AI-bio human uplift] </w:t>
      </w:r>
      <w:hyperlink r:id="rId76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Anthropic biorisk uplift trials. (n.d.). Text-based Claude uplift improves plans while critical real-world execution gaps remain.</w:t>
      </w:r>
      <w:r>
        <w:t xml:space="preserve"> [AI-bio human uplift] </w:t>
      </w:r>
      <w:hyperlink r:id="rId76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Agentic AI for Reproducible Human-in-the-Loop Environmental Health Research. (n.d.). Human review corrects agentic environmental-health analysis at multiple steps.</w:t>
      </w:r>
      <w:r>
        <w:t xml:space="preserve"> [human-AI scientific workflow] </w:t>
      </w:r>
      <w:hyperlink r:id="rId77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Human-in-the-loop LLMs for Functional Hazard Assessment. (n.d.). Expert consolidation corrects LLM severity inflation in functional hazard assessment.</w:t>
      </w:r>
      <w:r>
        <w:t xml:space="preserve"> [systems safety] </w:t>
      </w:r>
      <w:hyperlink r:id="rId78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An agentic artificially intelligent X-ray scientist. (n.d.). Agent closes a real physical control loop at a synchrotron beamline.</w:t>
      </w:r>
      <w:r>
        <w:t xml:space="preserve"> [autonomous science] </w:t>
      </w:r>
      <w:hyperlink r:id="rId79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CISA advisory / oss-security documentation. (n.d.). XZ Utils backdoor exploits trust and fragmented review across a software supply chain.</w:t>
      </w:r>
      <w:r>
        <w:t xml:space="preserve"> [cybersecurity comparator] </w:t>
      </w:r>
      <w:hyperlink r:id="rId81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U.S. Senate 2014 Target breach kill-chain analysis. (n.d.). Target breach shows alerts can exist without producing effective organizational response.</w:t>
      </w:r>
      <w:r>
        <w:t xml:space="preserve"> [cybersecurity comparator] </w:t>
      </w:r>
      <w:hyperlink r:id="rId82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SecureBio Uplift Studies evidence synthesis. (n.d.). Uplift evidence diverges systematically between in-silico and wet-lab studies.</w:t>
      </w:r>
      <w:r>
        <w:t xml:space="preserve"> [AI-bio evidence synthesis] </w:t>
      </w:r>
      <w:hyperlink r:id="rId83">
        <w:r>
          <w:rPr>
            <w:color w:val="0563C1"/>
            <w:u w:val="single"/>
          </w:rPr>
          <w:t>Source</w:t>
        </w:r>
      </w:hyperlink>
    </w:p>
    <w:p>
      <w:pPr>
        <w:pStyle w:val="Heading1"/>
      </w:pPr>
      <w:r>
        <w:t>4. Comparator literatures</w:t>
      </w:r>
    </w:p>
    <w:p>
      <w:r>
        <w:t>Sources from biosafety/biosecurity, systems safety and human factors, empirical cybersecurity, bioinformatics/data quality, measurement science, and successful biological workflows.</w:t>
      </w:r>
    </w:p>
    <w:p>
      <w:r>
        <w:rPr>
          <w:i/>
        </w:rPr>
        <w:t>30 unique linked entries in this group.</w:t>
      </w:r>
    </w:p>
    <w:p>
      <w:pPr>
        <w:spacing w:after="100"/>
        <w:ind w:left="216" w:hanging="216"/>
      </w:pPr>
      <w:r>
        <w:t>Traditional biosafety/biosecurity. (2020). WHO Laboratory Biosafety Manual, 4th ed..</w:t>
      </w:r>
      <w:r>
        <w:t xml:space="preserve"> [WHO guidance] </w:t>
      </w:r>
      <w:hyperlink r:id="rId84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Traditional biosafety/biosecurity. (2020). WHO Laboratory Biosafety Manual: Biosafety Programme Management.</w:t>
      </w:r>
      <w:r>
        <w:t xml:space="preserve"> [WHO guidance] </w:t>
      </w:r>
      <w:hyperlink r:id="rId85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Traditional biosafety/biosecurity. (2026). CDC Reporting Incidents and Near Misses.</w:t>
      </w:r>
      <w:r>
        <w:t xml:space="preserve"> [CDC training/guidance] </w:t>
      </w:r>
      <w:hyperlink r:id="rId86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Traditional biosafety/biosecurity. (2024). WHO Laboratory Biosecurity Guidance.</w:t>
      </w:r>
      <w:r>
        <w:t xml:space="preserve"> [WHO normative guidance] </w:t>
      </w:r>
      <w:hyperlink r:id="rId87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Traditional biosafety/biosecurity. (2011). CDC Guidelines for Biosafety Laboratory Competency.</w:t>
      </w:r>
      <w:r>
        <w:t xml:space="preserve"> [CDC guideline] </w:t>
      </w:r>
      <w:hyperlink r:id="rId88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Safety engineering / human factors. (2002). Leveson, A New Accident Model for Engineering Safer Systems.</w:t>
      </w:r>
      <w:r>
        <w:t xml:space="preserve"> [systems safety paper] </w:t>
      </w:r>
      <w:hyperlink r:id="rId89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Safety engineering / human factors. (2015). Abdulkhaleq, Wagner &amp; Leveson, STPA for software-intensive systems.</w:t>
      </w:r>
      <w:r>
        <w:t xml:space="preserve"> [safety engineering paper] </w:t>
      </w:r>
      <w:hyperlink r:id="rId90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Safety engineering / human factors. (2000). Reason, Human error: models and management.</w:t>
      </w:r>
      <w:r>
        <w:t xml:space="preserve"> [human factors / safety paper] </w:t>
      </w:r>
      <w:hyperlink r:id="rId91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Safety engineering / human factors. (2015). Van Spall et al., Near-misses are an opportunity to improve patient safety.</w:t>
      </w:r>
      <w:r>
        <w:t xml:space="preserve"> [review] </w:t>
      </w:r>
      <w:hyperlink r:id="rId92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Safety engineering / human factors. (2020). Provan et al., Safety II professionals.</w:t>
      </w:r>
      <w:r>
        <w:t xml:space="preserve"> [review/conceptual] </w:t>
      </w:r>
      <w:hyperlink r:id="rId93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Empirical cybersecurity. (2011). Dumitras &amp; Shou, WINE.</w:t>
      </w:r>
      <w:r>
        <w:t xml:space="preserve"> [empirical security infrastructure] </w:t>
      </w:r>
      <w:hyperlink r:id="rId94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Empirical cybersecurity. (2025). Verizon Data Breach Investigations Report 2025.</w:t>
      </w:r>
      <w:r>
        <w:t xml:space="preserve"> [industry field report] </w:t>
      </w:r>
      <w:hyperlink r:id="rId95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Empirical cybersecurity. (2023). A Comparison of Systemic and Systematic Risks of Malware Encounters.</w:t>
      </w:r>
      <w:r>
        <w:t xml:space="preserve"> [empirical paper] </w:t>
      </w:r>
      <w:hyperlink r:id="rId96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Empirical cybersecurity. (2026). GAMBiT human-subject red-team cyber range datasets.</w:t>
      </w:r>
      <w:r>
        <w:t xml:space="preserve"> [data article / experiments] </w:t>
      </w:r>
      <w:hyperlink r:id="rId97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Empirical cybersecurity. (2026). Forensic visibility gaps in fileless malware incidents.</w:t>
      </w:r>
      <w:r>
        <w:t xml:space="preserve"> [empirical incident analysis] </w:t>
      </w:r>
      <w:hyperlink r:id="rId98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Bioinformatics / data quality. (2002). Ouzounis, Modeling percolation of annotation errors.</w:t>
      </w:r>
      <w:r>
        <w:t xml:space="preserve"> [bioinformatics paper] </w:t>
      </w:r>
      <w:hyperlink r:id="rId99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Bioinformatics / data quality. (2020). Detecting and correcting misclassified sequences in public databases.</w:t>
      </w:r>
      <w:r>
        <w:t xml:space="preserve"> [bioinformatics paper] </w:t>
      </w:r>
      <w:hyperlink r:id="rId100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Bioinformatics / data quality. (2020). Contaminant DNA in bacterial sequencing experiments.</w:t>
      </w:r>
      <w:r>
        <w:t xml:space="preserve"> [empirical genomics paper] </w:t>
      </w:r>
      <w:hyperlink r:id="rId101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Bioinformatics / data quality. (2017). Investigating reproducibility and tracking provenance — genomic workflow case study.</w:t>
      </w:r>
      <w:r>
        <w:t xml:space="preserve"> [workflow study] </w:t>
      </w:r>
      <w:hyperlink r:id="rId102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Bioinformatics / data quality. (2024). Ten common issues with reference sequence databases and how to mitigate them.</w:t>
      </w:r>
      <w:r>
        <w:t xml:space="preserve"> [review] </w:t>
      </w:r>
      <w:hyperlink r:id="rId103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Metascience / benchmark validity. (2025). The Benchmarking Epistemology: Construct Validity for Evaluating ML Models.</w:t>
      </w:r>
      <w:r>
        <w:t xml:space="preserve"> [measurement theory / ML paper] </w:t>
      </w:r>
      <w:hyperlink r:id="rId104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Metascience / benchmark validity. (2025). Measuring what Matters: Construct Validity in LLM Benchmarks.</w:t>
      </w:r>
      <w:r>
        <w:t xml:space="preserve"> [systematic review] </w:t>
      </w:r>
      <w:hyperlink r:id="rId105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Metascience / benchmark validity. (2021). The Benchmark Lottery.</w:t>
      </w:r>
      <w:r>
        <w:t xml:space="preserve"> [empirical ML methodology paper] </w:t>
      </w:r>
      <w:hyperlink r:id="rId106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Metascience / benchmark validity. (2023). Goodhart's Law Applies to NLP Explanation Benchmarks.</w:t>
      </w:r>
      <w:r>
        <w:t xml:space="preserve"> [empirical benchmark critique] </w:t>
      </w:r>
      <w:hyperlink r:id="rId107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Metascience / benchmark validity. (2026). General scales unlock AI evaluation with explanatory and predictive power.</w:t>
      </w:r>
      <w:r>
        <w:t xml:space="preserve"> [Nature evaluation paper] </w:t>
      </w:r>
      <w:hyperlink r:id="rId108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Ordinary successful biology / positive controls. (2018). Automated DBTL pipeline for microbial fine chemicals.</w:t>
      </w:r>
      <w:r>
        <w:t xml:space="preserve"> [experimental synthetic biology] </w:t>
      </w:r>
      <w:hyperlink r:id="rId109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Ordinary successful biology / positive controls. (2025). Closing the loop: autonomous test-learn cycle on robotic platform.</w:t>
      </w:r>
      <w:r>
        <w:t xml:space="preserve"> [experimental bioautomation] </w:t>
      </w:r>
      <w:hyperlink r:id="rId110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Ordinary successful biology / positive controls. (2024). An engineering biology approach to automated workflow and biodesign.</w:t>
      </w:r>
      <w:r>
        <w:t xml:space="preserve"> [workflow architecture paper] </w:t>
      </w:r>
      <w:hyperlink r:id="rId111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Ordinary successful biology / positive controls. (2025). Integrated genomic surveillance in local public health authorities.</w:t>
      </w:r>
      <w:r>
        <w:t xml:space="preserve"> [mixed-methods implementation study] </w:t>
      </w:r>
      <w:hyperlink r:id="rId112">
        <w:r>
          <w:rPr>
            <w:color w:val="0563C1"/>
            <w:u w:val="single"/>
          </w:rPr>
          <w:t>Source</w:t>
        </w:r>
      </w:hyperlink>
    </w:p>
    <w:p>
      <w:pPr>
        <w:spacing w:after="100"/>
        <w:ind w:left="216" w:hanging="216"/>
      </w:pPr>
      <w:r>
        <w:t>Ordinary successful biology / positive controls. (2022). WHO Global Genomic Surveillance Strategy.</w:t>
      </w:r>
      <w:r>
        <w:t xml:space="preserve"> [global public-health strategy] </w:t>
      </w:r>
      <w:hyperlink r:id="rId113">
        <w:r>
          <w:rPr>
            <w:color w:val="0563C1"/>
            <w:u w:val="single"/>
          </w:rPr>
          <w:t>Source</w:t>
        </w:r>
      </w:hyperlink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xiv.org/abs/2407.10362" TargetMode="External"/><Relationship Id="rId10" Type="http://schemas.openxmlformats.org/officeDocument/2006/relationships/hyperlink" Target="https://arxiv.org/abs/2408.08926" TargetMode="External"/><Relationship Id="rId11" Type="http://schemas.openxmlformats.org/officeDocument/2006/relationships/hyperlink" Target="https://arxiv.org/abs/2504.16137" TargetMode="External"/><Relationship Id="rId12" Type="http://schemas.openxmlformats.org/officeDocument/2006/relationships/hyperlink" Target="https://arxiv.org/abs/2512.08130 ; https://arxiv.org/abs/2512.08451" TargetMode="External"/><Relationship Id="rId13" Type="http://schemas.openxmlformats.org/officeDocument/2006/relationships/hyperlink" Target="https://www.frontiermodelforum.org/updates/latest-from-the-fmf-grant-making-to-address-ai-bio-risk-challenges/" TargetMode="External"/><Relationship Id="rId14" Type="http://schemas.openxmlformats.org/officeDocument/2006/relationships/hyperlink" Target="https://arxiv.org/abs/2609.14796" TargetMode="External"/><Relationship Id="rId15" Type="http://schemas.openxmlformats.org/officeDocument/2006/relationships/hyperlink" Target="https://arxiv.org/abs/2307.10586" TargetMode="External"/><Relationship Id="rId16" Type="http://schemas.openxmlformats.org/officeDocument/2006/relationships/hyperlink" Target="https://arxiv.org/abs/2503.18813" TargetMode="External"/><Relationship Id="rId17" Type="http://schemas.openxmlformats.org/officeDocument/2006/relationships/hyperlink" Target="https://www.schmidtsciences.org/grantee/kellin-pelrine/" TargetMode="External"/><Relationship Id="rId18" Type="http://schemas.openxmlformats.org/officeDocument/2006/relationships/hyperlink" Target="https://survivalandflourishing.fund/recommendations" TargetMode="External"/><Relationship Id="rId19" Type="http://schemas.openxmlformats.org/officeDocument/2006/relationships/hyperlink" Target="https://www.frontiermodelforum.org/updates/announcement-of-new-ai-safety-fund-grantees/" TargetMode="External"/><Relationship Id="rId20" Type="http://schemas.openxmlformats.org/officeDocument/2006/relationships/hyperlink" Target="https://cset.georgetown.edu/foundational-research-grants/" TargetMode="External"/><Relationship Id="rId21" Type="http://schemas.openxmlformats.org/officeDocument/2006/relationships/hyperlink" Target="https://www.schmidtsciences.org/grantee/andrea-bajcsy/" TargetMode="External"/><Relationship Id="rId22" Type="http://schemas.openxmlformats.org/officeDocument/2006/relationships/hyperlink" Target="https://arxiv.org/abs/2507.06134" TargetMode="External"/><Relationship Id="rId23" Type="http://schemas.openxmlformats.org/officeDocument/2006/relationships/hyperlink" Target="https://www.schmidtsciences.org/grantee/bo-li/" TargetMode="External"/><Relationship Id="rId24" Type="http://schemas.openxmlformats.org/officeDocument/2006/relationships/hyperlink" Target="https://www.schmidtsciences.org/grantee/sanjeev-arora/" TargetMode="External"/><Relationship Id="rId25" Type="http://schemas.openxmlformats.org/officeDocument/2006/relationships/hyperlink" Target="https://www.schmidtsciences.org/grantee/eugene-bagdasarian/" TargetMode="External"/><Relationship Id="rId26" Type="http://schemas.openxmlformats.org/officeDocument/2006/relationships/hyperlink" Target="https://www.schmidtsciences.org/grantee/anna-leshinskaya/" TargetMode="External"/><Relationship Id="rId27" Type="http://schemas.openxmlformats.org/officeDocument/2006/relationships/hyperlink" Target="https://www.schmidtsciences.org/grantee/tatsu-hashimoto/" TargetMode="External"/><Relationship Id="rId28" Type="http://schemas.openxmlformats.org/officeDocument/2006/relationships/hyperlink" Target="https://www.schmidtsciences.org/grantee/yu-su/" TargetMode="External"/><Relationship Id="rId29" Type="http://schemas.openxmlformats.org/officeDocument/2006/relationships/hyperlink" Target="https://www.schmidtsciences.org/grantee/evan-miyazono/" TargetMode="External"/><Relationship Id="rId30" Type="http://schemas.openxmlformats.org/officeDocument/2006/relationships/hyperlink" Target="https://www.schmidtsciences.org/grantee/dawn-song/" TargetMode="External"/><Relationship Id="rId31" Type="http://schemas.openxmlformats.org/officeDocument/2006/relationships/hyperlink" Target="https://www.schmidtsciences.org/grantee/matthias-hein/" TargetMode="External"/><Relationship Id="rId32" Type="http://schemas.openxmlformats.org/officeDocument/2006/relationships/hyperlink" Target="https://www.schmidtsciences.org/grantee/zhijing-jin/" TargetMode="External"/><Relationship Id="rId33" Type="http://schemas.openxmlformats.org/officeDocument/2006/relationships/hyperlink" Target="https://www.schmidtsciences.org/grantee/sharon-li/" TargetMode="External"/><Relationship Id="rId34" Type="http://schemas.openxmlformats.org/officeDocument/2006/relationships/hyperlink" Target="https://www.schmidtsciences.org/grantee/karthik-narasimhan/" TargetMode="External"/><Relationship Id="rId35" Type="http://schemas.openxmlformats.org/officeDocument/2006/relationships/hyperlink" Target="https://www.schmidtsciences.org/grantee/arvind-narayanan/" TargetMode="External"/><Relationship Id="rId36" Type="http://schemas.openxmlformats.org/officeDocument/2006/relationships/hyperlink" Target="https://www.schmidtsciences.org/grantee/ziang-xiao/" TargetMode="External"/><Relationship Id="rId37" Type="http://schemas.openxmlformats.org/officeDocument/2006/relationships/hyperlink" Target="https://www.schmidtsciences.org/grantee/nicolas-flammarion/" TargetMode="External"/><Relationship Id="rId38" Type="http://schemas.openxmlformats.org/officeDocument/2006/relationships/hyperlink" Target="https://www.schmidtsciences.org/trustworthy-ai-research-agenda/" TargetMode="External"/><Relationship Id="rId39" Type="http://schemas.openxmlformats.org/officeDocument/2006/relationships/hyperlink" Target="https://www.cos.io/blog/benchmarking-llm-agents-on-scientific-tasks-introducing-replicatorbench" TargetMode="External"/><Relationship Id="rId40" Type="http://schemas.openxmlformats.org/officeDocument/2006/relationships/hyperlink" Target="https://activesite.org/" TargetMode="External"/><Relationship Id="rId41" Type="http://schemas.openxmlformats.org/officeDocument/2006/relationships/hyperlink" Target="https://arxiv.org/abs/2602.16703" TargetMode="External"/><Relationship Id="rId42" Type="http://schemas.openxmlformats.org/officeDocument/2006/relationships/hyperlink" Target="https://coefficientgiving.org/funds/biosecurity-pandemic-preparedness/request-for-proposals-biosecurity/" TargetMode="External"/><Relationship Id="rId43" Type="http://schemas.openxmlformats.org/officeDocument/2006/relationships/hyperlink" Target="https://www.schmidtsciences.org/multi-agent-ai/" TargetMode="External"/><Relationship Id="rId44" Type="http://schemas.openxmlformats.org/officeDocument/2006/relationships/hyperlink" Target="https://arxiv.org/abs/2606.11150" TargetMode="External"/><Relationship Id="rId45" Type="http://schemas.openxmlformats.org/officeDocument/2006/relationships/hyperlink" Target="https://pmc.ncbi.nlm.nih.gov/articles/PMC13174699/" TargetMode="External"/><Relationship Id="rId46" Type="http://schemas.openxmlformats.org/officeDocument/2006/relationships/hyperlink" Target="https://www.nist.gov/publications/experimental-evaluation-ai-driven-protein-design-risks-using-safe-biological-proxies" TargetMode="External"/><Relationship Id="rId47" Type="http://schemas.openxmlformats.org/officeDocument/2006/relationships/hyperlink" Target="https://arxiv.org/abs/2512.10960" TargetMode="External"/><Relationship Id="rId48" Type="http://schemas.openxmlformats.org/officeDocument/2006/relationships/hyperlink" Target="https://arxiv.org/abs/2605.21545" TargetMode="External"/><Relationship Id="rId49" Type="http://schemas.openxmlformats.org/officeDocument/2006/relationships/hyperlink" Target="https://arxiv.org/abs/2607.14479" TargetMode="External"/><Relationship Id="rId50" Type="http://schemas.openxmlformats.org/officeDocument/2006/relationships/hyperlink" Target="https://arxiv.org/abs/2512.08459" TargetMode="External"/><Relationship Id="rId51" Type="http://schemas.openxmlformats.org/officeDocument/2006/relationships/hyperlink" Target="https://pmc.ncbi.nlm.nih.gov/articles/PMC13402867/" TargetMode="External"/><Relationship Id="rId52" Type="http://schemas.openxmlformats.org/officeDocument/2006/relationships/hyperlink" Target="https://openai.com/index/accelerating-biological-research-in-the-wet-lab/" TargetMode="External"/><Relationship Id="rId53" Type="http://schemas.openxmlformats.org/officeDocument/2006/relationships/hyperlink" Target="https://arxiv.org/abs/2601.21800" TargetMode="External"/><Relationship Id="rId54" Type="http://schemas.openxmlformats.org/officeDocument/2006/relationships/hyperlink" Target="https://arxiv.org/abs/2607.19262" TargetMode="External"/><Relationship Id="rId55" Type="http://schemas.openxmlformats.org/officeDocument/2006/relationships/hyperlink" Target="https://www.biorxiv.org/content/10.64898/2026.05.12.724604v2" TargetMode="External"/><Relationship Id="rId56" Type="http://schemas.openxmlformats.org/officeDocument/2006/relationships/hyperlink" Target="https://www.biorxiv.org/content/10.1101/2025.09.01.673319v3" TargetMode="External"/><Relationship Id="rId57" Type="http://schemas.openxmlformats.org/officeDocument/2006/relationships/hyperlink" Target="https://www.biorxiv.org/content/10.64898/2026.04.22.720113v1" TargetMode="External"/><Relationship Id="rId58" Type="http://schemas.openxmlformats.org/officeDocument/2006/relationships/hyperlink" Target="https://arxiv.org/abs/2505.06108" TargetMode="External"/><Relationship Id="rId59" Type="http://schemas.openxmlformats.org/officeDocument/2006/relationships/hyperlink" Target="https://arxiv.org/abs/2503.00096" TargetMode="External"/><Relationship Id="rId60" Type="http://schemas.openxmlformats.org/officeDocument/2006/relationships/hyperlink" Target="https://www.biorxiv.org/content/10.64898/2026.05.08.723611v1" TargetMode="External"/><Relationship Id="rId61" Type="http://schemas.openxmlformats.org/officeDocument/2006/relationships/hyperlink" Target="https://arxiv.org/abs/2605.15766" TargetMode="External"/><Relationship Id="rId62" Type="http://schemas.openxmlformats.org/officeDocument/2006/relationships/hyperlink" Target="https://www.biorxiv.org/content/10.64898/2026.06.04.729919v1" TargetMode="External"/><Relationship Id="rId63" Type="http://schemas.openxmlformats.org/officeDocument/2006/relationships/hyperlink" Target="https://www.biorxiv.org/content/10.64898/2026.05.05.723092v1" TargetMode="External"/><Relationship Id="rId64" Type="http://schemas.openxmlformats.org/officeDocument/2006/relationships/hyperlink" Target="https://arxiv.org/abs/2508.13201" TargetMode="External"/><Relationship Id="rId65" Type="http://schemas.openxmlformats.org/officeDocument/2006/relationships/hyperlink" Target="https://www.biorxiv.org/content/10.64898/2026.05.06.722404v1" TargetMode="External"/><Relationship Id="rId66" Type="http://schemas.openxmlformats.org/officeDocument/2006/relationships/hyperlink" Target="https://www.biorxiv.org/content/10.64898/2026.01.05.697809v1" TargetMode="External"/><Relationship Id="rId67" Type="http://schemas.openxmlformats.org/officeDocument/2006/relationships/hyperlink" Target="https://www.biorxiv.org/content/10.64898/2026.05.05.720956v1" TargetMode="External"/><Relationship Id="rId68" Type="http://schemas.openxmlformats.org/officeDocument/2006/relationships/hyperlink" Target="https://www.nature.com/articles/s41551-025-01463-z" TargetMode="External"/><Relationship Id="rId69" Type="http://schemas.openxmlformats.org/officeDocument/2006/relationships/hyperlink" Target="https://www.nature.com/articles/s41586-026-10644-y" TargetMode="External"/><Relationship Id="rId70" Type="http://schemas.openxmlformats.org/officeDocument/2006/relationships/hyperlink" Target="https://www.nature.com/articles/s41551-026-01634-6" TargetMode="External"/><Relationship Id="rId71" Type="http://schemas.openxmlformats.org/officeDocument/2006/relationships/hyperlink" Target="https://arxiv.org/abs/2602.23329" TargetMode="External"/><Relationship Id="rId72" Type="http://schemas.openxmlformats.org/officeDocument/2006/relationships/hyperlink" Target="https://arxiv.org/abs/2604.09554" TargetMode="External"/><Relationship Id="rId73" Type="http://schemas.openxmlformats.org/officeDocument/2006/relationships/hyperlink" Target="https://arxiv.org/abs/2607.05462" TargetMode="External"/><Relationship Id="rId74" Type="http://schemas.openxmlformats.org/officeDocument/2006/relationships/hyperlink" Target="https://arxiv.org/abs/2504.18565" TargetMode="External"/><Relationship Id="rId75" Type="http://schemas.openxmlformats.org/officeDocument/2006/relationships/hyperlink" Target="https://openai.com/index/paperbench/" TargetMode="External"/><Relationship Id="rId76" Type="http://schemas.openxmlformats.org/officeDocument/2006/relationships/hyperlink" Target="https://www.anthropic.com/research/biorisk" TargetMode="External"/><Relationship Id="rId77" Type="http://schemas.openxmlformats.org/officeDocument/2006/relationships/hyperlink" Target="https://arxiv.org/abs/2608.06771" TargetMode="External"/><Relationship Id="rId78" Type="http://schemas.openxmlformats.org/officeDocument/2006/relationships/hyperlink" Target="https://doi.org/10.1016/j.rineng.2026.111313" TargetMode="External"/><Relationship Id="rId79" Type="http://schemas.openxmlformats.org/officeDocument/2006/relationships/hyperlink" Target="https://www.nature.com/articles/s42256-026-01261-5" TargetMode="External"/><Relationship Id="rId80" Type="http://schemas.openxmlformats.org/officeDocument/2006/relationships/hyperlink" Target="https://www.adaptyvbio.com/blog/anthropic-1" TargetMode="External"/><Relationship Id="rId81" Type="http://schemas.openxmlformats.org/officeDocument/2006/relationships/hyperlink" Target="https://www.cisa.gov/news-events/alerts/2024/03/29/reported-supply-chain-compromise-affecting-xz-utils-data-compression-library-cve-2024-3094" TargetMode="External"/><Relationship Id="rId82" Type="http://schemas.openxmlformats.org/officeDocument/2006/relationships/hyperlink" Target="https://www.commerce.senate.gov/services/files/24d3c229-4f2f-405d-b8db-a3a67f183883" TargetMode="External"/><Relationship Id="rId83" Type="http://schemas.openxmlformats.org/officeDocument/2006/relationships/hyperlink" Target="https://securebio.org/benchmarks/uplift/" TargetMode="External"/><Relationship Id="rId84" Type="http://schemas.openxmlformats.org/officeDocument/2006/relationships/hyperlink" Target="https://www.who.int/publications-detail-redirect/9789240011311" TargetMode="External"/><Relationship Id="rId85" Type="http://schemas.openxmlformats.org/officeDocument/2006/relationships/hyperlink" Target="https://www.who.int/publications-detail-redirect/9789240011434" TargetMode="External"/><Relationship Id="rId86" Type="http://schemas.openxmlformats.org/officeDocument/2006/relationships/hyperlink" Target="https://reach.cdc.gov/jobaid/reporting-incidents-and-near-misses" TargetMode="External"/><Relationship Id="rId87" Type="http://schemas.openxmlformats.org/officeDocument/2006/relationships/hyperlink" Target="https://www.who.int/publications/i/item/9789240095113" TargetMode="External"/><Relationship Id="rId88" Type="http://schemas.openxmlformats.org/officeDocument/2006/relationships/hyperlink" Target="https://www.cdc.gov/mmwr/preview/mmwrhtml/su6002a1.htm" TargetMode="External"/><Relationship Id="rId89" Type="http://schemas.openxmlformats.org/officeDocument/2006/relationships/hyperlink" Target="https://dspace.mit.edu/entities/publication/03206756-4eb7-4d4b-8c44-01e8082caa2b" TargetMode="External"/><Relationship Id="rId90" Type="http://schemas.openxmlformats.org/officeDocument/2006/relationships/hyperlink" Target="https://dspace.mit.edu/entities/publication/43aafa21-0671-4f1c-ae12-a0b0d8c97ac6" TargetMode="External"/><Relationship Id="rId91" Type="http://schemas.openxmlformats.org/officeDocument/2006/relationships/hyperlink" Target="https://www.bmj.com/content/320/7237/768" TargetMode="External"/><Relationship Id="rId92" Type="http://schemas.openxmlformats.org/officeDocument/2006/relationships/hyperlink" Target="https://pubmed.ncbi.nlm.nih.gov/26126125/" TargetMode="External"/><Relationship Id="rId93" Type="http://schemas.openxmlformats.org/officeDocument/2006/relationships/hyperlink" Target="https://doi.org/10.1016/j.ress.2019.106740" TargetMode="External"/><Relationship Id="rId94" Type="http://schemas.openxmlformats.org/officeDocument/2006/relationships/hyperlink" Target="https://users.umiacs.umd.edu/~tudor/research-wine.html" TargetMode="External"/><Relationship Id="rId95" Type="http://schemas.openxmlformats.org/officeDocument/2006/relationships/hyperlink" Target="https://www.verizon.com/business/resources/reports/dbir/" TargetMode="External"/><Relationship Id="rId96" Type="http://schemas.openxmlformats.org/officeDocument/2006/relationships/hyperlink" Target="https://doi.org/10.1145/3565362" TargetMode="External"/><Relationship Id="rId97" Type="http://schemas.openxmlformats.org/officeDocument/2006/relationships/hyperlink" Target="https://pmc.ncbi.nlm.nih.gov/articles/PMC12865583/" TargetMode="External"/><Relationship Id="rId98" Type="http://schemas.openxmlformats.org/officeDocument/2006/relationships/hyperlink" Target="https://www.sciencedirect.com/science/article/pii/S2666281726000697" TargetMode="External"/><Relationship Id="rId99" Type="http://schemas.openxmlformats.org/officeDocument/2006/relationships/hyperlink" Target="https://academic.oup.com/bioinformatics/article/18/12/1641/239411" TargetMode="External"/><Relationship Id="rId100" Type="http://schemas.openxmlformats.org/officeDocument/2006/relationships/hyperlink" Target="https://academic.oup.com/bioinformatics/article/36/18/4699/5862012" TargetMode="External"/><Relationship Id="rId101" Type="http://schemas.openxmlformats.org/officeDocument/2006/relationships/hyperlink" Target="https://pmc.ncbi.nlm.nih.gov/articles/PMC7053099/" TargetMode="External"/><Relationship Id="rId102" Type="http://schemas.openxmlformats.org/officeDocument/2006/relationships/hyperlink" Target="https://pmc.ncbi.nlm.nih.gov/articles/PMC5508699/" TargetMode="External"/><Relationship Id="rId103" Type="http://schemas.openxmlformats.org/officeDocument/2006/relationships/hyperlink" Target="https://www.frontiersin.org/journals/bioinformatics/articles/10.3389/fbinf.2024.1278228/full" TargetMode="External"/><Relationship Id="rId104" Type="http://schemas.openxmlformats.org/officeDocument/2006/relationships/hyperlink" Target="https://arxiv.org/abs/2510.23191" TargetMode="External"/><Relationship Id="rId105" Type="http://schemas.openxmlformats.org/officeDocument/2006/relationships/hyperlink" Target="https://arxiv.org/abs/2511.04703" TargetMode="External"/><Relationship Id="rId106" Type="http://schemas.openxmlformats.org/officeDocument/2006/relationships/hyperlink" Target="https://arxiv.org/abs/2107.07002" TargetMode="External"/><Relationship Id="rId107" Type="http://schemas.openxmlformats.org/officeDocument/2006/relationships/hyperlink" Target="https://arxiv.org/abs/2308.14272" TargetMode="External"/><Relationship Id="rId108" Type="http://schemas.openxmlformats.org/officeDocument/2006/relationships/hyperlink" Target="https://doi.org/10.1038/s41586-026-10303-2" TargetMode="External"/><Relationship Id="rId109" Type="http://schemas.openxmlformats.org/officeDocument/2006/relationships/hyperlink" Target="https://www.nature.com/articles/s42003-018-0076-9" TargetMode="External"/><Relationship Id="rId110" Type="http://schemas.openxmlformats.org/officeDocument/2006/relationships/hyperlink" Target="https://www.frontiersin.org/journals/bioengineering-and-biotechnology/articles/10.3389/fbioe.2024.1528224/full" TargetMode="External"/><Relationship Id="rId111" Type="http://schemas.openxmlformats.org/officeDocument/2006/relationships/hyperlink" Target="https://pmc.ncbi.nlm.nih.gov/articles/PMC11210394/" TargetMode="External"/><Relationship Id="rId112" Type="http://schemas.openxmlformats.org/officeDocument/2006/relationships/hyperlink" Target="https://pmc.ncbi.nlm.nih.gov/articles/PMC11969963/" TargetMode="External"/><Relationship Id="rId113" Type="http://schemas.openxmlformats.org/officeDocument/2006/relationships/hyperlink" Target="https://www.who.int/initiatives/genomic-surveillance-strate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Structured Observation Analysis of AI-biosecurity Papers in Four Categories 092026 — Papers and Sources by Group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