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pBdr/>
        <w:shd w:val="clear" w:color="auto" w:fill="CFE7F5"/>
        <w:rPr>
          <w:b/>
          <w:b/>
          <w:bCs/>
          <w:color w:val="1F497D" w:themeColor="text2"/>
          <w:sz w:val="16"/>
          <w:szCs w:val="16"/>
        </w:rPr>
      </w:pPr>
      <w:r>
        <w:rPr/>
      </w:r>
    </w:p>
    <w:p>
      <w:pPr>
        <w:pStyle w:val="Heading"/>
        <w:pBdr/>
        <w:shd w:val="clear" w:color="auto" w:fill="CFE7F5"/>
        <w:jc w:val="left"/>
        <w:rPr>
          <w:b/>
          <w:b/>
          <w:bCs/>
          <w:color w:val="1F497D" w:themeColor="text2"/>
          <w:sz w:val="22"/>
          <w:szCs w:val="22"/>
          <w:lang w:val="it-IT"/>
        </w:rPr>
      </w:pPr>
      <w:r>
        <w:rPr>
          <w:b/>
          <w:bCs/>
          <w:color w:val="1F497D" w:themeColor="text2"/>
          <w:sz w:val="22"/>
          <w:szCs w:val="22"/>
          <w:lang w:val="it-IT"/>
        </w:rPr>
        <w:t>Michela CANTIELLO, DVM, PhD</w:t>
      </w:r>
    </w:p>
    <w:p>
      <w:pPr>
        <w:pStyle w:val="Heading"/>
        <w:pBdr/>
        <w:shd w:val="clear" w:color="auto" w:fill="CFE7F5"/>
        <w:rPr>
          <w:b/>
          <w:b/>
          <w:bCs/>
          <w:color w:val="1F497D" w:themeColor="text2"/>
          <w:sz w:val="16"/>
          <w:szCs w:val="16"/>
          <w:lang w:val="it-IT"/>
        </w:rPr>
      </w:pPr>
      <w:r>
        <w:rPr>
          <w:b/>
          <w:bCs/>
          <w:color w:val="1F497D" w:themeColor="text2"/>
          <w:sz w:val="16"/>
          <w:szCs w:val="16"/>
          <w:lang w:val="it-IT"/>
        </w:rPr>
      </w:r>
    </w:p>
    <w:p>
      <w:pPr>
        <w:pStyle w:val="Standard"/>
        <w:jc w:val="center"/>
        <w:rPr>
          <w:b/>
          <w:b/>
          <w:bCs/>
          <w:color w:val="1F497D" w:themeColor="text2"/>
          <w:sz w:val="22"/>
          <w:szCs w:val="22"/>
        </w:rPr>
      </w:pPr>
      <w:r>
        <w:rPr>
          <w:b/>
          <w:bCs/>
          <w:color w:val="1F497D" w:themeColor="text2"/>
          <w:sz w:val="22"/>
          <w:szCs w:val="22"/>
        </w:rPr>
      </w:r>
    </w:p>
    <w:p>
      <w:pPr>
        <w:pStyle w:val="Standard"/>
        <w:tabs>
          <w:tab w:val="left" w:pos="5400" w:leader="none"/>
          <w:tab w:val="left" w:pos="7830" w:leader="none"/>
        </w:tabs>
        <w:jc w:val="both"/>
        <w:rPr/>
      </w:pPr>
      <w:r>
        <w:rPr>
          <w:sz w:val="22"/>
          <w:szCs w:val="22"/>
        </w:rPr>
        <w:t xml:space="preserve">E-mail: </w:t>
      </w:r>
      <w:hyperlink r:id="rId2">
        <w:r>
          <w:rPr>
            <w:rStyle w:val="InternetLink1"/>
            <w:sz w:val="22"/>
            <w:szCs w:val="22"/>
          </w:rPr>
          <w:t>michela.cantiello@gmail.com</w:t>
        </w:r>
      </w:hyperlink>
      <w:r>
        <w:rPr>
          <w:sz w:val="22"/>
          <w:szCs w:val="22"/>
        </w:rPr>
        <w:t xml:space="preserve"> </w:t>
        <w:tab/>
      </w:r>
      <w:r>
        <w:rPr>
          <w:sz w:val="22"/>
          <w:szCs w:val="22"/>
        </w:rPr>
        <w:t xml:space="preserve">Personal website: </w:t>
      </w:r>
      <w:hyperlink r:id="rId3">
        <w:r>
          <w:rPr>
            <w:rStyle w:val="InternetLink1"/>
            <w:sz w:val="22"/>
            <w:szCs w:val="22"/>
          </w:rPr>
          <w:t>michela.pgpmartin.fr</w:t>
        </w:r>
      </w:hyperlink>
      <w:r>
        <w:rPr>
          <w:sz w:val="22"/>
          <w:szCs w:val="22"/>
        </w:rPr>
        <w:t xml:space="preserve"> </w:t>
      </w:r>
    </w:p>
    <w:p>
      <w:pPr>
        <w:pStyle w:val="Standard"/>
        <w:jc w:val="both"/>
        <w:rPr>
          <w:sz w:val="22"/>
          <w:szCs w:val="22"/>
          <w:lang w:val="en-US"/>
        </w:rPr>
      </w:pPr>
      <w:r>
        <w:rPr>
          <w:sz w:val="22"/>
          <w:szCs w:val="22"/>
          <w:lang w:val="en-US"/>
        </w:rPr>
      </w:r>
    </w:p>
    <w:tbl>
      <w:tblPr>
        <w:tblW w:w="3150" w:type="dxa"/>
        <w:jc w:val="left"/>
        <w:tblInd w:w="2967" w:type="dxa"/>
        <w:tblBorders/>
        <w:tblCellMar>
          <w:top w:w="55" w:type="dxa"/>
          <w:left w:w="55" w:type="dxa"/>
          <w:bottom w:w="55" w:type="dxa"/>
          <w:right w:w="55" w:type="dxa"/>
        </w:tblCellMar>
        <w:tblLook w:lastRow="0" w:firstRow="0" w:lastColumn="0" w:firstColumn="0" w:val="0000" w:noHBand="0" w:noVBand="0"/>
      </w:tblPr>
      <w:tblGrid>
        <w:gridCol w:w="3150"/>
      </w:tblGrid>
      <w:tr>
        <w:trPr/>
        <w:tc>
          <w:tcPr>
            <w:tcW w:w="3150" w:type="dxa"/>
            <w:tcBorders/>
            <w:shd w:color="auto" w:fill="CFE7F5" w:val="clear"/>
          </w:tcPr>
          <w:p>
            <w:pPr>
              <w:pStyle w:val="Standard"/>
              <w:jc w:val="center"/>
              <w:rPr>
                <w:sz w:val="22"/>
                <w:szCs w:val="22"/>
                <w:lang w:val="en-US"/>
              </w:rPr>
            </w:pPr>
            <w:r>
              <w:rPr>
                <w:sz w:val="22"/>
                <w:szCs w:val="22"/>
                <w:lang w:val="en-US"/>
              </w:rPr>
              <w:t>PROFESSIONAL ACTIVITIES</w:t>
            </w:r>
          </w:p>
        </w:tc>
      </w:tr>
    </w:tbl>
    <w:p>
      <w:pPr>
        <w:pStyle w:val="Heading2"/>
        <w:tabs>
          <w:tab w:val="left" w:pos="720" w:leader="none"/>
        </w:tabs>
        <w:rPr>
          <w:sz w:val="22"/>
          <w:szCs w:val="22"/>
          <w:lang w:val="en-US"/>
        </w:rPr>
      </w:pPr>
      <w:r>
        <w:rPr>
          <w:sz w:val="22"/>
          <w:szCs w:val="22"/>
          <w:lang w:val="en-US"/>
        </w:rPr>
      </w:r>
    </w:p>
    <w:p>
      <w:pPr>
        <w:pStyle w:val="Heading2"/>
        <w:numPr>
          <w:ilvl w:val="1"/>
          <w:numId w:val="1"/>
        </w:numPr>
        <w:tabs>
          <w:tab w:val="left" w:pos="720" w:leader="none"/>
        </w:tabs>
        <w:spacing w:before="0" w:after="120"/>
        <w:rPr>
          <w:sz w:val="22"/>
          <w:szCs w:val="22"/>
          <w:lang w:val="en-US"/>
        </w:rPr>
      </w:pPr>
      <w:r>
        <w:rPr>
          <w:sz w:val="22"/>
          <w:szCs w:val="22"/>
          <w:lang w:val="en-US"/>
        </w:rPr>
        <w:t>November 2020- present</w:t>
      </w:r>
    </w:p>
    <w:p>
      <w:pPr>
        <w:pStyle w:val="Standard"/>
        <w:jc w:val="both"/>
        <w:rPr>
          <w:lang w:val="en-US"/>
        </w:rPr>
      </w:pPr>
      <w:r>
        <w:rPr>
          <w:b/>
          <w:sz w:val="22"/>
          <w:szCs w:val="22"/>
          <w:lang w:val="en-US"/>
        </w:rPr>
        <w:t xml:space="preserve">Eurofins PSS France - Managing Director: </w:t>
      </w:r>
      <w:r>
        <w:rPr>
          <w:lang w:val="en-US"/>
        </w:rPr>
        <w:t>Manage, lead and coordinate Professional Scientific Services (PSS) teams to ensure that they are operating at the highest quality and productivity standards. Promote high levels of morale and retention by creating a positive work culture. Establish a proactive partnership with the client in order to meet and exceed client expectations.</w:t>
      </w:r>
    </w:p>
    <w:p>
      <w:pPr>
        <w:pStyle w:val="Standard"/>
        <w:jc w:val="both"/>
        <w:rPr>
          <w:b/>
          <w:b/>
          <w:sz w:val="22"/>
          <w:szCs w:val="22"/>
          <w:lang w:val="en-US"/>
        </w:rPr>
      </w:pPr>
      <w:r>
        <w:rPr>
          <w:b/>
          <w:sz w:val="22"/>
          <w:szCs w:val="22"/>
          <w:lang w:val="en-US"/>
        </w:rPr>
      </w:r>
    </w:p>
    <w:p>
      <w:pPr>
        <w:pStyle w:val="Heading2"/>
        <w:numPr>
          <w:ilvl w:val="1"/>
          <w:numId w:val="1"/>
        </w:numPr>
        <w:tabs>
          <w:tab w:val="left" w:pos="720" w:leader="none"/>
        </w:tabs>
        <w:spacing w:before="0" w:after="120"/>
        <w:rPr>
          <w:sz w:val="22"/>
          <w:szCs w:val="22"/>
          <w:lang w:val="en-US"/>
        </w:rPr>
      </w:pPr>
      <w:r>
        <w:rPr>
          <w:sz w:val="22"/>
          <w:szCs w:val="22"/>
          <w:lang w:val="en-US"/>
        </w:rPr>
        <w:t>December 2017- October 2020</w:t>
      </w:r>
    </w:p>
    <w:p>
      <w:pPr>
        <w:pStyle w:val="Standard"/>
        <w:rPr>
          <w:sz w:val="22"/>
          <w:szCs w:val="22"/>
          <w:lang w:val="en-US"/>
        </w:rPr>
      </w:pPr>
      <w:r>
        <w:rPr>
          <w:b/>
          <w:sz w:val="22"/>
          <w:szCs w:val="22"/>
          <w:lang w:val="en-US"/>
        </w:rPr>
        <w:t xml:space="preserve">AvogadroLS Managing Director: </w:t>
      </w:r>
      <w:r>
        <w:rPr>
          <w:sz w:val="22"/>
          <w:szCs w:val="22"/>
          <w:lang w:val="en-US"/>
        </w:rPr>
        <w:t xml:space="preserve">responsible for providing strategic leadership for the French and US sites, working with the company Board to establish long-range goals, strategies, plans and policies. </w:t>
      </w:r>
    </w:p>
    <w:p>
      <w:pPr>
        <w:pStyle w:val="Standard"/>
        <w:rPr>
          <w:lang w:val="en-US"/>
        </w:rPr>
      </w:pPr>
      <w:r>
        <w:rPr>
          <w:lang w:val="en-US"/>
        </w:rPr>
      </w:r>
    </w:p>
    <w:p>
      <w:pPr>
        <w:pStyle w:val="Heading2"/>
        <w:numPr>
          <w:ilvl w:val="1"/>
          <w:numId w:val="1"/>
        </w:numPr>
        <w:tabs>
          <w:tab w:val="left" w:pos="720" w:leader="none"/>
        </w:tabs>
        <w:spacing w:before="0" w:after="120"/>
        <w:rPr>
          <w:sz w:val="22"/>
          <w:szCs w:val="22"/>
          <w:lang w:val="en-US"/>
        </w:rPr>
      </w:pPr>
      <w:r>
        <w:rPr>
          <w:sz w:val="22"/>
          <w:szCs w:val="22"/>
          <w:lang w:val="en-US"/>
        </w:rPr>
        <w:t>October 2014 – October 2020</w:t>
      </w:r>
    </w:p>
    <w:p>
      <w:pPr>
        <w:pStyle w:val="Standard"/>
        <w:spacing w:before="0" w:after="120"/>
        <w:jc w:val="both"/>
        <w:rPr>
          <w:sz w:val="22"/>
          <w:szCs w:val="22"/>
          <w:lang w:val="en-US"/>
        </w:rPr>
      </w:pPr>
      <w:r>
        <w:rPr>
          <w:b/>
          <w:sz w:val="22"/>
          <w:szCs w:val="22"/>
          <w:lang w:val="en-US"/>
        </w:rPr>
        <w:t>Avogadro LS Inc (former Amatsigroup Inc.) Facility Director:</w:t>
      </w:r>
      <w:r>
        <w:rPr>
          <w:sz w:val="22"/>
          <w:szCs w:val="22"/>
          <w:lang w:val="en-US"/>
        </w:rPr>
        <w:t xml:space="preserve"> implementation, complete set-up and development of US operations site in Terre Haute, IN.</w:t>
      </w:r>
    </w:p>
    <w:p>
      <w:pPr>
        <w:pStyle w:val="Standard"/>
        <w:spacing w:before="0" w:after="120"/>
        <w:jc w:val="both"/>
        <w:rPr>
          <w:sz w:val="22"/>
          <w:szCs w:val="22"/>
          <w:lang w:val="en-US"/>
        </w:rPr>
      </w:pPr>
      <w:r>
        <w:rPr>
          <w:i/>
          <w:sz w:val="22"/>
          <w:szCs w:val="22"/>
          <w:u w:val="single"/>
          <w:lang w:val="en-US"/>
        </w:rPr>
        <w:t>Missions and responsibilities</w:t>
      </w:r>
      <w:r>
        <w:rPr>
          <w:sz w:val="22"/>
          <w:szCs w:val="22"/>
          <w:lang w:val="en-US"/>
        </w:rPr>
        <w:t>:</w:t>
      </w:r>
    </w:p>
    <w:p>
      <w:pPr>
        <w:pStyle w:val="Standard"/>
        <w:numPr>
          <w:ilvl w:val="0"/>
          <w:numId w:val="2"/>
        </w:numPr>
        <w:jc w:val="both"/>
        <w:rPr>
          <w:sz w:val="22"/>
          <w:szCs w:val="22"/>
          <w:lang w:val="en-US"/>
        </w:rPr>
      </w:pPr>
      <w:r>
        <w:rPr>
          <w:sz w:val="22"/>
          <w:szCs w:val="22"/>
          <w:lang w:val="en-US"/>
        </w:rPr>
        <w:t>US CRO development according to GLP/GCP</w:t>
      </w:r>
    </w:p>
    <w:p>
      <w:pPr>
        <w:pStyle w:val="Standard"/>
        <w:numPr>
          <w:ilvl w:val="0"/>
          <w:numId w:val="2"/>
        </w:numPr>
        <w:jc w:val="both"/>
        <w:rPr>
          <w:sz w:val="22"/>
          <w:szCs w:val="22"/>
          <w:lang w:val="en-US"/>
        </w:rPr>
      </w:pPr>
      <w:r>
        <w:rPr>
          <w:sz w:val="22"/>
          <w:szCs w:val="22"/>
          <w:lang w:val="en-US"/>
        </w:rPr>
        <w:t xml:space="preserve">Management of US authorities’ inspections (for ex. USDA) </w:t>
      </w:r>
    </w:p>
    <w:p>
      <w:pPr>
        <w:pStyle w:val="Standard"/>
        <w:numPr>
          <w:ilvl w:val="0"/>
          <w:numId w:val="2"/>
        </w:numPr>
        <w:jc w:val="both"/>
        <w:rPr>
          <w:sz w:val="22"/>
          <w:szCs w:val="22"/>
          <w:lang w:val="en-US"/>
        </w:rPr>
      </w:pPr>
      <w:r>
        <w:rPr>
          <w:sz w:val="22"/>
          <w:szCs w:val="22"/>
          <w:lang w:val="en-US"/>
        </w:rPr>
        <w:t>Compliance with US legislation, particularly on animal experimentation</w:t>
      </w:r>
    </w:p>
    <w:p>
      <w:pPr>
        <w:pStyle w:val="Standard"/>
        <w:numPr>
          <w:ilvl w:val="0"/>
          <w:numId w:val="2"/>
        </w:numPr>
        <w:jc w:val="both"/>
        <w:rPr>
          <w:sz w:val="22"/>
          <w:szCs w:val="22"/>
          <w:lang w:val="en-US"/>
        </w:rPr>
      </w:pPr>
      <w:r>
        <w:rPr>
          <w:sz w:val="22"/>
          <w:szCs w:val="22"/>
          <w:lang w:val="en-US"/>
        </w:rPr>
        <w:t>In site specific processes implementation</w:t>
      </w:r>
    </w:p>
    <w:p>
      <w:pPr>
        <w:pStyle w:val="Standard"/>
        <w:numPr>
          <w:ilvl w:val="0"/>
          <w:numId w:val="2"/>
        </w:numPr>
        <w:jc w:val="both"/>
        <w:rPr>
          <w:sz w:val="22"/>
          <w:szCs w:val="22"/>
          <w:lang w:val="en-US"/>
        </w:rPr>
      </w:pPr>
      <w:r>
        <w:rPr>
          <w:sz w:val="22"/>
          <w:szCs w:val="22"/>
          <w:lang w:val="en-US"/>
        </w:rPr>
        <w:t xml:space="preserve">Management and supervision of R&amp;D projects to ensure the highest levels of customer satisfaction </w:t>
      </w:r>
    </w:p>
    <w:p>
      <w:pPr>
        <w:pStyle w:val="Standard"/>
        <w:numPr>
          <w:ilvl w:val="0"/>
          <w:numId w:val="2"/>
        </w:numPr>
        <w:jc w:val="both"/>
        <w:rPr>
          <w:sz w:val="22"/>
          <w:szCs w:val="22"/>
          <w:lang w:val="en-US"/>
        </w:rPr>
      </w:pPr>
      <w:r>
        <w:rPr>
          <w:sz w:val="22"/>
          <w:szCs w:val="22"/>
          <w:lang w:val="en-US"/>
        </w:rPr>
        <w:t>Management of the team (15 persons), resources and activities in line with the company’s Business Plan</w:t>
      </w:r>
    </w:p>
    <w:p>
      <w:pPr>
        <w:pStyle w:val="Standard"/>
        <w:numPr>
          <w:ilvl w:val="0"/>
          <w:numId w:val="2"/>
        </w:numPr>
        <w:jc w:val="both"/>
        <w:rPr>
          <w:sz w:val="22"/>
          <w:szCs w:val="22"/>
          <w:lang w:val="en-US"/>
        </w:rPr>
      </w:pPr>
      <w:r>
        <w:rPr>
          <w:sz w:val="22"/>
          <w:szCs w:val="22"/>
          <w:lang w:val="en-US"/>
        </w:rPr>
        <w:t>Management of site budget. Contribution to business growth. 2016 Turnover corresponding to 35% of the total (France + US) in-life activity.</w:t>
      </w:r>
    </w:p>
    <w:p>
      <w:pPr>
        <w:pStyle w:val="Standard"/>
        <w:numPr>
          <w:ilvl w:val="0"/>
          <w:numId w:val="2"/>
        </w:numPr>
        <w:jc w:val="both"/>
        <w:rPr>
          <w:sz w:val="22"/>
          <w:szCs w:val="22"/>
          <w:lang w:val="en-US"/>
        </w:rPr>
      </w:pPr>
      <w:r>
        <w:rPr>
          <w:sz w:val="22"/>
          <w:szCs w:val="22"/>
          <w:lang w:val="en-US"/>
        </w:rPr>
        <w:t>Launch of new activities for Amatsi Group: clinical studies for vaccine development; ABSL2/BSL2 facility improvement; Coordination with the other Amatsi Group sites.</w:t>
      </w:r>
    </w:p>
    <w:p>
      <w:pPr>
        <w:pStyle w:val="Standard"/>
        <w:numPr>
          <w:ilvl w:val="0"/>
          <w:numId w:val="2"/>
        </w:numPr>
        <w:jc w:val="both"/>
        <w:rPr>
          <w:sz w:val="22"/>
          <w:szCs w:val="22"/>
          <w:lang w:val="en-US"/>
        </w:rPr>
      </w:pPr>
      <w:r>
        <w:rPr>
          <w:sz w:val="22"/>
          <w:szCs w:val="22"/>
          <w:lang w:val="en-US"/>
        </w:rPr>
        <w:t>Reporting to CEO. Involvement and contribution in the Group strategy definition</w:t>
      </w:r>
    </w:p>
    <w:p>
      <w:pPr>
        <w:pStyle w:val="Standard"/>
        <w:ind w:left="720" w:hanging="0"/>
        <w:jc w:val="both"/>
        <w:rPr>
          <w:sz w:val="22"/>
          <w:szCs w:val="22"/>
          <w:lang w:val="en-US"/>
        </w:rPr>
      </w:pPr>
      <w:r>
        <w:rPr>
          <w:sz w:val="22"/>
          <w:szCs w:val="22"/>
          <w:lang w:val="en-US"/>
        </w:rPr>
      </w:r>
    </w:p>
    <w:p>
      <w:pPr>
        <w:pStyle w:val="Heading2"/>
        <w:numPr>
          <w:ilvl w:val="1"/>
          <w:numId w:val="1"/>
        </w:numPr>
        <w:tabs>
          <w:tab w:val="left" w:pos="720" w:leader="none"/>
        </w:tabs>
        <w:spacing w:before="0" w:after="120"/>
        <w:jc w:val="both"/>
        <w:rPr>
          <w:sz w:val="20"/>
          <w:szCs w:val="20"/>
          <w:lang w:val="en-US"/>
        </w:rPr>
      </w:pPr>
      <w:r>
        <w:rPr>
          <w:sz w:val="22"/>
          <w:szCs w:val="22"/>
          <w:lang w:val="en-US"/>
        </w:rPr>
        <w:t>January 2009 – October 2014</w:t>
      </w:r>
    </w:p>
    <w:p>
      <w:pPr>
        <w:pStyle w:val="Standard"/>
        <w:jc w:val="both"/>
        <w:rPr>
          <w:sz w:val="22"/>
          <w:szCs w:val="22"/>
          <w:lang w:val="en-US"/>
        </w:rPr>
      </w:pPr>
      <w:r>
        <w:rPr>
          <w:b/>
          <w:sz w:val="22"/>
          <w:szCs w:val="22"/>
          <w:lang w:val="en-US"/>
        </w:rPr>
        <w:t xml:space="preserve">Study Director: </w:t>
      </w:r>
      <w:r>
        <w:rPr>
          <w:i/>
          <w:iCs/>
          <w:sz w:val="22"/>
          <w:szCs w:val="22"/>
          <w:lang w:val="en-US"/>
        </w:rPr>
        <w:t xml:space="preserve"> </w:t>
      </w:r>
      <w:r>
        <w:rPr>
          <w:sz w:val="22"/>
          <w:szCs w:val="22"/>
          <w:lang w:val="en-US"/>
        </w:rPr>
        <w:t>R&amp;D</w:t>
      </w:r>
      <w:r>
        <w:rPr>
          <w:i/>
          <w:iCs/>
          <w:sz w:val="22"/>
          <w:szCs w:val="22"/>
          <w:lang w:val="en-US"/>
        </w:rPr>
        <w:t xml:space="preserve"> </w:t>
      </w:r>
      <w:r>
        <w:rPr>
          <w:sz w:val="22"/>
          <w:szCs w:val="22"/>
          <w:lang w:val="en-US"/>
        </w:rPr>
        <w:t>bioanalysis and in-life phase at Amatsi Avogadro (Fontenilles, France). Management of pharmacokinetics studies, residues and TAS (Target Animal Safety) studies. Species studied: rodents, rabbit, dog, cat, farm animals (cattle, sheep, goats, pig and poultry), and non-human primates. GLP (Good Laboratory Practice), FDA studies, performed according the AAALAC accreditation. Deputy Vet Care, deputy IACUC member.</w:t>
      </w:r>
    </w:p>
    <w:p>
      <w:pPr>
        <w:pStyle w:val="Standard"/>
        <w:jc w:val="both"/>
        <w:rPr>
          <w:i/>
          <w:i/>
          <w:iCs/>
          <w:sz w:val="22"/>
          <w:szCs w:val="22"/>
          <w:lang w:val="en-US"/>
        </w:rPr>
      </w:pPr>
      <w:r>
        <w:rPr>
          <w:i/>
          <w:iCs/>
          <w:sz w:val="22"/>
          <w:szCs w:val="22"/>
          <w:lang w:val="en-US"/>
        </w:rPr>
      </w:r>
    </w:p>
    <w:p>
      <w:pPr>
        <w:pStyle w:val="Heading2"/>
        <w:numPr>
          <w:ilvl w:val="1"/>
          <w:numId w:val="1"/>
        </w:numPr>
        <w:tabs>
          <w:tab w:val="left" w:pos="720" w:leader="none"/>
        </w:tabs>
        <w:spacing w:before="0" w:after="120"/>
        <w:jc w:val="both"/>
        <w:rPr>
          <w:sz w:val="20"/>
          <w:szCs w:val="20"/>
          <w:lang w:val="en-US"/>
        </w:rPr>
      </w:pPr>
      <w:r>
        <w:rPr>
          <w:sz w:val="22"/>
          <w:szCs w:val="22"/>
          <w:lang w:val="en-US"/>
        </w:rPr>
        <w:t>February 2007 - December 2008</w:t>
      </w:r>
    </w:p>
    <w:p>
      <w:pPr>
        <w:pStyle w:val="Standard"/>
        <w:jc w:val="both"/>
        <w:rPr>
          <w:sz w:val="22"/>
          <w:szCs w:val="22"/>
          <w:lang w:val="en-US"/>
        </w:rPr>
      </w:pPr>
      <w:r>
        <w:rPr>
          <w:b/>
          <w:sz w:val="22"/>
          <w:szCs w:val="22"/>
          <w:lang w:val="en-US"/>
        </w:rPr>
        <w:t>Post-doctoral fellow</w:t>
      </w:r>
      <w:r>
        <w:rPr>
          <w:sz w:val="22"/>
          <w:szCs w:val="22"/>
          <w:lang w:val="en-US"/>
        </w:rPr>
        <w:t xml:space="preserve"> at </w:t>
      </w:r>
      <w:r>
        <w:rPr>
          <w:b/>
          <w:sz w:val="22"/>
          <w:szCs w:val="22"/>
          <w:lang w:val="en-US"/>
        </w:rPr>
        <w:t>INSERM U563</w:t>
      </w:r>
      <w:r>
        <w:rPr>
          <w:sz w:val="22"/>
          <w:szCs w:val="22"/>
          <w:lang w:val="en-US"/>
        </w:rPr>
        <w:t xml:space="preserve"> </w:t>
      </w:r>
      <w:r>
        <w:rPr>
          <w:color w:val="666666"/>
          <w:sz w:val="22"/>
          <w:szCs w:val="22"/>
          <w:lang w:val="en-US"/>
        </w:rPr>
        <w:t>(Dr. X. COLLET, Lipoprotein and Lipid Mediators Department)</w:t>
      </w:r>
      <w:r>
        <w:rPr>
          <w:sz w:val="22"/>
          <w:szCs w:val="22"/>
          <w:lang w:val="en-US"/>
        </w:rPr>
        <w:t xml:space="preserve">. "Intestinal absorption of the </w:t>
      </w:r>
      <w:r>
        <w:rPr>
          <w:bCs/>
          <w:sz w:val="22"/>
          <w:szCs w:val="22"/>
          <w:lang w:val="en-US"/>
        </w:rPr>
        <w:t>liposoluble micronutrients: regulation and interaction".</w:t>
      </w:r>
    </w:p>
    <w:p>
      <w:pPr>
        <w:pStyle w:val="Standard"/>
        <w:jc w:val="both"/>
        <w:rPr>
          <w:sz w:val="22"/>
          <w:szCs w:val="22"/>
          <w:lang w:val="en-US"/>
        </w:rPr>
      </w:pPr>
      <w:r>
        <w:rPr>
          <w:sz w:val="22"/>
          <w:szCs w:val="22"/>
          <w:lang w:val="en-US"/>
        </w:rPr>
      </w:r>
    </w:p>
    <w:p>
      <w:pPr>
        <w:pStyle w:val="Heading2"/>
        <w:numPr>
          <w:ilvl w:val="1"/>
          <w:numId w:val="1"/>
        </w:numPr>
        <w:tabs>
          <w:tab w:val="left" w:pos="720" w:leader="none"/>
        </w:tabs>
        <w:spacing w:before="0" w:after="120"/>
        <w:jc w:val="both"/>
        <w:rPr>
          <w:sz w:val="20"/>
          <w:szCs w:val="20"/>
          <w:lang w:val="en-US"/>
        </w:rPr>
      </w:pPr>
      <w:r>
        <w:rPr>
          <w:sz w:val="22"/>
          <w:szCs w:val="22"/>
          <w:lang w:val="en-US"/>
        </w:rPr>
        <w:t>March 2005 - December 2006</w:t>
      </w:r>
    </w:p>
    <w:p>
      <w:pPr>
        <w:pStyle w:val="Standard"/>
        <w:jc w:val="both"/>
        <w:rPr>
          <w:sz w:val="22"/>
          <w:szCs w:val="22"/>
          <w:lang w:val="en-US"/>
        </w:rPr>
      </w:pPr>
      <w:r>
        <w:rPr>
          <w:b/>
          <w:bCs/>
          <w:sz w:val="22"/>
          <w:szCs w:val="22"/>
          <w:lang w:val="en-US"/>
        </w:rPr>
        <w:t xml:space="preserve">Lecturer </w:t>
      </w:r>
      <w:r>
        <w:rPr>
          <w:bCs/>
          <w:sz w:val="22"/>
          <w:szCs w:val="22"/>
          <w:lang w:val="en-US"/>
        </w:rPr>
        <w:t xml:space="preserve">in </w:t>
      </w:r>
      <w:r>
        <w:rPr>
          <w:b/>
          <w:bCs/>
          <w:sz w:val="22"/>
          <w:szCs w:val="22"/>
          <w:lang w:val="en-US"/>
        </w:rPr>
        <w:t xml:space="preserve">Pharmacology and Toxicology </w:t>
      </w:r>
      <w:r>
        <w:rPr>
          <w:color w:val="666666"/>
          <w:sz w:val="22"/>
          <w:szCs w:val="22"/>
          <w:lang w:val="en-US"/>
        </w:rPr>
        <w:t>(University of Veterinary Medicine of Turin, Italy, Animal Pathology Department)</w:t>
      </w:r>
      <w:r>
        <w:rPr>
          <w:sz w:val="22"/>
          <w:szCs w:val="22"/>
          <w:lang w:val="en-US"/>
        </w:rPr>
        <w:t>. Set-up of a molecular biology laboratory; Research on illicit treatments in farm animal using novel molecular biology tools; Teachings: molecular and cellular pharmacology and toxicology, ruminant’s toxicology; Management of doctoral students; grant writing; Congress organization (2</w:t>
      </w:r>
      <w:r>
        <w:rPr>
          <w:sz w:val="22"/>
          <w:szCs w:val="22"/>
          <w:vertAlign w:val="superscript"/>
          <w:lang w:val="en-US"/>
        </w:rPr>
        <w:t>nd</w:t>
      </w:r>
      <w:r>
        <w:rPr>
          <w:sz w:val="22"/>
          <w:szCs w:val="22"/>
          <w:lang w:val="en-US"/>
        </w:rPr>
        <w:t xml:space="preserve"> ECVPT Workshop on Mycotoxins and 10th International Congress of the European Association for Veterinary Pharmacology and Toxicology (EAVPT), Turin, Italy, 17-22 September 2006).</w:t>
      </w:r>
    </w:p>
    <w:p>
      <w:pPr>
        <w:pStyle w:val="Standard"/>
        <w:jc w:val="both"/>
        <w:rPr>
          <w:sz w:val="22"/>
          <w:szCs w:val="22"/>
          <w:lang w:val="en-US"/>
        </w:rPr>
      </w:pPr>
      <w:r>
        <w:rPr>
          <w:sz w:val="22"/>
          <w:szCs w:val="22"/>
          <w:lang w:val="en-US"/>
        </w:rPr>
      </w:r>
    </w:p>
    <w:p>
      <w:pPr>
        <w:pStyle w:val="Heading2"/>
        <w:numPr>
          <w:ilvl w:val="1"/>
          <w:numId w:val="1"/>
        </w:numPr>
        <w:tabs>
          <w:tab w:val="left" w:pos="720" w:leader="none"/>
        </w:tabs>
        <w:spacing w:before="0" w:after="120"/>
        <w:jc w:val="both"/>
        <w:rPr>
          <w:sz w:val="20"/>
          <w:szCs w:val="20"/>
          <w:lang w:val="en-US"/>
        </w:rPr>
      </w:pPr>
      <w:r>
        <w:rPr>
          <w:sz w:val="22"/>
          <w:szCs w:val="22"/>
          <w:lang w:val="en-US"/>
        </w:rPr>
        <w:t>September - December 2004</w:t>
      </w:r>
    </w:p>
    <w:p>
      <w:pPr>
        <w:pStyle w:val="Standard"/>
        <w:jc w:val="both"/>
        <w:rPr>
          <w:sz w:val="22"/>
          <w:szCs w:val="22"/>
          <w:lang w:val="en-US"/>
        </w:rPr>
      </w:pPr>
      <w:r>
        <w:rPr>
          <w:b/>
          <w:bCs/>
          <w:sz w:val="22"/>
          <w:szCs w:val="22"/>
          <w:lang w:val="en-US"/>
        </w:rPr>
        <w:t>Researcher</w:t>
      </w:r>
      <w:r>
        <w:rPr>
          <w:bCs/>
          <w:sz w:val="22"/>
          <w:szCs w:val="22"/>
          <w:lang w:val="en-US"/>
        </w:rPr>
        <w:t xml:space="preserve"> in </w:t>
      </w:r>
      <w:r>
        <w:rPr>
          <w:b/>
          <w:bCs/>
          <w:sz w:val="22"/>
          <w:szCs w:val="22"/>
          <w:lang w:val="en-US"/>
        </w:rPr>
        <w:t xml:space="preserve">Pharmacology and Toxicology </w:t>
      </w:r>
      <w:r>
        <w:rPr>
          <w:color w:val="666666"/>
          <w:sz w:val="22"/>
          <w:szCs w:val="22"/>
          <w:lang w:val="en-US"/>
        </w:rPr>
        <w:t>(Pr A. Zaghini, Univ. Vet. Med. of Bologna, Animal Pathology and Veterinary Public Health Department)</w:t>
      </w:r>
      <w:r>
        <w:rPr>
          <w:sz w:val="22"/>
          <w:szCs w:val="22"/>
          <w:lang w:val="en-US"/>
        </w:rPr>
        <w:t>. Analysis of residues of veterinary medicinal products in animal foodstuff. Bioanalysis, HPLC, ELISA.</w:t>
      </w:r>
    </w:p>
    <w:p>
      <w:pPr>
        <w:pStyle w:val="Heading2"/>
        <w:numPr>
          <w:ilvl w:val="1"/>
          <w:numId w:val="1"/>
        </w:numPr>
        <w:tabs>
          <w:tab w:val="left" w:pos="720" w:leader="none"/>
        </w:tabs>
        <w:spacing w:before="0" w:after="120"/>
        <w:jc w:val="both"/>
        <w:rPr>
          <w:sz w:val="20"/>
          <w:szCs w:val="20"/>
          <w:lang w:val="en-US"/>
        </w:rPr>
      </w:pPr>
      <w:r>
        <w:rPr>
          <w:sz w:val="22"/>
          <w:szCs w:val="22"/>
          <w:lang w:val="en-US"/>
        </w:rPr>
        <w:t>November 2003 – July 2004</w:t>
      </w:r>
    </w:p>
    <w:p>
      <w:pPr>
        <w:pStyle w:val="Standard"/>
        <w:jc w:val="both"/>
        <w:rPr>
          <w:sz w:val="22"/>
          <w:szCs w:val="22"/>
          <w:lang w:val="en-US"/>
        </w:rPr>
      </w:pPr>
      <w:r>
        <w:rPr>
          <w:b/>
          <w:bCs/>
          <w:sz w:val="22"/>
          <w:szCs w:val="22"/>
          <w:lang w:val="en-US"/>
        </w:rPr>
        <w:t>Researcher</w:t>
      </w:r>
      <w:r>
        <w:rPr>
          <w:bCs/>
          <w:sz w:val="22"/>
          <w:szCs w:val="22"/>
          <w:lang w:val="en-US"/>
        </w:rPr>
        <w:t xml:space="preserve"> in </w:t>
      </w:r>
      <w:r>
        <w:rPr>
          <w:b/>
          <w:bCs/>
          <w:sz w:val="22"/>
          <w:szCs w:val="22"/>
          <w:lang w:val="en-US"/>
        </w:rPr>
        <w:t xml:space="preserve">Pharmacology and Toxicology </w:t>
      </w:r>
      <w:r>
        <w:rPr>
          <w:color w:val="666666"/>
          <w:sz w:val="22"/>
          <w:szCs w:val="22"/>
          <w:lang w:val="en-US"/>
        </w:rPr>
        <w:t>(Pr M. Dacasto, Univ. Vet. Med of Padua)</w:t>
      </w:r>
      <w:r>
        <w:rPr>
          <w:sz w:val="22"/>
          <w:szCs w:val="22"/>
          <w:lang w:val="en-US"/>
        </w:rPr>
        <w:t>. Molecular biology of the xenobiotic-metabolizing enzymes in cattle.</w:t>
      </w:r>
    </w:p>
    <w:p>
      <w:pPr>
        <w:pStyle w:val="Standard"/>
        <w:jc w:val="both"/>
        <w:rPr>
          <w:sz w:val="22"/>
          <w:szCs w:val="22"/>
          <w:lang w:val="en-US"/>
        </w:rPr>
      </w:pPr>
      <w:r>
        <w:rPr>
          <w:sz w:val="22"/>
          <w:szCs w:val="22"/>
          <w:lang w:val="en-US"/>
        </w:rPr>
      </w:r>
    </w:p>
    <w:p>
      <w:pPr>
        <w:pStyle w:val="Heading2"/>
        <w:numPr>
          <w:ilvl w:val="1"/>
          <w:numId w:val="1"/>
        </w:numPr>
        <w:tabs>
          <w:tab w:val="left" w:pos="720" w:leader="none"/>
        </w:tabs>
        <w:spacing w:before="0" w:after="120"/>
        <w:jc w:val="both"/>
        <w:rPr>
          <w:sz w:val="20"/>
          <w:szCs w:val="20"/>
          <w:lang w:val="en-US"/>
        </w:rPr>
      </w:pPr>
      <w:r>
        <w:rPr>
          <w:sz w:val="22"/>
          <w:szCs w:val="22"/>
          <w:lang w:val="en-US"/>
        </w:rPr>
        <w:t>May 2004 – July 2004</w:t>
      </w:r>
    </w:p>
    <w:p>
      <w:pPr>
        <w:pStyle w:val="Standard"/>
        <w:jc w:val="both"/>
        <w:rPr>
          <w:sz w:val="22"/>
          <w:szCs w:val="22"/>
          <w:lang w:val="en-US"/>
        </w:rPr>
      </w:pPr>
      <w:r>
        <w:rPr>
          <w:b/>
          <w:bCs/>
          <w:sz w:val="22"/>
          <w:szCs w:val="22"/>
          <w:lang w:val="en-US"/>
        </w:rPr>
        <w:t>Researcher</w:t>
      </w:r>
      <w:r>
        <w:rPr>
          <w:bCs/>
          <w:sz w:val="22"/>
          <w:szCs w:val="22"/>
          <w:lang w:val="en-US"/>
        </w:rPr>
        <w:t xml:space="preserve"> in </w:t>
      </w:r>
      <w:r>
        <w:rPr>
          <w:b/>
          <w:bCs/>
          <w:sz w:val="22"/>
          <w:szCs w:val="22"/>
          <w:lang w:val="en-US"/>
        </w:rPr>
        <w:t xml:space="preserve">Pharmacology and Toxicology </w:t>
      </w:r>
      <w:r>
        <w:rPr>
          <w:color w:val="666666"/>
          <w:sz w:val="22"/>
          <w:szCs w:val="22"/>
          <w:lang w:val="en-US"/>
        </w:rPr>
        <w:t>(Dr T. Pineau, Research institute in Pharmacology and Toxicology, INRA UR66)</w:t>
      </w:r>
      <w:r>
        <w:rPr>
          <w:sz w:val="22"/>
          <w:szCs w:val="22"/>
          <w:lang w:val="en-US"/>
        </w:rPr>
        <w:t>. In collaboration with Pr. Mauro Dacasto, University of Padova, Italia. Funded by a Galileo grant. Development of molecular biology tools for the study of illicit treatment in the bovine species. Molecular biology of the xenobiotic-metabolizing enzymes in cattle.</w:t>
      </w:r>
    </w:p>
    <w:p>
      <w:pPr>
        <w:pStyle w:val="Standard"/>
        <w:jc w:val="both"/>
        <w:rPr>
          <w:sz w:val="22"/>
          <w:szCs w:val="22"/>
          <w:lang w:val="en-US"/>
        </w:rPr>
      </w:pPr>
      <w:r>
        <w:rPr>
          <w:sz w:val="22"/>
          <w:szCs w:val="22"/>
          <w:lang w:val="en-US"/>
        </w:rPr>
      </w:r>
    </w:p>
    <w:p>
      <w:pPr>
        <w:pStyle w:val="Heading2"/>
        <w:numPr>
          <w:ilvl w:val="1"/>
          <w:numId w:val="1"/>
        </w:numPr>
        <w:tabs>
          <w:tab w:val="left" w:pos="720" w:leader="none"/>
        </w:tabs>
        <w:spacing w:before="0" w:after="120"/>
        <w:jc w:val="both"/>
        <w:rPr>
          <w:sz w:val="20"/>
          <w:szCs w:val="20"/>
          <w:lang w:val="en-US"/>
        </w:rPr>
      </w:pPr>
      <w:r>
        <w:rPr>
          <w:sz w:val="22"/>
          <w:szCs w:val="22"/>
          <w:lang w:val="en-US"/>
        </w:rPr>
        <w:t>November 1999 –November 2000</w:t>
      </w:r>
    </w:p>
    <w:p>
      <w:pPr>
        <w:pStyle w:val="Standard"/>
        <w:jc w:val="both"/>
        <w:rPr>
          <w:sz w:val="22"/>
          <w:szCs w:val="22"/>
          <w:lang w:val="en-US"/>
        </w:rPr>
      </w:pPr>
      <w:r>
        <w:rPr>
          <w:b/>
          <w:bCs/>
          <w:sz w:val="22"/>
          <w:szCs w:val="22"/>
          <w:lang w:val="en-US"/>
        </w:rPr>
        <w:t xml:space="preserve">Scholarship holder </w:t>
      </w:r>
      <w:r>
        <w:rPr>
          <w:bCs/>
          <w:sz w:val="22"/>
          <w:szCs w:val="22"/>
          <w:lang w:val="en-US"/>
        </w:rPr>
        <w:t>i</w:t>
      </w:r>
      <w:r>
        <w:rPr>
          <w:sz w:val="22"/>
          <w:szCs w:val="22"/>
          <w:lang w:val="en-US"/>
        </w:rPr>
        <w:t xml:space="preserve">n </w:t>
      </w:r>
      <w:r>
        <w:rPr>
          <w:b/>
          <w:bCs/>
          <w:sz w:val="22"/>
          <w:szCs w:val="22"/>
          <w:lang w:val="en-US"/>
        </w:rPr>
        <w:t>Pharmacology and Toxicology</w:t>
      </w:r>
      <w:r>
        <w:rPr>
          <w:sz w:val="22"/>
          <w:szCs w:val="22"/>
          <w:lang w:val="en-US"/>
        </w:rPr>
        <w:t xml:space="preserve"> </w:t>
      </w:r>
      <w:r>
        <w:rPr>
          <w:color w:val="666666"/>
          <w:sz w:val="22"/>
          <w:szCs w:val="22"/>
          <w:lang w:val="en-US"/>
        </w:rPr>
        <w:t>(Pr A. Zaghini, Univ. Vet. Med. of Bologna)</w:t>
      </w:r>
      <w:r>
        <w:rPr>
          <w:sz w:val="22"/>
          <w:szCs w:val="22"/>
          <w:lang w:val="en-US"/>
        </w:rPr>
        <w:t xml:space="preserve">. </w:t>
      </w:r>
      <w:r>
        <w:rPr>
          <w:i/>
          <w:sz w:val="22"/>
          <w:szCs w:val="22"/>
          <w:lang w:val="en-US"/>
        </w:rPr>
        <w:t>In-vivo</w:t>
      </w:r>
      <w:r>
        <w:rPr>
          <w:sz w:val="22"/>
          <w:szCs w:val="22"/>
          <w:lang w:val="en-US"/>
        </w:rPr>
        <w:t xml:space="preserve"> studies in the rabbit, pig and cattle. Bioanalysis, HPLC.</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r>
    </w:p>
    <w:tbl>
      <w:tblPr>
        <w:tblW w:w="3150" w:type="dxa"/>
        <w:jc w:val="left"/>
        <w:tblInd w:w="2967" w:type="dxa"/>
        <w:tblBorders/>
        <w:tblCellMar>
          <w:top w:w="55" w:type="dxa"/>
          <w:left w:w="55" w:type="dxa"/>
          <w:bottom w:w="55" w:type="dxa"/>
          <w:right w:w="55" w:type="dxa"/>
        </w:tblCellMar>
        <w:tblLook w:noVBand="0" w:val="0000" w:noHBand="0" w:lastColumn="0" w:firstColumn="0" w:lastRow="0" w:firstRow="0"/>
      </w:tblPr>
      <w:tblGrid>
        <w:gridCol w:w="3150"/>
      </w:tblGrid>
      <w:tr>
        <w:trPr/>
        <w:tc>
          <w:tcPr>
            <w:tcW w:w="3150" w:type="dxa"/>
            <w:tcBorders/>
            <w:shd w:color="auto" w:fill="CFE7F5" w:val="clear"/>
          </w:tcPr>
          <w:p>
            <w:pPr>
              <w:pStyle w:val="Standard"/>
              <w:jc w:val="center"/>
              <w:rPr>
                <w:sz w:val="22"/>
                <w:szCs w:val="22"/>
                <w:lang w:val="en-US"/>
              </w:rPr>
            </w:pPr>
            <w:r>
              <w:rPr>
                <w:sz w:val="22"/>
                <w:szCs w:val="22"/>
                <w:lang w:val="en-US"/>
              </w:rPr>
              <w:t>TRAINING and DEGREES</w:t>
            </w:r>
          </w:p>
        </w:tc>
      </w:tr>
    </w:tbl>
    <w:p>
      <w:pPr>
        <w:pStyle w:val="Standard"/>
        <w:jc w:val="both"/>
        <w:rPr>
          <w:sz w:val="22"/>
          <w:szCs w:val="22"/>
          <w:lang w:val="en-US"/>
        </w:rPr>
      </w:pPr>
      <w:r>
        <w:rPr>
          <w:sz w:val="22"/>
          <w:szCs w:val="22"/>
          <w:lang w:val="en-US"/>
        </w:rPr>
      </w:r>
    </w:p>
    <w:p>
      <w:pPr>
        <w:pStyle w:val="Heading2"/>
        <w:numPr>
          <w:ilvl w:val="1"/>
          <w:numId w:val="1"/>
        </w:numPr>
        <w:tabs>
          <w:tab w:val="left" w:pos="720" w:leader="none"/>
        </w:tabs>
        <w:spacing w:before="0" w:after="120"/>
        <w:jc w:val="both"/>
        <w:rPr>
          <w:sz w:val="20"/>
          <w:szCs w:val="20"/>
          <w:lang w:val="en-US"/>
        </w:rPr>
      </w:pPr>
      <w:r>
        <w:rPr>
          <w:sz w:val="20"/>
          <w:szCs w:val="20"/>
          <w:lang w:val="en-US"/>
        </w:rPr>
        <w:t>17</w:t>
      </w:r>
      <w:r>
        <w:rPr>
          <w:sz w:val="20"/>
          <w:szCs w:val="20"/>
          <w:vertAlign w:val="superscript"/>
          <w:lang w:val="en-US"/>
        </w:rPr>
        <w:t>th</w:t>
      </w:r>
      <w:r>
        <w:rPr>
          <w:sz w:val="20"/>
          <w:szCs w:val="20"/>
          <w:lang w:val="en-US"/>
        </w:rPr>
        <w:t xml:space="preserve"> February 2020- On-going (Graduation on May 6</w:t>
      </w:r>
      <w:r>
        <w:rPr>
          <w:sz w:val="20"/>
          <w:szCs w:val="20"/>
          <w:vertAlign w:val="superscript"/>
          <w:lang w:val="en-US"/>
        </w:rPr>
        <w:t>th</w:t>
      </w:r>
      <w:r>
        <w:rPr>
          <w:sz w:val="20"/>
          <w:szCs w:val="20"/>
          <w:lang w:val="en-US"/>
        </w:rPr>
        <w:t>, 2022)</w:t>
      </w:r>
    </w:p>
    <w:p>
      <w:pPr>
        <w:pStyle w:val="Standard"/>
        <w:jc w:val="both"/>
        <w:rPr>
          <w:sz w:val="22"/>
          <w:szCs w:val="22"/>
          <w:lang w:val="en-US"/>
        </w:rPr>
      </w:pPr>
      <w:r>
        <w:rPr>
          <w:b/>
          <w:bCs/>
          <w:iCs/>
          <w:sz w:val="22"/>
          <w:szCs w:val="22"/>
          <w:lang w:val="en-US"/>
        </w:rPr>
        <w:t xml:space="preserve">MBA on-line program at the Kelley Business School, Bloomington Indiana. </w:t>
      </w:r>
      <w:r>
        <w:rPr>
          <w:sz w:val="22"/>
          <w:szCs w:val="22"/>
          <w:lang w:val="en-US"/>
        </w:rPr>
        <w:t>Selected for a Kelley Direct Scholarship. The scholarship carried with it a remission of $200 per credit hour of enrollment per term for a total reward amount of 10,800$.</w:t>
      </w:r>
    </w:p>
    <w:p>
      <w:pPr>
        <w:pStyle w:val="Standard"/>
        <w:rPr>
          <w:lang w:val="en-US"/>
        </w:rPr>
      </w:pPr>
      <w:r>
        <w:rPr>
          <w:lang w:val="en-US"/>
        </w:rPr>
      </w:r>
    </w:p>
    <w:p>
      <w:pPr>
        <w:pStyle w:val="Heading2"/>
        <w:numPr>
          <w:ilvl w:val="1"/>
          <w:numId w:val="1"/>
        </w:numPr>
        <w:tabs>
          <w:tab w:val="left" w:pos="720" w:leader="none"/>
        </w:tabs>
        <w:spacing w:before="0" w:after="120"/>
        <w:jc w:val="both"/>
        <w:rPr>
          <w:sz w:val="20"/>
          <w:szCs w:val="20"/>
          <w:lang w:val="en-US"/>
        </w:rPr>
      </w:pPr>
      <w:r>
        <w:rPr>
          <w:sz w:val="20"/>
          <w:szCs w:val="20"/>
          <w:lang w:val="en-US"/>
        </w:rPr>
        <w:t>13 March 2018 – 04 October 2019</w:t>
      </w:r>
    </w:p>
    <w:p>
      <w:pPr>
        <w:pStyle w:val="Standard"/>
        <w:jc w:val="both"/>
        <w:rPr>
          <w:b/>
          <w:b/>
          <w:bCs/>
          <w:iCs/>
          <w:sz w:val="22"/>
          <w:szCs w:val="22"/>
          <w:lang w:val="en-US"/>
        </w:rPr>
      </w:pPr>
      <w:r>
        <w:rPr>
          <w:b/>
          <w:bCs/>
          <w:iCs/>
          <w:sz w:val="22"/>
          <w:szCs w:val="22"/>
          <w:lang w:val="en-US"/>
        </w:rPr>
        <w:t xml:space="preserve">Master Degree in “Executive Profession”, TBS Business School, Toulouse, France. </w:t>
      </w:r>
    </w:p>
    <w:p>
      <w:pPr>
        <w:pStyle w:val="Standard"/>
        <w:jc w:val="both"/>
        <w:rPr>
          <w:lang w:val="en-US"/>
        </w:rPr>
      </w:pPr>
      <w:r>
        <w:rPr>
          <w:lang w:val="en-US"/>
        </w:rPr>
      </w:r>
    </w:p>
    <w:p>
      <w:pPr>
        <w:pStyle w:val="Heading2"/>
        <w:numPr>
          <w:ilvl w:val="1"/>
          <w:numId w:val="1"/>
        </w:numPr>
        <w:tabs>
          <w:tab w:val="left" w:pos="720" w:leader="none"/>
        </w:tabs>
        <w:spacing w:before="0" w:after="120"/>
        <w:jc w:val="both"/>
        <w:rPr>
          <w:sz w:val="20"/>
          <w:szCs w:val="20"/>
          <w:lang w:val="en-US"/>
        </w:rPr>
      </w:pPr>
      <w:r>
        <w:rPr>
          <w:sz w:val="22"/>
          <w:szCs w:val="22"/>
          <w:lang w:val="en-US"/>
        </w:rPr>
        <w:t>7-12 July 2016</w:t>
      </w:r>
    </w:p>
    <w:p>
      <w:pPr>
        <w:pStyle w:val="Standard"/>
        <w:jc w:val="both"/>
        <w:rPr>
          <w:bCs/>
          <w:iCs/>
          <w:sz w:val="22"/>
          <w:szCs w:val="22"/>
          <w:lang w:val="en-US"/>
        </w:rPr>
      </w:pPr>
      <w:r>
        <w:rPr>
          <w:b/>
          <w:bCs/>
          <w:iCs/>
          <w:sz w:val="22"/>
          <w:szCs w:val="22"/>
          <w:lang w:val="en-US"/>
        </w:rPr>
        <w:t>Biosafety and Biosecurity Training Course</w:t>
      </w:r>
      <w:r>
        <w:rPr>
          <w:bCs/>
          <w:iCs/>
          <w:sz w:val="22"/>
          <w:szCs w:val="22"/>
          <w:lang w:val="en-US"/>
        </w:rPr>
        <w:t xml:space="preserve"> – Fort Collins, Colorado, USA</w:t>
      </w:r>
    </w:p>
    <w:p>
      <w:pPr>
        <w:pStyle w:val="Standard"/>
        <w:jc w:val="both"/>
        <w:rPr>
          <w:bCs/>
          <w:iCs/>
          <w:sz w:val="22"/>
          <w:szCs w:val="22"/>
          <w:lang w:val="en-US"/>
        </w:rPr>
      </w:pPr>
      <w:r>
        <w:rPr>
          <w:bCs/>
          <w:iCs/>
          <w:sz w:val="22"/>
          <w:szCs w:val="22"/>
          <w:lang w:val="en-US"/>
        </w:rPr>
      </w:r>
    </w:p>
    <w:p>
      <w:pPr>
        <w:pStyle w:val="Heading2"/>
        <w:numPr>
          <w:ilvl w:val="1"/>
          <w:numId w:val="1"/>
        </w:numPr>
        <w:tabs>
          <w:tab w:val="left" w:pos="720" w:leader="none"/>
        </w:tabs>
        <w:spacing w:before="0" w:after="120"/>
        <w:jc w:val="both"/>
        <w:rPr>
          <w:sz w:val="20"/>
          <w:szCs w:val="20"/>
          <w:lang w:val="en-US"/>
        </w:rPr>
      </w:pPr>
      <w:r>
        <w:rPr>
          <w:sz w:val="22"/>
          <w:szCs w:val="22"/>
          <w:lang w:val="en-US"/>
        </w:rPr>
        <w:t>8-11 Sep 2014</w:t>
      </w:r>
    </w:p>
    <w:p>
      <w:pPr>
        <w:pStyle w:val="Standard"/>
        <w:jc w:val="both"/>
        <w:rPr>
          <w:sz w:val="22"/>
          <w:szCs w:val="22"/>
          <w:lang w:val="en-US"/>
        </w:rPr>
      </w:pPr>
      <w:r>
        <w:rPr>
          <w:b/>
          <w:iCs/>
          <w:sz w:val="22"/>
          <w:szCs w:val="22"/>
          <w:lang w:val="en-US"/>
        </w:rPr>
        <w:t>Pharmacokinetic: key role in the pharmaceutical industry</w:t>
      </w:r>
      <w:r>
        <w:rPr>
          <w:b/>
          <w:i/>
          <w:iCs/>
          <w:sz w:val="22"/>
          <w:szCs w:val="22"/>
          <w:lang w:val="en-US"/>
        </w:rPr>
        <w:t xml:space="preserve"> </w:t>
      </w:r>
      <w:r>
        <w:rPr>
          <w:iCs/>
          <w:sz w:val="22"/>
          <w:szCs w:val="22"/>
          <w:lang w:val="en-US"/>
        </w:rPr>
        <w:t>(training)</w:t>
      </w:r>
      <w:r>
        <w:rPr>
          <w:bCs/>
          <w:iCs/>
          <w:sz w:val="22"/>
          <w:szCs w:val="22"/>
          <w:lang w:val="en-US"/>
        </w:rPr>
        <w:t xml:space="preserve"> – </w:t>
      </w:r>
      <w:r>
        <w:rPr>
          <w:sz w:val="22"/>
          <w:szCs w:val="22"/>
          <w:lang w:val="en-US"/>
        </w:rPr>
        <w:t>University of Strasbourg, France</w:t>
      </w:r>
    </w:p>
    <w:p>
      <w:pPr>
        <w:pStyle w:val="Standard"/>
        <w:jc w:val="both"/>
        <w:rPr>
          <w:bCs/>
          <w:iCs/>
          <w:sz w:val="22"/>
          <w:szCs w:val="22"/>
          <w:lang w:val="en-US"/>
        </w:rPr>
      </w:pPr>
      <w:r>
        <w:rPr>
          <w:bCs/>
          <w:iCs/>
          <w:sz w:val="22"/>
          <w:szCs w:val="22"/>
          <w:lang w:val="en-US"/>
        </w:rPr>
      </w:r>
    </w:p>
    <w:p>
      <w:pPr>
        <w:pStyle w:val="Heading2"/>
        <w:numPr>
          <w:ilvl w:val="1"/>
          <w:numId w:val="1"/>
        </w:numPr>
        <w:tabs>
          <w:tab w:val="left" w:pos="720" w:leader="none"/>
        </w:tabs>
        <w:spacing w:before="0" w:after="120"/>
        <w:jc w:val="both"/>
        <w:rPr>
          <w:sz w:val="22"/>
          <w:szCs w:val="22"/>
          <w:lang w:val="en-US"/>
        </w:rPr>
      </w:pPr>
      <w:r>
        <w:rPr>
          <w:sz w:val="22"/>
          <w:szCs w:val="22"/>
          <w:lang w:val="en-US"/>
        </w:rPr>
        <w:t>Sept 2013</w:t>
      </w:r>
    </w:p>
    <w:p>
      <w:pPr>
        <w:pStyle w:val="Standard"/>
        <w:jc w:val="both"/>
        <w:rPr>
          <w:sz w:val="22"/>
          <w:szCs w:val="22"/>
          <w:lang w:val="en-US"/>
        </w:rPr>
      </w:pPr>
      <w:r>
        <w:rPr>
          <w:b/>
          <w:iCs/>
          <w:sz w:val="22"/>
          <w:szCs w:val="22"/>
          <w:lang w:val="en-US"/>
        </w:rPr>
        <w:t>Level I</w:t>
      </w:r>
      <w:r>
        <w:rPr>
          <w:i/>
          <w:iCs/>
          <w:sz w:val="22"/>
          <w:szCs w:val="22"/>
          <w:lang w:val="en-US"/>
        </w:rPr>
        <w:t xml:space="preserve"> (highest)</w:t>
      </w:r>
      <w:r>
        <w:rPr>
          <w:b/>
          <w:bCs/>
          <w:i/>
          <w:iCs/>
          <w:sz w:val="22"/>
          <w:szCs w:val="22"/>
          <w:lang w:val="en-US"/>
        </w:rPr>
        <w:t xml:space="preserve"> </w:t>
      </w:r>
      <w:r>
        <w:rPr>
          <w:bCs/>
          <w:iCs/>
          <w:sz w:val="22"/>
          <w:szCs w:val="22"/>
          <w:lang w:val="en-US"/>
        </w:rPr>
        <w:t>on the</w:t>
      </w:r>
      <w:r>
        <w:rPr>
          <w:i/>
          <w:iCs/>
          <w:sz w:val="22"/>
          <w:szCs w:val="22"/>
          <w:lang w:val="en-US"/>
        </w:rPr>
        <w:t xml:space="preserve"> Use and Care of Laboratory animals </w:t>
      </w:r>
      <w:r>
        <w:rPr>
          <w:iCs/>
          <w:color w:val="666666"/>
          <w:sz w:val="22"/>
          <w:szCs w:val="22"/>
          <w:lang w:val="en-US"/>
        </w:rPr>
        <w:t>(School of Vet. Med. of Toulouse, France)</w:t>
      </w:r>
    </w:p>
    <w:p>
      <w:pPr>
        <w:pStyle w:val="Standard"/>
        <w:jc w:val="both"/>
        <w:rPr>
          <w:i/>
          <w:i/>
          <w:iCs/>
          <w:sz w:val="22"/>
          <w:szCs w:val="22"/>
          <w:lang w:val="en-US"/>
        </w:rPr>
      </w:pPr>
      <w:r>
        <w:rPr>
          <w:i/>
          <w:iCs/>
          <w:sz w:val="22"/>
          <w:szCs w:val="22"/>
          <w:lang w:val="en-US"/>
        </w:rPr>
      </w:r>
    </w:p>
    <w:p>
      <w:pPr>
        <w:pStyle w:val="Heading2"/>
        <w:numPr>
          <w:ilvl w:val="1"/>
          <w:numId w:val="1"/>
        </w:numPr>
        <w:tabs>
          <w:tab w:val="left" w:pos="720" w:leader="none"/>
        </w:tabs>
        <w:spacing w:before="0" w:after="120"/>
        <w:jc w:val="both"/>
        <w:rPr>
          <w:sz w:val="22"/>
          <w:szCs w:val="22"/>
          <w:lang w:val="en-US"/>
        </w:rPr>
      </w:pPr>
      <w:r>
        <w:rPr>
          <w:sz w:val="22"/>
          <w:szCs w:val="22"/>
          <w:lang w:val="en-US"/>
        </w:rPr>
        <w:t>December 2000 – October 2003</w:t>
      </w:r>
    </w:p>
    <w:p>
      <w:pPr>
        <w:pStyle w:val="Standard"/>
        <w:jc w:val="both"/>
        <w:rPr>
          <w:sz w:val="22"/>
          <w:szCs w:val="22"/>
          <w:lang w:val="en-US"/>
        </w:rPr>
      </w:pPr>
      <w:r>
        <w:rPr>
          <w:b/>
          <w:sz w:val="22"/>
          <w:szCs w:val="22"/>
          <w:lang w:val="en-US"/>
        </w:rPr>
        <w:t>Doctoral fellowship</w:t>
      </w:r>
      <w:r>
        <w:rPr>
          <w:sz w:val="22"/>
          <w:szCs w:val="22"/>
          <w:lang w:val="en-US"/>
        </w:rPr>
        <w:t xml:space="preserve"> (</w:t>
      </w:r>
      <w:r>
        <w:rPr>
          <w:b/>
          <w:sz w:val="22"/>
          <w:szCs w:val="22"/>
          <w:lang w:val="en-US"/>
        </w:rPr>
        <w:t>PhD</w:t>
      </w:r>
      <w:r>
        <w:rPr>
          <w:sz w:val="22"/>
          <w:szCs w:val="22"/>
          <w:lang w:val="en-US"/>
        </w:rPr>
        <w:t xml:space="preserve">) in Pharmacology-toxicology - Basic Science and Veterinary Biotechnology </w:t>
      </w:r>
      <w:r>
        <w:rPr>
          <w:color w:val="666666"/>
          <w:sz w:val="22"/>
          <w:szCs w:val="22"/>
          <w:lang w:val="en-US"/>
        </w:rPr>
        <w:t>(Pr. M. Dacasto, Univ. Vet. Med. of Turin)</w:t>
      </w:r>
      <w:r>
        <w:rPr>
          <w:sz w:val="22"/>
          <w:szCs w:val="22"/>
          <w:lang w:val="en-US"/>
        </w:rPr>
        <w:t xml:space="preserve"> « </w:t>
      </w:r>
      <w:r>
        <w:rPr>
          <w:i/>
          <w:iCs/>
          <w:sz w:val="22"/>
          <w:szCs w:val="22"/>
          <w:lang w:val="en-US"/>
        </w:rPr>
        <w:t>Effects of illegal treatments on the animal welfare and on the liver metabolizing enzymes in food producing species</w:t>
      </w:r>
      <w:r>
        <w:rPr>
          <w:sz w:val="22"/>
          <w:szCs w:val="22"/>
          <w:lang w:val="en-US"/>
        </w:rPr>
        <w:t> ». PK-Tox. Metabolism. Molecular biology.</w:t>
      </w:r>
    </w:p>
    <w:p>
      <w:pPr>
        <w:pStyle w:val="Standard"/>
        <w:jc w:val="both"/>
        <w:rPr>
          <w:sz w:val="22"/>
          <w:szCs w:val="22"/>
          <w:lang w:val="en-US"/>
        </w:rPr>
      </w:pPr>
      <w:r>
        <w:rPr>
          <w:sz w:val="22"/>
          <w:szCs w:val="22"/>
          <w:lang w:val="en-US"/>
        </w:rPr>
      </w:r>
    </w:p>
    <w:p>
      <w:pPr>
        <w:pStyle w:val="Heading2"/>
        <w:numPr>
          <w:ilvl w:val="1"/>
          <w:numId w:val="1"/>
        </w:numPr>
        <w:tabs>
          <w:tab w:val="left" w:pos="720" w:leader="none"/>
        </w:tabs>
        <w:spacing w:before="0" w:after="120"/>
        <w:jc w:val="both"/>
        <w:rPr>
          <w:bCs/>
          <w:sz w:val="22"/>
          <w:szCs w:val="22"/>
          <w:lang w:val="en-US"/>
        </w:rPr>
      </w:pPr>
      <w:r>
        <w:rPr>
          <w:bCs/>
          <w:sz w:val="22"/>
          <w:szCs w:val="22"/>
          <w:lang w:val="en-US"/>
        </w:rPr>
        <w:t>January 1998-November 1999</w:t>
      </w:r>
    </w:p>
    <w:p>
      <w:pPr>
        <w:pStyle w:val="Standard"/>
        <w:jc w:val="both"/>
        <w:rPr>
          <w:sz w:val="22"/>
          <w:szCs w:val="22"/>
          <w:lang w:val="en-US"/>
        </w:rPr>
      </w:pPr>
      <w:r>
        <w:rPr>
          <w:b/>
          <w:bCs/>
          <w:sz w:val="22"/>
          <w:szCs w:val="22"/>
          <w:lang w:val="en-US"/>
        </w:rPr>
        <w:t xml:space="preserve">Preparation and defense of the Veterinary Medicine degree </w:t>
      </w:r>
      <w:r>
        <w:rPr>
          <w:color w:val="666666"/>
          <w:sz w:val="22"/>
          <w:szCs w:val="22"/>
          <w:lang w:val="en-US"/>
        </w:rPr>
        <w:t>(Pr. A. Zaghini, Univ. Vet. Med. of Bologna)</w:t>
      </w:r>
      <w:r>
        <w:rPr>
          <w:sz w:val="22"/>
          <w:szCs w:val="22"/>
          <w:lang w:val="en-US"/>
        </w:rPr>
        <w:t xml:space="preserve">. «Research of mycotoxins in the turkey feed ». Bioanalysis, HPLC. </w:t>
      </w:r>
    </w:p>
    <w:p>
      <w:pPr>
        <w:pStyle w:val="Standard"/>
        <w:jc w:val="both"/>
        <w:rPr>
          <w:sz w:val="22"/>
          <w:szCs w:val="22"/>
          <w:lang w:val="en-US"/>
        </w:rPr>
      </w:pPr>
      <w:r>
        <w:rPr>
          <w:sz w:val="22"/>
          <w:szCs w:val="22"/>
          <w:lang w:val="en-US"/>
        </w:rPr>
      </w:r>
    </w:p>
    <w:p>
      <w:pPr>
        <w:pStyle w:val="Standard"/>
        <w:rPr>
          <w:sz w:val="22"/>
          <w:szCs w:val="22"/>
          <w:lang w:val="en-US"/>
        </w:rPr>
      </w:pPr>
      <w:r>
        <w:rPr>
          <w:bCs/>
          <w:i/>
          <w:iCs/>
          <w:sz w:val="22"/>
          <w:szCs w:val="22"/>
          <w:lang w:val="en-US"/>
        </w:rPr>
        <w:t xml:space="preserve">September 1992-January 1998. </w:t>
      </w:r>
      <w:r>
        <w:rPr>
          <w:bCs/>
          <w:sz w:val="22"/>
          <w:szCs w:val="22"/>
          <w:lang w:val="en-US"/>
        </w:rPr>
        <w:t>University academic</w:t>
      </w:r>
      <w:r>
        <w:rPr>
          <w:bCs/>
          <w:i/>
          <w:iCs/>
          <w:sz w:val="22"/>
          <w:szCs w:val="22"/>
          <w:lang w:val="en-US"/>
        </w:rPr>
        <w:t xml:space="preserve"> </w:t>
      </w:r>
      <w:r>
        <w:rPr>
          <w:bCs/>
          <w:sz w:val="22"/>
          <w:szCs w:val="22"/>
          <w:lang w:val="en-US"/>
        </w:rPr>
        <w:t>training at the Univ. Vet. Med. of Bologna, Italy.</w:t>
      </w:r>
    </w:p>
    <w:p>
      <w:pPr>
        <w:pStyle w:val="Standard"/>
        <w:rPr>
          <w:sz w:val="22"/>
          <w:szCs w:val="22"/>
          <w:lang w:val="en-US"/>
        </w:rPr>
      </w:pPr>
      <w:r>
        <w:rPr>
          <w:bCs/>
          <w:i/>
          <w:iCs/>
          <w:sz w:val="22"/>
          <w:szCs w:val="22"/>
          <w:lang w:val="en-US"/>
        </w:rPr>
        <w:t xml:space="preserve">September 1991- July 1992. </w:t>
      </w:r>
      <w:r>
        <w:rPr>
          <w:bCs/>
          <w:iCs/>
          <w:sz w:val="22"/>
          <w:szCs w:val="22"/>
          <w:lang w:val="en-US"/>
        </w:rPr>
        <w:t xml:space="preserve">Biological Science training at </w:t>
      </w:r>
      <w:r>
        <w:rPr>
          <w:bCs/>
          <w:sz w:val="22"/>
          <w:szCs w:val="22"/>
          <w:lang w:val="en-US"/>
        </w:rPr>
        <w:t>University of Bologna.</w:t>
      </w:r>
    </w:p>
    <w:p>
      <w:pPr>
        <w:pStyle w:val="Standard"/>
        <w:rPr>
          <w:sz w:val="22"/>
          <w:szCs w:val="22"/>
          <w:lang w:val="en-US"/>
        </w:rPr>
      </w:pPr>
      <w:r>
        <w:rPr>
          <w:bCs/>
          <w:i/>
          <w:iCs/>
          <w:sz w:val="22"/>
          <w:szCs w:val="22"/>
          <w:lang w:val="en-US"/>
        </w:rPr>
        <w:t xml:space="preserve">1991. </w:t>
      </w:r>
      <w:r>
        <w:rPr>
          <w:b/>
          <w:bCs/>
          <w:sz w:val="22"/>
          <w:szCs w:val="22"/>
          <w:lang w:val="en-US"/>
        </w:rPr>
        <w:t xml:space="preserve">Bachelor degree </w:t>
      </w:r>
      <w:r>
        <w:rPr>
          <w:bCs/>
          <w:sz w:val="22"/>
          <w:szCs w:val="22"/>
          <w:lang w:val="en-US"/>
        </w:rPr>
        <w:t>at the Classic</w:t>
      </w:r>
      <w:r>
        <w:rPr>
          <w:sz w:val="22"/>
          <w:szCs w:val="22"/>
          <w:lang w:val="en-US"/>
        </w:rPr>
        <w:t xml:space="preserve"> Lyceum “Giacomo Leopardi” of Pordenone, Italy.</w:t>
      </w:r>
    </w:p>
    <w:p>
      <w:pPr>
        <w:pStyle w:val="Standard"/>
        <w:rPr>
          <w:sz w:val="22"/>
          <w:szCs w:val="22"/>
          <w:lang w:val="en-US"/>
        </w:rPr>
      </w:pPr>
      <w:r>
        <w:rPr>
          <w:sz w:val="22"/>
          <w:szCs w:val="22"/>
          <w:lang w:val="en-US"/>
        </w:rPr>
      </w:r>
    </w:p>
    <w:p>
      <w:pPr>
        <w:pStyle w:val="Standard"/>
        <w:rPr>
          <w:sz w:val="22"/>
          <w:szCs w:val="22"/>
          <w:lang w:val="en-US"/>
        </w:rPr>
      </w:pPr>
      <w:r>
        <w:rPr>
          <w:sz w:val="22"/>
          <w:szCs w:val="22"/>
          <w:lang w:val="en-US"/>
        </w:rPr>
      </w:r>
    </w:p>
    <w:tbl>
      <w:tblPr>
        <w:tblW w:w="3150" w:type="dxa"/>
        <w:jc w:val="left"/>
        <w:tblInd w:w="2967" w:type="dxa"/>
        <w:tblBorders/>
        <w:tblCellMar>
          <w:top w:w="55" w:type="dxa"/>
          <w:left w:w="55" w:type="dxa"/>
          <w:bottom w:w="55" w:type="dxa"/>
          <w:right w:w="55" w:type="dxa"/>
        </w:tblCellMar>
        <w:tblLook w:noVBand="0" w:val="0000" w:noHBand="0" w:lastColumn="0" w:firstColumn="0" w:lastRow="0" w:firstRow="0"/>
      </w:tblPr>
      <w:tblGrid>
        <w:gridCol w:w="3150"/>
      </w:tblGrid>
      <w:tr>
        <w:trPr/>
        <w:tc>
          <w:tcPr>
            <w:tcW w:w="3150" w:type="dxa"/>
            <w:tcBorders/>
            <w:shd w:color="auto" w:fill="CFE7F5" w:val="clear"/>
          </w:tcPr>
          <w:p>
            <w:pPr>
              <w:pStyle w:val="Standard"/>
              <w:jc w:val="center"/>
              <w:rPr>
                <w:sz w:val="22"/>
                <w:szCs w:val="22"/>
                <w:lang w:val="en-US"/>
              </w:rPr>
            </w:pPr>
            <w:r>
              <w:rPr>
                <w:sz w:val="22"/>
                <w:szCs w:val="22"/>
                <w:lang w:val="en-US"/>
              </w:rPr>
              <w:t>RESEARCH ACTIVITIES</w:t>
            </w:r>
          </w:p>
        </w:tc>
      </w:tr>
    </w:tbl>
    <w:p>
      <w:pPr>
        <w:pStyle w:val="Standard"/>
        <w:rPr>
          <w:sz w:val="22"/>
          <w:szCs w:val="22"/>
          <w:u w:val="single"/>
          <w:lang w:val="en-US"/>
        </w:rPr>
      </w:pPr>
      <w:r>
        <w:rPr>
          <w:sz w:val="22"/>
          <w:szCs w:val="22"/>
          <w:u w:val="single"/>
          <w:lang w:val="en-US"/>
        </w:rPr>
      </w:r>
    </w:p>
    <w:p>
      <w:pPr>
        <w:pStyle w:val="Standard"/>
        <w:numPr>
          <w:ilvl w:val="0"/>
          <w:numId w:val="2"/>
        </w:numPr>
        <w:jc w:val="both"/>
        <w:rPr>
          <w:sz w:val="22"/>
          <w:szCs w:val="22"/>
          <w:lang w:val="en-US"/>
        </w:rPr>
      </w:pPr>
      <w:r>
        <w:rPr>
          <w:sz w:val="22"/>
          <w:szCs w:val="22"/>
          <w:lang w:val="en-US"/>
        </w:rPr>
        <w:t xml:space="preserve">12 publications in </w:t>
      </w:r>
      <w:r>
        <w:rPr>
          <w:sz w:val="22"/>
          <w:szCs w:val="22"/>
          <w:lang w:val="en-US"/>
        </w:rPr>
        <w:t xml:space="preserve">peer-reviewed </w:t>
      </w:r>
      <w:r>
        <w:rPr>
          <w:sz w:val="22"/>
          <w:szCs w:val="22"/>
          <w:lang w:val="en-US"/>
        </w:rPr>
        <w:t>international journals (Listed hereafter)</w:t>
      </w:r>
    </w:p>
    <w:p>
      <w:pPr>
        <w:pStyle w:val="Standard"/>
        <w:numPr>
          <w:ilvl w:val="0"/>
          <w:numId w:val="2"/>
        </w:numPr>
        <w:jc w:val="both"/>
        <w:rPr>
          <w:sz w:val="22"/>
          <w:szCs w:val="22"/>
          <w:lang w:val="en-US"/>
        </w:rPr>
      </w:pPr>
      <w:r>
        <w:rPr>
          <w:sz w:val="22"/>
          <w:szCs w:val="22"/>
          <w:lang w:val="en-US"/>
        </w:rPr>
        <w:t>12 oral communications (9 international congresses, 3 national) - 4 as first author</w:t>
      </w:r>
    </w:p>
    <w:p>
      <w:pPr>
        <w:pStyle w:val="Standard"/>
        <w:numPr>
          <w:ilvl w:val="0"/>
          <w:numId w:val="2"/>
        </w:numPr>
        <w:jc w:val="both"/>
        <w:rPr>
          <w:sz w:val="22"/>
          <w:szCs w:val="22"/>
          <w:lang w:val="en-US"/>
        </w:rPr>
      </w:pPr>
      <w:r>
        <w:rPr>
          <w:sz w:val="22"/>
          <w:szCs w:val="22"/>
          <w:lang w:val="en-US"/>
        </w:rPr>
        <w:t>15 posters (7 international congresses, 8 national) - 5 as first author</w:t>
      </w:r>
    </w:p>
    <w:p>
      <w:pPr>
        <w:pStyle w:val="Standard"/>
        <w:numPr>
          <w:ilvl w:val="0"/>
          <w:numId w:val="2"/>
        </w:numPr>
        <w:jc w:val="both"/>
        <w:rPr>
          <w:sz w:val="22"/>
          <w:szCs w:val="22"/>
          <w:lang w:val="en-US"/>
        </w:rPr>
      </w:pPr>
      <w:r>
        <w:rPr>
          <w:sz w:val="22"/>
          <w:szCs w:val="22"/>
          <w:lang w:val="en-US"/>
        </w:rPr>
        <w:t>12 bovine DNA sequences posted on the database GenBank/NCBI</w:t>
      </w:r>
    </w:p>
    <w:p>
      <w:pPr>
        <w:pStyle w:val="Standard"/>
        <w:numPr>
          <w:ilvl w:val="0"/>
          <w:numId w:val="2"/>
        </w:numPr>
        <w:jc w:val="both"/>
        <w:rPr>
          <w:sz w:val="22"/>
          <w:szCs w:val="22"/>
          <w:lang w:val="en-US"/>
        </w:rPr>
      </w:pPr>
      <w:r>
        <w:rPr>
          <w:sz w:val="22"/>
          <w:szCs w:val="22"/>
          <w:lang w:val="en-US"/>
        </w:rPr>
        <w:t>1 book chapter on “Regulatory Pharmacology”, M. Cantiello, C. Nebbia (2008)</w:t>
      </w:r>
    </w:p>
    <w:p>
      <w:pPr>
        <w:pStyle w:val="Standard"/>
        <w:ind w:left="720" w:hanging="0"/>
        <w:jc w:val="both"/>
        <w:rPr>
          <w:sz w:val="22"/>
          <w:szCs w:val="22"/>
          <w:lang w:val="en-US"/>
        </w:rPr>
      </w:pPr>
      <w:r>
        <w:rPr>
          <w:sz w:val="22"/>
          <w:szCs w:val="22"/>
          <w:lang w:val="en-US"/>
        </w:rPr>
      </w:r>
    </w:p>
    <w:tbl>
      <w:tblPr>
        <w:tblW w:w="3150" w:type="dxa"/>
        <w:jc w:val="left"/>
        <w:tblInd w:w="2967" w:type="dxa"/>
        <w:tblBorders/>
        <w:tblCellMar>
          <w:top w:w="55" w:type="dxa"/>
          <w:left w:w="55" w:type="dxa"/>
          <w:bottom w:w="55" w:type="dxa"/>
          <w:right w:w="55" w:type="dxa"/>
        </w:tblCellMar>
        <w:tblLook w:noVBand="0" w:val="0000" w:noHBand="0" w:lastColumn="0" w:firstColumn="0" w:lastRow="0" w:firstRow="0"/>
      </w:tblPr>
      <w:tblGrid>
        <w:gridCol w:w="3150"/>
      </w:tblGrid>
      <w:tr>
        <w:trPr/>
        <w:tc>
          <w:tcPr>
            <w:tcW w:w="3150" w:type="dxa"/>
            <w:tcBorders/>
            <w:shd w:color="auto" w:fill="CFE7F5" w:val="clear"/>
          </w:tcPr>
          <w:p>
            <w:pPr>
              <w:pStyle w:val="Standard"/>
              <w:jc w:val="center"/>
              <w:rPr>
                <w:sz w:val="22"/>
                <w:szCs w:val="22"/>
                <w:lang w:val="en-US"/>
              </w:rPr>
            </w:pPr>
            <w:r>
              <w:rPr>
                <w:sz w:val="22"/>
                <w:szCs w:val="22"/>
                <w:lang w:val="en-US"/>
              </w:rPr>
              <w:t xml:space="preserve">PROFESSIONAL SKILLS </w:t>
            </w:r>
          </w:p>
        </w:tc>
      </w:tr>
    </w:tbl>
    <w:p>
      <w:pPr>
        <w:pStyle w:val="Standard"/>
        <w:jc w:val="both"/>
        <w:rPr>
          <w:sz w:val="22"/>
          <w:szCs w:val="22"/>
          <w:lang w:val="en-US"/>
        </w:rPr>
      </w:pPr>
      <w:r>
        <w:rPr>
          <w:sz w:val="22"/>
          <w:szCs w:val="22"/>
          <w:lang w:val="en-US"/>
        </w:rPr>
      </w:r>
    </w:p>
    <w:p>
      <w:pPr>
        <w:pStyle w:val="Standard"/>
        <w:numPr>
          <w:ilvl w:val="0"/>
          <w:numId w:val="2"/>
        </w:numPr>
        <w:jc w:val="both"/>
        <w:rPr>
          <w:sz w:val="22"/>
          <w:szCs w:val="22"/>
          <w:lang w:val="en-US"/>
        </w:rPr>
      </w:pPr>
      <w:r>
        <w:rPr>
          <w:sz w:val="22"/>
          <w:szCs w:val="22"/>
          <w:lang w:val="en-US"/>
        </w:rPr>
        <w:t>Team and resources management</w:t>
      </w:r>
    </w:p>
    <w:p>
      <w:pPr>
        <w:pStyle w:val="Standard"/>
        <w:numPr>
          <w:ilvl w:val="0"/>
          <w:numId w:val="2"/>
        </w:numPr>
        <w:jc w:val="both"/>
        <w:rPr>
          <w:sz w:val="22"/>
          <w:szCs w:val="22"/>
          <w:lang w:val="en-US"/>
        </w:rPr>
      </w:pPr>
      <w:r>
        <w:rPr>
          <w:sz w:val="22"/>
          <w:szCs w:val="22"/>
          <w:lang w:val="en-US"/>
        </w:rPr>
        <w:t>Project management, quality assurance (GLP, GCP, AAALAC), regulatory studies</w:t>
      </w:r>
    </w:p>
    <w:p>
      <w:pPr>
        <w:pStyle w:val="Standard"/>
        <w:numPr>
          <w:ilvl w:val="0"/>
          <w:numId w:val="2"/>
        </w:numPr>
        <w:jc w:val="both"/>
        <w:rPr>
          <w:sz w:val="22"/>
          <w:szCs w:val="22"/>
          <w:lang w:val="en-US"/>
        </w:rPr>
      </w:pPr>
      <w:r>
        <w:rPr>
          <w:sz w:val="22"/>
          <w:szCs w:val="22"/>
          <w:lang w:val="en-US"/>
        </w:rPr>
        <w:t>Client Management (national / international)</w:t>
      </w:r>
    </w:p>
    <w:p>
      <w:pPr>
        <w:pStyle w:val="Standard"/>
        <w:numPr>
          <w:ilvl w:val="0"/>
          <w:numId w:val="2"/>
        </w:numPr>
        <w:jc w:val="both"/>
        <w:rPr>
          <w:sz w:val="22"/>
          <w:szCs w:val="22"/>
          <w:lang w:val="en-US"/>
        </w:rPr>
      </w:pPr>
      <w:r>
        <w:rPr>
          <w:sz w:val="22"/>
          <w:szCs w:val="22"/>
          <w:lang w:val="en-US"/>
        </w:rPr>
        <w:t>Team spirit. Interpersonal skills. Conflict management</w:t>
      </w:r>
    </w:p>
    <w:p>
      <w:pPr>
        <w:pStyle w:val="Standard"/>
        <w:numPr>
          <w:ilvl w:val="0"/>
          <w:numId w:val="2"/>
        </w:numPr>
        <w:jc w:val="both"/>
        <w:rPr>
          <w:sz w:val="22"/>
          <w:szCs w:val="22"/>
          <w:lang w:val="en-US"/>
        </w:rPr>
      </w:pPr>
      <w:r>
        <w:rPr>
          <w:sz w:val="22"/>
          <w:szCs w:val="22"/>
          <w:lang w:val="en-US"/>
        </w:rPr>
        <w:t>Expertise on animal health, pharmacology and toxicology of food producing species</w:t>
      </w:r>
    </w:p>
    <w:p>
      <w:pPr>
        <w:pStyle w:val="Standard"/>
        <w:numPr>
          <w:ilvl w:val="0"/>
          <w:numId w:val="2"/>
        </w:numPr>
        <w:jc w:val="both"/>
        <w:rPr>
          <w:sz w:val="22"/>
          <w:szCs w:val="22"/>
          <w:lang w:val="en-US"/>
        </w:rPr>
      </w:pPr>
      <w:r>
        <w:rPr>
          <w:sz w:val="22"/>
          <w:szCs w:val="22"/>
          <w:lang w:val="en-US"/>
        </w:rPr>
        <w:t>Skills in both zootechnics and bioanalysis</w:t>
      </w:r>
    </w:p>
    <w:p>
      <w:pPr>
        <w:pStyle w:val="Standard"/>
        <w:numPr>
          <w:ilvl w:val="0"/>
          <w:numId w:val="2"/>
        </w:numPr>
        <w:jc w:val="both"/>
        <w:rPr>
          <w:sz w:val="22"/>
          <w:szCs w:val="22"/>
          <w:lang w:val="en-US"/>
        </w:rPr>
      </w:pPr>
      <w:r>
        <w:rPr>
          <w:sz w:val="22"/>
          <w:szCs w:val="22"/>
          <w:lang w:val="en-US"/>
        </w:rPr>
        <w:t>Compliance with the regulations on animal experimentation</w:t>
      </w:r>
    </w:p>
    <w:p>
      <w:pPr>
        <w:pStyle w:val="Standard"/>
        <w:numPr>
          <w:ilvl w:val="0"/>
          <w:numId w:val="2"/>
        </w:numPr>
        <w:jc w:val="both"/>
        <w:rPr>
          <w:sz w:val="22"/>
          <w:szCs w:val="22"/>
          <w:lang w:val="en-US"/>
        </w:rPr>
      </w:pPr>
      <w:r>
        <w:rPr>
          <w:sz w:val="22"/>
          <w:szCs w:val="22"/>
          <w:lang w:val="en-US"/>
        </w:rPr>
        <w:t>Results analysis and presentation. Reporting, Study documentation, Publication</w:t>
      </w:r>
    </w:p>
    <w:p>
      <w:pPr>
        <w:pStyle w:val="Standard"/>
        <w:numPr>
          <w:ilvl w:val="0"/>
          <w:numId w:val="2"/>
        </w:numPr>
        <w:jc w:val="both"/>
        <w:rPr>
          <w:sz w:val="22"/>
          <w:szCs w:val="22"/>
          <w:lang w:val="en-US"/>
        </w:rPr>
      </w:pPr>
      <w:r>
        <w:rPr>
          <w:sz w:val="22"/>
          <w:szCs w:val="22"/>
          <w:lang w:val="en-US"/>
        </w:rPr>
        <w:t>Self-Discipline, motivation and availability</w:t>
      </w:r>
    </w:p>
    <w:p>
      <w:pPr>
        <w:pStyle w:val="Standard"/>
        <w:numPr>
          <w:ilvl w:val="0"/>
          <w:numId w:val="2"/>
        </w:numPr>
        <w:jc w:val="both"/>
        <w:rPr>
          <w:sz w:val="22"/>
          <w:szCs w:val="22"/>
          <w:lang w:val="en-US"/>
        </w:rPr>
      </w:pPr>
      <w:r>
        <w:rPr>
          <w:sz w:val="22"/>
          <w:szCs w:val="22"/>
          <w:lang w:val="en-US"/>
        </w:rPr>
        <w:t>Collective investment (CHSCT: Health and safety committee; CE: Works’ Council; IACUC)</w:t>
      </w:r>
    </w:p>
    <w:p>
      <w:pPr>
        <w:pStyle w:val="Standard"/>
        <w:numPr>
          <w:ilvl w:val="0"/>
          <w:numId w:val="2"/>
        </w:numPr>
        <w:jc w:val="both"/>
        <w:rPr>
          <w:sz w:val="22"/>
          <w:szCs w:val="22"/>
          <w:lang w:val="en-US"/>
        </w:rPr>
      </w:pPr>
      <w:r>
        <w:rPr>
          <w:sz w:val="22"/>
          <w:szCs w:val="22"/>
          <w:lang w:val="en-US"/>
        </w:rPr>
        <w:t>Informatic skills (office tools, statistic, bioinformatic, on-line database)</w:t>
      </w:r>
    </w:p>
    <w:p>
      <w:pPr>
        <w:pStyle w:val="Standard"/>
        <w:jc w:val="both"/>
        <w:rPr>
          <w:sz w:val="22"/>
          <w:szCs w:val="22"/>
          <w:u w:val="single"/>
          <w:lang w:val="en-US"/>
        </w:rPr>
      </w:pPr>
      <w:r>
        <w:rPr>
          <w:sz w:val="22"/>
          <w:szCs w:val="22"/>
          <w:u w:val="single"/>
          <w:lang w:val="en-US"/>
        </w:rPr>
      </w:r>
    </w:p>
    <w:tbl>
      <w:tblPr>
        <w:tblW w:w="3150" w:type="dxa"/>
        <w:jc w:val="left"/>
        <w:tblInd w:w="2967" w:type="dxa"/>
        <w:tblBorders/>
        <w:tblCellMar>
          <w:top w:w="55" w:type="dxa"/>
          <w:left w:w="55" w:type="dxa"/>
          <w:bottom w:w="55" w:type="dxa"/>
          <w:right w:w="55" w:type="dxa"/>
        </w:tblCellMar>
        <w:tblLook w:noVBand="0" w:val="0000" w:noHBand="0" w:lastColumn="0" w:firstColumn="0" w:lastRow="0" w:firstRow="0"/>
      </w:tblPr>
      <w:tblGrid>
        <w:gridCol w:w="3150"/>
      </w:tblGrid>
      <w:tr>
        <w:trPr/>
        <w:tc>
          <w:tcPr>
            <w:tcW w:w="3150" w:type="dxa"/>
            <w:tcBorders/>
            <w:shd w:color="auto" w:fill="CFE7F5" w:val="clear"/>
          </w:tcPr>
          <w:p>
            <w:pPr>
              <w:pStyle w:val="Standard"/>
              <w:jc w:val="center"/>
              <w:rPr>
                <w:sz w:val="22"/>
                <w:szCs w:val="22"/>
                <w:lang w:val="en-US"/>
              </w:rPr>
            </w:pPr>
            <w:r>
              <w:rPr>
                <w:sz w:val="22"/>
                <w:szCs w:val="22"/>
                <w:lang w:val="en-US"/>
              </w:rPr>
              <w:t xml:space="preserve">LANGUAGE SKILLS </w:t>
            </w:r>
          </w:p>
        </w:tc>
      </w:tr>
    </w:tbl>
    <w:p>
      <w:pPr>
        <w:pStyle w:val="Standard"/>
        <w:rPr>
          <w:sz w:val="22"/>
          <w:szCs w:val="22"/>
          <w:u w:val="single"/>
          <w:lang w:val="en-US"/>
        </w:rPr>
      </w:pPr>
      <w:r>
        <w:rPr>
          <w:sz w:val="22"/>
          <w:szCs w:val="22"/>
          <w:u w:val="single"/>
          <w:lang w:val="en-US"/>
        </w:rPr>
      </w:r>
    </w:p>
    <w:p>
      <w:pPr>
        <w:pStyle w:val="Standard"/>
        <w:rPr>
          <w:sz w:val="22"/>
          <w:szCs w:val="22"/>
          <w:lang w:val="en-US"/>
        </w:rPr>
      </w:pPr>
      <w:r>
        <w:rPr>
          <w:sz w:val="22"/>
          <w:szCs w:val="22"/>
          <w:lang w:val="en-US"/>
        </w:rPr>
        <w:t>Italian: mother tongue; English and French: Fluent (reading, writing and speaking).</w:t>
      </w:r>
    </w:p>
    <w:p>
      <w:pPr>
        <w:pStyle w:val="Standard"/>
        <w:rPr>
          <w:sz w:val="22"/>
          <w:szCs w:val="22"/>
          <w:lang w:val="en-US"/>
        </w:rPr>
      </w:pPr>
      <w:r>
        <w:rPr>
          <w:sz w:val="22"/>
          <w:szCs w:val="22"/>
          <w:lang w:val="en-US"/>
        </w:rPr>
      </w:r>
    </w:p>
    <w:p>
      <w:pPr>
        <w:pStyle w:val="Standard"/>
        <w:rPr>
          <w:sz w:val="22"/>
          <w:szCs w:val="22"/>
          <w:u w:val="single"/>
          <w:lang w:val="en-US"/>
        </w:rPr>
      </w:pPr>
      <w:r>
        <w:rPr>
          <w:sz w:val="22"/>
          <w:szCs w:val="22"/>
          <w:u w:val="single"/>
          <w:lang w:val="en-US"/>
        </w:rPr>
      </w:r>
    </w:p>
    <w:tbl>
      <w:tblPr>
        <w:tblW w:w="4140" w:type="dxa"/>
        <w:jc w:val="left"/>
        <w:tblInd w:w="2070" w:type="dxa"/>
        <w:tblBorders/>
        <w:tblCellMar>
          <w:top w:w="55" w:type="dxa"/>
          <w:left w:w="55" w:type="dxa"/>
          <w:bottom w:w="55" w:type="dxa"/>
          <w:right w:w="55" w:type="dxa"/>
        </w:tblCellMar>
        <w:tblLook w:noVBand="0" w:val="0000" w:noHBand="0" w:lastColumn="0" w:firstColumn="0" w:lastRow="0" w:firstRow="0"/>
      </w:tblPr>
      <w:tblGrid>
        <w:gridCol w:w="4140"/>
      </w:tblGrid>
      <w:tr>
        <w:trPr/>
        <w:tc>
          <w:tcPr>
            <w:tcW w:w="4140" w:type="dxa"/>
            <w:tcBorders/>
            <w:shd w:color="auto" w:fill="CFE7F5" w:val="clear"/>
          </w:tcPr>
          <w:p>
            <w:pPr>
              <w:pStyle w:val="Standard"/>
              <w:rPr>
                <w:sz w:val="22"/>
                <w:szCs w:val="22"/>
                <w:lang w:val="en-US"/>
              </w:rPr>
            </w:pPr>
            <w:r>
              <w:rPr>
                <w:sz w:val="22"/>
                <w:szCs w:val="22"/>
                <w:lang w:val="en-US"/>
              </w:rPr>
              <w:t xml:space="preserve">MEMBERSHIP and </w:t>
            </w:r>
            <w:r>
              <w:rPr>
                <w:i/>
                <w:iCs/>
                <w:sz w:val="22"/>
                <w:szCs w:val="22"/>
                <w:lang w:val="en-US"/>
              </w:rPr>
              <w:t>Pro Bono</w:t>
            </w:r>
            <w:r>
              <w:rPr>
                <w:sz w:val="22"/>
                <w:szCs w:val="22"/>
                <w:lang w:val="en-US"/>
              </w:rPr>
              <w:t xml:space="preserve"> ACTIVITIES</w:t>
            </w:r>
          </w:p>
        </w:tc>
      </w:tr>
    </w:tbl>
    <w:p>
      <w:pPr>
        <w:pStyle w:val="Standard"/>
        <w:rPr>
          <w:sz w:val="22"/>
          <w:szCs w:val="22"/>
          <w:u w:val="single"/>
          <w:lang w:val="en-US"/>
        </w:rPr>
      </w:pPr>
      <w:r>
        <w:rPr>
          <w:sz w:val="22"/>
          <w:szCs w:val="22"/>
          <w:u w:val="single"/>
          <w:lang w:val="en-US"/>
        </w:rPr>
      </w:r>
    </w:p>
    <w:p>
      <w:pPr>
        <w:pStyle w:val="Standard"/>
        <w:rPr>
          <w:sz w:val="22"/>
          <w:szCs w:val="22"/>
          <w:lang w:val="en-US"/>
        </w:rPr>
      </w:pPr>
      <w:r>
        <w:rPr>
          <w:sz w:val="22"/>
          <w:szCs w:val="22"/>
          <w:lang w:val="en-US"/>
        </w:rPr>
        <w:t>Member of the American Association of Industry Veterinarians</w:t>
      </w:r>
    </w:p>
    <w:p>
      <w:pPr>
        <w:pStyle w:val="Standard"/>
        <w:rPr>
          <w:sz w:val="22"/>
          <w:szCs w:val="22"/>
          <w:lang w:val="en-US"/>
        </w:rPr>
      </w:pPr>
      <w:r>
        <w:rPr>
          <w:sz w:val="22"/>
          <w:szCs w:val="22"/>
          <w:lang w:val="en-US"/>
        </w:rPr>
        <w:t>Member of the American Association of Swine Veterinarians</w:t>
      </w:r>
    </w:p>
    <w:p>
      <w:pPr>
        <w:pStyle w:val="Standard"/>
        <w:rPr>
          <w:sz w:val="22"/>
          <w:szCs w:val="22"/>
          <w:lang w:val="en-US"/>
        </w:rPr>
      </w:pPr>
      <w:r>
        <w:rPr>
          <w:sz w:val="22"/>
          <w:szCs w:val="22"/>
          <w:lang w:val="en-US"/>
        </w:rPr>
      </w:r>
    </w:p>
    <w:p>
      <w:pPr>
        <w:pStyle w:val="Standard"/>
        <w:rPr>
          <w:sz w:val="22"/>
          <w:szCs w:val="22"/>
          <w:lang w:val="en-US"/>
        </w:rPr>
      </w:pPr>
      <w:r>
        <w:rPr>
          <w:sz w:val="22"/>
          <w:szCs w:val="22"/>
          <w:lang w:val="en-US"/>
        </w:rPr>
        <w:t xml:space="preserve">President Elect of the American Academy of Pharmacology and Therapeutics, </w:t>
      </w:r>
      <w:r>
        <w:rPr>
          <w:i/>
          <w:iCs/>
          <w:sz w:val="22"/>
          <w:szCs w:val="22"/>
          <w:lang w:val="en-US"/>
        </w:rPr>
        <w:t>pro bono</w:t>
      </w:r>
      <w:r>
        <w:rPr>
          <w:sz w:val="22"/>
          <w:szCs w:val="22"/>
          <w:lang w:val="en-US"/>
        </w:rPr>
        <w:t>:</w:t>
      </w:r>
    </w:p>
    <w:p>
      <w:pPr>
        <w:pStyle w:val="Standard"/>
        <w:numPr>
          <w:ilvl w:val="0"/>
          <w:numId w:val="2"/>
        </w:numPr>
        <w:jc w:val="both"/>
        <w:rPr>
          <w:sz w:val="22"/>
          <w:szCs w:val="22"/>
          <w:lang w:val="en-US"/>
        </w:rPr>
      </w:pPr>
      <w:r>
        <w:rPr>
          <w:sz w:val="22"/>
          <w:szCs w:val="22"/>
          <w:lang w:val="en-US"/>
        </w:rPr>
        <w:t>Support and promotion of the educations of current and future veterinary professionals</w:t>
      </w:r>
    </w:p>
    <w:p>
      <w:pPr>
        <w:pStyle w:val="Standard"/>
        <w:numPr>
          <w:ilvl w:val="0"/>
          <w:numId w:val="2"/>
        </w:numPr>
        <w:jc w:val="both"/>
        <w:rPr>
          <w:sz w:val="22"/>
          <w:szCs w:val="22"/>
          <w:lang w:val="en-US"/>
        </w:rPr>
      </w:pPr>
      <w:r>
        <w:rPr>
          <w:sz w:val="22"/>
          <w:szCs w:val="22"/>
          <w:lang w:val="en-US"/>
        </w:rPr>
        <w:t>Organization of 22nd Biennial Symposium (May 22 - 25, 2022 in Bethesda, MD)</w:t>
      </w:r>
    </w:p>
    <w:p>
      <w:pPr>
        <w:pStyle w:val="Standard"/>
        <w:rPr>
          <w:sz w:val="22"/>
          <w:szCs w:val="22"/>
          <w:lang w:val="en-US"/>
        </w:rPr>
      </w:pPr>
      <w:r>
        <w:rPr>
          <w:sz w:val="22"/>
          <w:szCs w:val="22"/>
          <w:lang w:val="en-US"/>
        </w:rPr>
      </w:r>
    </w:p>
    <w:p>
      <w:pPr>
        <w:pStyle w:val="Standard"/>
        <w:rPr>
          <w:sz w:val="22"/>
          <w:szCs w:val="22"/>
          <w:lang w:val="en-US"/>
        </w:rPr>
      </w:pPr>
      <w:r>
        <w:rPr>
          <w:sz w:val="22"/>
          <w:szCs w:val="22"/>
          <w:lang w:val="en-US"/>
        </w:rPr>
        <w:t xml:space="preserve">Biosafety Chairperson for LFM Quality Laboratories, Inc. Institutional Biosafety Committee, </w:t>
      </w:r>
      <w:r>
        <w:rPr>
          <w:i/>
          <w:iCs/>
          <w:sz w:val="22"/>
          <w:szCs w:val="22"/>
          <w:lang w:val="en-US"/>
        </w:rPr>
        <w:t>pro bono</w:t>
      </w:r>
      <w:r>
        <w:rPr>
          <w:sz w:val="22"/>
          <w:szCs w:val="22"/>
          <w:lang w:val="en-US"/>
        </w:rPr>
        <w:t>:</w:t>
      </w:r>
    </w:p>
    <w:p>
      <w:pPr>
        <w:pStyle w:val="Standard"/>
        <w:numPr>
          <w:ilvl w:val="0"/>
          <w:numId w:val="2"/>
        </w:numPr>
        <w:jc w:val="both"/>
        <w:rPr>
          <w:sz w:val="22"/>
          <w:szCs w:val="22"/>
          <w:lang w:val="en-US"/>
        </w:rPr>
      </w:pPr>
      <w:r>
        <w:rPr>
          <w:sz w:val="22"/>
          <w:szCs w:val="22"/>
          <w:lang w:val="en-US"/>
        </w:rPr>
        <w:t>Evaluate the projects in term of biosecurity, biosafety, and personnel training</w:t>
      </w:r>
    </w:p>
    <w:p>
      <w:pPr>
        <w:pStyle w:val="Standard"/>
        <w:numPr>
          <w:ilvl w:val="0"/>
          <w:numId w:val="2"/>
        </w:numPr>
        <w:jc w:val="both"/>
        <w:rPr>
          <w:sz w:val="22"/>
          <w:szCs w:val="22"/>
          <w:lang w:val="en-US"/>
        </w:rPr>
      </w:pPr>
      <w:r>
        <w:rPr>
          <w:sz w:val="22"/>
          <w:szCs w:val="22"/>
          <w:lang w:val="en-US"/>
        </w:rPr>
        <w:t>Verification and support to update the USDA APHIS Permit, USDA APHIS for importation and transportation of controlled materials and organism and vectors (compliant with the ABSL2 facility)</w:t>
      </w:r>
    </w:p>
    <w:p>
      <w:pPr>
        <w:pStyle w:val="Standard"/>
        <w:rPr>
          <w:sz w:val="22"/>
          <w:szCs w:val="22"/>
          <w:u w:val="single"/>
          <w:lang w:val="en-US"/>
        </w:rPr>
      </w:pPr>
      <w:r>
        <w:rPr>
          <w:sz w:val="22"/>
          <w:szCs w:val="22"/>
          <w:u w:val="single"/>
          <w:lang w:val="en-US"/>
        </w:rPr>
      </w:r>
    </w:p>
    <w:p>
      <w:pPr>
        <w:pStyle w:val="Standard"/>
        <w:rPr>
          <w:sz w:val="22"/>
          <w:szCs w:val="22"/>
          <w:u w:val="single"/>
          <w:lang w:val="en-US"/>
        </w:rPr>
      </w:pPr>
      <w:r>
        <w:rPr>
          <w:sz w:val="22"/>
          <w:szCs w:val="22"/>
          <w:u w:val="single"/>
          <w:lang w:val="en-US"/>
        </w:rPr>
      </w:r>
    </w:p>
    <w:p>
      <w:pPr>
        <w:pStyle w:val="Standard"/>
        <w:rPr>
          <w:sz w:val="22"/>
          <w:szCs w:val="22"/>
          <w:u w:val="single"/>
          <w:lang w:val="en-US"/>
        </w:rPr>
      </w:pPr>
      <w:r>
        <w:rPr>
          <w:sz w:val="22"/>
          <w:szCs w:val="22"/>
          <w:u w:val="single"/>
          <w:lang w:val="en-US"/>
        </w:rPr>
      </w:r>
    </w:p>
    <w:tbl>
      <w:tblPr>
        <w:tblW w:w="3150" w:type="dxa"/>
        <w:jc w:val="left"/>
        <w:tblInd w:w="2967" w:type="dxa"/>
        <w:tblBorders/>
        <w:tblCellMar>
          <w:top w:w="55" w:type="dxa"/>
          <w:left w:w="55" w:type="dxa"/>
          <w:bottom w:w="55" w:type="dxa"/>
          <w:right w:w="55" w:type="dxa"/>
        </w:tblCellMar>
        <w:tblLook w:noVBand="0" w:val="0000" w:noHBand="0" w:lastColumn="0" w:firstColumn="0" w:lastRow="0" w:firstRow="0"/>
      </w:tblPr>
      <w:tblGrid>
        <w:gridCol w:w="3150"/>
      </w:tblGrid>
      <w:tr>
        <w:trPr/>
        <w:tc>
          <w:tcPr>
            <w:tcW w:w="3150" w:type="dxa"/>
            <w:tcBorders/>
            <w:shd w:color="auto" w:fill="CFE7F5" w:val="clear"/>
          </w:tcPr>
          <w:p>
            <w:pPr>
              <w:pStyle w:val="Standard"/>
              <w:jc w:val="center"/>
              <w:rPr>
                <w:sz w:val="22"/>
                <w:szCs w:val="22"/>
                <w:lang w:val="en-US"/>
              </w:rPr>
            </w:pPr>
            <w:r>
              <w:rPr>
                <w:sz w:val="22"/>
                <w:szCs w:val="22"/>
                <w:lang w:val="en-US"/>
              </w:rPr>
              <w:t>PUBLICATIONS</w:t>
            </w:r>
          </w:p>
        </w:tc>
      </w:tr>
    </w:tbl>
    <w:p>
      <w:pPr>
        <w:pStyle w:val="Standard"/>
        <w:rPr>
          <w:sz w:val="22"/>
          <w:szCs w:val="22"/>
          <w:lang w:val="en-US"/>
        </w:rPr>
      </w:pPr>
      <w:r>
        <w:rPr>
          <w:sz w:val="22"/>
          <w:szCs w:val="22"/>
          <w:lang w:val="en-US"/>
        </w:rPr>
      </w:r>
    </w:p>
    <w:p>
      <w:pPr>
        <w:pStyle w:val="Standard"/>
        <w:jc w:val="both"/>
        <w:rPr>
          <w:sz w:val="22"/>
          <w:szCs w:val="22"/>
          <w:lang w:val="en-US"/>
        </w:rPr>
      </w:pPr>
      <w:r>
        <w:rPr>
          <w:sz w:val="22"/>
          <w:szCs w:val="22"/>
          <w:lang w:val="en-US"/>
        </w:rPr>
        <w:t>Soayfane Z, Tercé F, Cantiello M, Robenek H, Nauze M, Bézirard V, Allart S, Payré B, Capilla F, Cartier C, Peres C, Al Saati T, Théodorou V, Nelson DW, Yen CL, Collet X, Coméra C. Exposure to dietary lipid leads to rapid production of cytosolic lipid droplets near the brush border membrane. Nutr Metab (Lond). 2016 Jul 28;13:48.</w:t>
      </w:r>
    </w:p>
    <w:p>
      <w:pPr>
        <w:pStyle w:val="ListParagraph"/>
        <w:ind w:left="270" w:hanging="270"/>
        <w:jc w:val="both"/>
        <w:rPr>
          <w:rFonts w:ascii="Times New Roman" w:hAnsi="Times New Roman" w:cs="Times New Roman"/>
          <w:sz w:val="22"/>
          <w:szCs w:val="22"/>
          <w:lang w:val="en-US"/>
        </w:rPr>
      </w:pPr>
      <w:r>
        <w:rPr>
          <w:rFonts w:cs="Times New Roman" w:ascii="Times New Roman" w:hAnsi="Times New Roman"/>
          <w:sz w:val="22"/>
          <w:szCs w:val="22"/>
          <w:lang w:val="en-US"/>
        </w:rPr>
      </w:r>
    </w:p>
    <w:p>
      <w:pPr>
        <w:pStyle w:val="Standard"/>
        <w:jc w:val="both"/>
        <w:rPr>
          <w:sz w:val="22"/>
          <w:szCs w:val="22"/>
          <w:lang w:val="en-US"/>
        </w:rPr>
      </w:pPr>
      <w:r>
        <w:rPr>
          <w:sz w:val="22"/>
          <w:szCs w:val="22"/>
          <w:lang w:val="en-US"/>
        </w:rPr>
        <w:t>Seyer A, Cantiello M, Bertrand-Michel J, Roques V, Nauze M, Bézirard V, Collet X, Touboul D, Brunelle A, Coméra C. Lipidomic and spatio-temporal imaging of fat by mass spectrometry in mice duodenum during lipid digestion. PLoS One. 2013;8(4):e58224. doi: 10.1371/journal.pone.0058224. Epub 2013 Apr 3. PubMed, PMID: 23560035; PubMed Central PMCID: PMC3616127.</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t>Reboul E, Soayfane Z, Goncalves A, Cantiello M, Bott R, Nauze M, Tercé F, Collet X, Coméra C. Respective contributions of intestinal Niemann-Pick C1-like 1 and scavenger receptor class B type I to cholesterol and tocopherol uptake: in vivo v. in vitro studies. Br J Nutr. 2012 May;107(9):1296-304. doi: 10.1017/S0007114511004405. Epub 2011 Sep 20. PubMed PMID: 21929836.</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t>Virkel G, Carletti M, Cantiello M, Della Donna L, Gardini G, Girolami F, Nebbia C. Characterization of xenobiotic metabolizing enzymes in bovine small intestinal mucosa. J Vet Pharmacol Ther. 2010 Jun 1;33(3):295-303.</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t>Cantiello M, Giantin M, Carletti M, Lopparelli RM, Capolongo F, Lasserre F, Bollo E, Nebbia C, Martin PG, Pineau T, Dacasto M. Effects of dexamethasone, administered for growth promoting purposes, upon the hepatic cytochrome P450 3A expression in the veal calf. Biochem Pharmacol. 2009 Feb 1;77(3):451-63. doi: 10.1016/j.bcp.2008.10.025. Epub 2008 Oct 31. PubMed PMID: 19022227.</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t>Cantiello M, Carletti M, Dacasto M, Martin PG, Pineau T, Capolongo F, Gardini G, Nebbia C. Cytochrome P450 inhibition profile in liver of veal calves administered a combination of 17beta-estradiol, clenbuterol, and dexamethasone for growth-promoting purposes. Food Chem Toxicol. 2008 Aug;46(8):2849-55. doi: 10.1016/j.fct.2008.05.018. Epub 2008 May 29. PubMed PMID: 18602204.</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t>Giantin M, Carletti M, Capolongo F, Pegolo S, Lopparelli RM, Gusson F, Nebbia C, Cantiello M, Martin P, Pineau T, Dacasto M. Effect of breed upon cytochromes P450 and phase II enzyme expression in cattle liver. Drug Metab Dispos. 2008 May;36(5):885-93. doi: 10.1124/dmd.107.019042. Epub 2008 Feb 11. PubMed PMID: 18268077.</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t>Cantiello M, Carletti M, Cannizzo FT, Nebbia C, Bellino C, Pié S, Oswald IP, Bollo E, Dacasto M. Effects of an illicit cocktail on serum immunoglobulins, lymphocyte proliferation and cytokine gene expression in the veal calf. Toxicology. 2007 Dec 5;242(1-3):39-51. Epub 2007 Sep 8. PubMed PMID: 17936467.</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t>Carletti M, Cantiello M, Giantin M, Nebbia C, Cannizzo FT, Bollo E, Dacasto M. Serum antioxidant enzyme activities and oxidative stress parameters as possible biomarkers of exposure in veal calves illegally treated with dexamethasone. Toxicol In Vitro. 2007 Mar;21(2):277-83. Epub 2006 Sep 14. PubMed PMID: 17055215.</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t>Cantiello M. Giantin M, Nebbia C, Lasserre F, Martin P, Pineau T and Dacasto M. Cloning and sequencing of some relevant drug metabolism genes in cattle: The Programma Galileo 2003 summary report. Pharmacologyonline, 3: 66-76, 2005.</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t>Martin PG, Lasserre F, Calleja C, Van Es A, Roulet A, Concordet D, Cantiello M, Barnouin R, Gauthier B, Pineau T. Transcriptional modulations by RXR agonists  are only partially subordinated to PPARalpha signaling and attest additional, organ-specific, molecular cross-talks. Gene Expr. 2005;12(3):177-92. PubMed PMID: 16128002.</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t>Biolatti B, Bollo E, Cannizzo FT, Zancanaro G, Tarantola M, Dacasto M, Cantiello M., Bioloatti PG and Barbarino G. Low-dose Dexamethasone on Thymus Morphology and Immunological Parameters in Veal Calves. J. Vet. Med. A 52, 202–208 (2005).</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t>Cantiello M, Zaghini A, Nebbia C, Carletti M, Dacasto M and Anfossi P. Effects of the Administration of Spiramycin and Tiamulin on In Vivo Complex Formation and Hepatic Cytochrome P4503A (CYP3A)-dependent Monooxygenases in Rabbits. Veterinary Research Communications, 27 Suppl. 1 (2003) 377–379.</w:t>
      </w:r>
    </w:p>
    <w:p>
      <w:pPr>
        <w:pStyle w:val="Standard"/>
        <w:jc w:val="both"/>
        <w:rPr>
          <w:sz w:val="22"/>
          <w:szCs w:val="22"/>
          <w:lang w:val="en-US"/>
        </w:rPr>
      </w:pPr>
      <w:r>
        <w:rPr>
          <w:sz w:val="22"/>
          <w:szCs w:val="22"/>
          <w:lang w:val="en-US"/>
        </w:rPr>
      </w:r>
    </w:p>
    <w:p>
      <w:pPr>
        <w:pStyle w:val="Standard"/>
        <w:jc w:val="both"/>
        <w:rPr>
          <w:sz w:val="22"/>
          <w:szCs w:val="22"/>
          <w:lang w:val="en-US"/>
        </w:rPr>
      </w:pPr>
      <w:r>
        <w:rPr>
          <w:sz w:val="22"/>
          <w:szCs w:val="22"/>
          <w:lang w:val="en-US"/>
        </w:rPr>
      </w:r>
    </w:p>
    <w:p>
      <w:pPr>
        <w:pStyle w:val="Standard"/>
        <w:jc w:val="both"/>
        <w:rPr/>
      </w:pPr>
      <w:r>
        <w:rPr/>
      </w:r>
    </w:p>
    <w:sectPr>
      <w:type w:val="nextPage"/>
      <w:pgSz w:w="11906" w:h="16838"/>
      <w:pgMar w:left="1080" w:right="1080" w:header="0" w:top="1440" w:footer="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Times New Roman">
    <w:charset w:val="01"/>
    <w:family w:val="roman"/>
    <w:pitch w:val="variable"/>
  </w:font>
  <w:font w:name="Bookman Old Style">
    <w:charset w:val="01"/>
    <w:family w:val="roman"/>
    <w:pitch w:val="variable"/>
  </w:font>
  <w:font w:name="Symbol">
    <w:charset w:val="02"/>
    <w:family w:val="auto"/>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Fonts w:cs="OpenSymbol"/>
      </w:rPr>
    </w:lvl>
    <w:lvl w:ilvl="1">
      <w:start w:val="1"/>
      <w:numFmt w:val="bullet"/>
      <w:lvlText w:val=""/>
      <w:lvlJc w:val="left"/>
      <w:pPr>
        <w:ind w:left="0" w:hanging="0"/>
      </w:pPr>
      <w:rPr>
        <w:rFonts w:ascii="Symbol" w:hAnsi="Symbol" w:cs="Symbol" w:hint="default"/>
        <w:sz w:val="22"/>
        <w:b/>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Symbol" w:hAnsi="Symbol" w:cs="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Symbol" w:hAnsi="Symbol" w:cs="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088e"/>
    <w:pPr>
      <w:widowControl/>
      <w:suppressAutoHyphens w:val="true"/>
      <w:bidi w:val="0"/>
      <w:jc w:val="left"/>
      <w:textAlignment w:val="baseline"/>
    </w:pPr>
    <w:rPr>
      <w:rFonts w:ascii="Liberation Serif" w:hAnsi="Liberation Serif" w:eastAsia="Droid Sans Fallback" w:cs="FreeSans"/>
      <w:color w:val="auto"/>
      <w:kern w:val="2"/>
      <w:sz w:val="24"/>
      <w:szCs w:val="24"/>
      <w:lang w:val="fr-FR" w:eastAsia="zh-CN" w:bidi="hi-IN"/>
    </w:rPr>
  </w:style>
  <w:style w:type="paragraph" w:styleId="Heading1">
    <w:name w:val="Heading 1"/>
    <w:qFormat/>
    <w:pPr>
      <w:keepNext w:val="true"/>
      <w:widowControl w:val="false"/>
      <w:outlineLvl w:val="0"/>
    </w:pPr>
    <w:rPr>
      <w:rFonts w:ascii="Liberation Serif" w:hAnsi="Liberation Serif" w:eastAsia="Droid Sans Fallback" w:cs="FreeSans"/>
      <w:color w:val="auto"/>
      <w:kern w:val="2"/>
      <w:sz w:val="24"/>
      <w:szCs w:val="24"/>
      <w:u w:val="single"/>
      <w:lang w:val="fr-FR" w:eastAsia="zh-CN" w:bidi="hi-IN"/>
    </w:rPr>
  </w:style>
  <w:style w:type="paragraph" w:styleId="Heading2">
    <w:name w:val="Heading 2"/>
    <w:qFormat/>
    <w:pPr>
      <w:keepNext w:val="true"/>
      <w:widowControl w:val="false"/>
      <w:outlineLvl w:val="1"/>
    </w:pPr>
    <w:rPr>
      <w:rFonts w:ascii="Liberation Serif" w:hAnsi="Liberation Serif" w:eastAsia="Droid Sans Fallback" w:cs="FreeSans"/>
      <w:i/>
      <w:iCs/>
      <w:color w:val="auto"/>
      <w:kern w:val="2"/>
      <w:sz w:val="24"/>
      <w:szCs w:val="24"/>
      <w:lang w:val="fr-FR" w:eastAsia="zh-CN" w:bidi="hi-IN"/>
    </w:rPr>
  </w:style>
  <w:style w:type="paragraph" w:styleId="Heading3">
    <w:name w:val="Heading 3"/>
    <w:basedOn w:val="Heading"/>
    <w:qFormat/>
    <w:pPr>
      <w:spacing w:before="140" w:after="120"/>
      <w:outlineLvl w:val="2"/>
    </w:pPr>
    <w:rPr>
      <w:b/>
      <w:bCs/>
      <w:color w:val="808080"/>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sz w:val="20"/>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1z4" w:customStyle="1">
    <w:name w:val="WW8Num1z4"/>
    <w:qFormat/>
    <w:rPr>
      <w:rFonts w:ascii="Courier New" w:hAnsi="Courier New" w:cs="Courier New"/>
    </w:rPr>
  </w:style>
  <w:style w:type="character" w:styleId="WW8Num2z0" w:customStyle="1">
    <w:name w:val="WW8Num2z0"/>
    <w:qFormat/>
    <w:rPr>
      <w:rFonts w:ascii="Symbol" w:hAnsi="Symbol" w:cs="Symbol"/>
    </w:rPr>
  </w:style>
  <w:style w:type="character" w:styleId="WW8Num2z1" w:customStyle="1">
    <w:name w:val="WW8Num2z1"/>
    <w:qFormat/>
    <w:rPr>
      <w:rFonts w:ascii="Wingdings" w:hAnsi="Wingdings" w:cs="Wingdings"/>
      <w:sz w:val="20"/>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Wingdings" w:hAnsi="Wingdings" w:cs="Wingdings"/>
      <w:sz w:val="20"/>
      <w:lang w:val="fr-FR"/>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rFonts w:ascii="Wingdings" w:hAnsi="Wingdings" w:cs="Wingdings"/>
      <w:sz w:val="20"/>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style>
  <w:style w:type="character" w:styleId="WW8Num7z1" w:customStyle="1">
    <w:name w:val="WW8Num7z1"/>
    <w:qFormat/>
    <w:rPr>
      <w:rFonts w:ascii="Wingdings" w:hAnsi="Wingdings" w:cs="Wingdings"/>
      <w:sz w:val="20"/>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Wingdings" w:hAnsi="Wingdings" w:cs="Wingdings"/>
      <w:sz w:val="20"/>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0" w:customStyle="1">
    <w:name w:val="WW8Num9z0"/>
    <w:qFormat/>
    <w:rPr>
      <w:rFonts w:ascii="Symbol" w:hAnsi="Symbol" w:cs="Symbol"/>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Symbol" w:hAnsi="Symbol" w:cs="Symbol"/>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Internetlink" w:customStyle="1">
    <w:name w:val="Internet link"/>
    <w:qFormat/>
    <w:rPr>
      <w:color w:val="0000FF"/>
      <w:u w:val="single"/>
    </w:rPr>
  </w:style>
  <w:style w:type="character" w:styleId="Titresousrubrique" w:customStyle="1">
    <w:name w:val="titresousrubrique"/>
    <w:basedOn w:val="DefaultParagraphFont"/>
    <w:qFormat/>
    <w:rPr/>
  </w:style>
  <w:style w:type="character" w:styleId="Volume" w:customStyle="1">
    <w:name w:val="volume"/>
    <w:basedOn w:val="DefaultParagraphFont"/>
    <w:qFormat/>
    <w:rPr/>
  </w:style>
  <w:style w:type="character" w:styleId="Issue" w:customStyle="1">
    <w:name w:val="issue"/>
    <w:basedOn w:val="DefaultParagraphFont"/>
    <w:qFormat/>
    <w:rPr/>
  </w:style>
  <w:style w:type="character" w:styleId="Pages" w:customStyle="1">
    <w:name w:val="pages"/>
    <w:basedOn w:val="DefaultParagraphFont"/>
    <w:qFormat/>
    <w:rPr/>
  </w:style>
  <w:style w:type="character" w:styleId="StrongEmphasis" w:customStyle="1">
    <w:name w:val="Strong Emphasis"/>
    <w:qFormat/>
    <w:rPr>
      <w:b/>
      <w:bCs/>
    </w:rPr>
  </w:style>
  <w:style w:type="character" w:styleId="St" w:customStyle="1">
    <w:name w:val="st"/>
    <w:basedOn w:val="DefaultParagraphFont"/>
    <w:qFormat/>
    <w:rPr/>
  </w:style>
  <w:style w:type="character" w:styleId="Emphasis">
    <w:name w:val="Emphasis"/>
    <w:qFormat/>
    <w:rPr>
      <w:i/>
      <w:iCs/>
    </w:rPr>
  </w:style>
  <w:style w:type="character" w:styleId="TextedebullesCar" w:customStyle="1">
    <w:name w:val="Texte de bulles Car"/>
    <w:qFormat/>
    <w:rPr>
      <w:rFonts w:ascii="Tahoma" w:hAnsi="Tahoma" w:cs="Tahoma"/>
      <w:sz w:val="16"/>
      <w:szCs w:val="16"/>
      <w:lang w:val="it-IT"/>
    </w:rPr>
  </w:style>
  <w:style w:type="character" w:styleId="Bullets" w:customStyle="1">
    <w:name w:val="Bullets"/>
    <w:qFormat/>
    <w:rPr>
      <w:rFonts w:ascii="OpenSymbol" w:hAnsi="OpenSymbol" w:eastAsia="OpenSymbol" w:cs="OpenSymbol"/>
    </w:rPr>
  </w:style>
  <w:style w:type="character" w:styleId="InternetLink1">
    <w:name w:val="Internet Link"/>
    <w:basedOn w:val="DefaultParagraphFont"/>
    <w:uiPriority w:val="99"/>
    <w:unhideWhenUsed/>
    <w:rsid w:val="004f1b17"/>
    <w:rPr>
      <w:color w:val="0000FF" w:themeColor="hyperlink"/>
      <w:u w:val="single"/>
    </w:rPr>
  </w:style>
  <w:style w:type="character" w:styleId="UnresolvedMention1" w:customStyle="1">
    <w:name w:val="Unresolved Mention1"/>
    <w:basedOn w:val="DefaultParagraphFont"/>
    <w:uiPriority w:val="99"/>
    <w:semiHidden/>
    <w:unhideWhenUsed/>
    <w:qFormat/>
    <w:rsid w:val="00a8143a"/>
    <w:rPr>
      <w:color w:val="808080"/>
      <w:shd w:fill="E6E6E6" w:val="clear"/>
    </w:rPr>
  </w:style>
  <w:style w:type="character" w:styleId="ListLabel1">
    <w:name w:val="ListLabel 1"/>
    <w:qFormat/>
    <w:rPr>
      <w:rFonts w:cs="Wingdings"/>
      <w:sz w:val="20"/>
    </w:rPr>
  </w:style>
  <w:style w:type="character" w:styleId="ListLabel2">
    <w:name w:val="ListLabel 2"/>
    <w:qFormat/>
    <w:rPr>
      <w:rFonts w:cs="Wingdings"/>
      <w:sz w:val="20"/>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Wingdings"/>
      <w:sz w:val="20"/>
    </w:rPr>
  </w:style>
  <w:style w:type="character" w:styleId="ListLabel12">
    <w:name w:val="ListLabel 12"/>
    <w:qFormat/>
    <w:rPr>
      <w:rFonts w:cs="Wingdings"/>
      <w:sz w:val="20"/>
      <w:lang w:val="fr-FR"/>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Wingdings"/>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eastAsia="OpenSymbol" w:cs="OpenSymbol"/>
    </w:rPr>
  </w:style>
  <w:style w:type="character" w:styleId="ListLabel52">
    <w:name w:val="ListLabel 52"/>
    <w:qFormat/>
    <w:rPr>
      <w:b/>
      <w:sz w:val="22"/>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sz w:val="24"/>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OpenSymbol" w:cs="OpenSymbol"/>
    </w:rPr>
  </w:style>
  <w:style w:type="character" w:styleId="ListLabel66">
    <w:name w:val="ListLabel 66"/>
    <w:qFormat/>
    <w:rPr>
      <w:rFonts w:eastAsia="OpenSymbol" w:cs="OpenSymbol"/>
    </w:rPr>
  </w:style>
  <w:style w:type="character" w:styleId="ListLabel67">
    <w:name w:val="ListLabel 67"/>
    <w:qFormat/>
    <w:rPr>
      <w:rFonts w:eastAsia="OpenSymbol" w:cs="OpenSymbol"/>
    </w:rPr>
  </w:style>
  <w:style w:type="character" w:styleId="ListLabel68">
    <w:name w:val="ListLabel 68"/>
    <w:qFormat/>
    <w:rPr>
      <w:rFonts w:eastAsia="OpenSymbol" w:cs="OpenSymbol"/>
    </w:rPr>
  </w:style>
  <w:style w:type="character" w:styleId="ListLabel69">
    <w:name w:val="ListLabel 69"/>
    <w:qFormat/>
    <w:rPr>
      <w:sz w:val="24"/>
    </w:rPr>
  </w:style>
  <w:style w:type="character" w:styleId="ListLabel70">
    <w:name w:val="ListLabel 70"/>
    <w:qFormat/>
    <w:rPr>
      <w:rFonts w:eastAsia="OpenSymbol" w:cs="OpenSymbol"/>
    </w:rPr>
  </w:style>
  <w:style w:type="character" w:styleId="ListLabel71">
    <w:name w:val="ListLabel 71"/>
    <w:qFormat/>
    <w:rPr>
      <w:rFonts w:eastAsia="OpenSymbol" w:cs="OpenSymbol"/>
    </w:rPr>
  </w:style>
  <w:style w:type="character" w:styleId="ListLabel72">
    <w:name w:val="ListLabel 72"/>
    <w:qFormat/>
    <w:rPr>
      <w:rFonts w:eastAsia="OpenSymbol" w:cs="OpenSymbol"/>
    </w:rPr>
  </w:style>
  <w:style w:type="character" w:styleId="ListLabel73">
    <w:name w:val="ListLabel 73"/>
    <w:qFormat/>
    <w:rPr>
      <w:rFonts w:eastAsia="OpenSymbol" w:cs="OpenSymbol"/>
    </w:rPr>
  </w:style>
  <w:style w:type="character" w:styleId="ListLabel74">
    <w:name w:val="ListLabel 74"/>
    <w:qFormat/>
    <w:rPr>
      <w:rFonts w:eastAsia="OpenSymbol" w:cs="OpenSymbol"/>
    </w:rPr>
  </w:style>
  <w:style w:type="character" w:styleId="ListLabel75">
    <w:name w:val="ListLabel 75"/>
    <w:qFormat/>
    <w:rPr>
      <w:rFonts w:eastAsia="OpenSymbol" w:cs="OpenSymbol"/>
    </w:rPr>
  </w:style>
  <w:style w:type="character" w:styleId="ListLabel76">
    <w:name w:val="ListLabel 76"/>
    <w:qFormat/>
    <w:rPr>
      <w:rFonts w:eastAsia="OpenSymbol" w:cs="OpenSymbol"/>
    </w:rPr>
  </w:style>
  <w:style w:type="character" w:styleId="ListLabel77">
    <w:name w:val="ListLabel 77"/>
    <w:qFormat/>
    <w:rPr>
      <w:rFonts w:eastAsia="OpenSymbol" w:cs="OpenSymbol"/>
    </w:rPr>
  </w:style>
  <w:style w:type="character" w:styleId="ListLabel78">
    <w:name w:val="ListLabel 78"/>
    <w:qFormat/>
    <w:rPr>
      <w:sz w:val="24"/>
    </w:rPr>
  </w:style>
  <w:style w:type="character" w:styleId="ListLabel79">
    <w:name w:val="ListLabel 79"/>
    <w:qFormat/>
    <w:rPr>
      <w:rFonts w:eastAsia="OpenSymbol" w:cs="OpenSymbol"/>
    </w:rPr>
  </w:style>
  <w:style w:type="character" w:styleId="ListLabel80">
    <w:name w:val="ListLabel 80"/>
    <w:qFormat/>
    <w:rPr>
      <w:rFonts w:eastAsia="OpenSymbol" w:cs="OpenSymbol"/>
    </w:rPr>
  </w:style>
  <w:style w:type="character" w:styleId="ListLabel81">
    <w:name w:val="ListLabel 81"/>
    <w:qFormat/>
    <w:rPr>
      <w:rFonts w:eastAsia="OpenSymbol" w:cs="OpenSymbol"/>
    </w:rPr>
  </w:style>
  <w:style w:type="character" w:styleId="ListLabel82">
    <w:name w:val="ListLabel 82"/>
    <w:qFormat/>
    <w:rPr>
      <w:rFonts w:eastAsia="OpenSymbol" w:cs="OpenSymbol"/>
    </w:rPr>
  </w:style>
  <w:style w:type="character" w:styleId="ListLabel83">
    <w:name w:val="ListLabel 83"/>
    <w:qFormat/>
    <w:rPr>
      <w:rFonts w:eastAsia="OpenSymbol" w:cs="OpenSymbol"/>
    </w:rPr>
  </w:style>
  <w:style w:type="character" w:styleId="ListLabel84">
    <w:name w:val="ListLabel 84"/>
    <w:qFormat/>
    <w:rPr>
      <w:rFonts w:eastAsia="OpenSymbol" w:cs="OpenSymbol"/>
    </w:rPr>
  </w:style>
  <w:style w:type="character" w:styleId="ListLabel85">
    <w:name w:val="ListLabel 85"/>
    <w:qFormat/>
    <w:rPr>
      <w:rFonts w:eastAsia="OpenSymbol" w:cs="OpenSymbol"/>
    </w:rPr>
  </w:style>
  <w:style w:type="character" w:styleId="ListLabel86">
    <w:name w:val="ListLabel 86"/>
    <w:qFormat/>
    <w:rPr>
      <w:rFonts w:eastAsia="OpenSymbol" w:cs="OpenSymbol"/>
    </w:rPr>
  </w:style>
  <w:style w:type="character" w:styleId="ListLabel87">
    <w:name w:val="ListLabel 87"/>
    <w:qFormat/>
    <w:rPr>
      <w:sz w:val="24"/>
    </w:rPr>
  </w:style>
  <w:style w:type="character" w:styleId="ListLabel88">
    <w:name w:val="ListLabel 88"/>
    <w:qFormat/>
    <w:rPr>
      <w:rFonts w:eastAsia="OpenSymbol" w:cs="OpenSymbol"/>
    </w:rPr>
  </w:style>
  <w:style w:type="character" w:styleId="ListLabel89">
    <w:name w:val="ListLabel 89"/>
    <w:qFormat/>
    <w:rPr>
      <w:rFonts w:eastAsia="OpenSymbol" w:cs="OpenSymbol"/>
    </w:rPr>
  </w:style>
  <w:style w:type="character" w:styleId="ListLabel90">
    <w:name w:val="ListLabel 90"/>
    <w:qFormat/>
    <w:rPr>
      <w:rFonts w:eastAsia="OpenSymbol" w:cs="OpenSymbol"/>
    </w:rPr>
  </w:style>
  <w:style w:type="character" w:styleId="ListLabel91">
    <w:name w:val="ListLabel 91"/>
    <w:qFormat/>
    <w:rPr>
      <w:rFonts w:eastAsia="OpenSymbol" w:cs="OpenSymbol"/>
    </w:rPr>
  </w:style>
  <w:style w:type="character" w:styleId="ListLabel92">
    <w:name w:val="ListLabel 92"/>
    <w:qFormat/>
    <w:rPr>
      <w:rFonts w:eastAsia="OpenSymbol" w:cs="OpenSymbol"/>
    </w:rPr>
  </w:style>
  <w:style w:type="character" w:styleId="ListLabel93">
    <w:name w:val="ListLabel 93"/>
    <w:qFormat/>
    <w:rPr>
      <w:rFonts w:eastAsia="OpenSymbol" w:cs="OpenSymbol"/>
    </w:rPr>
  </w:style>
  <w:style w:type="character" w:styleId="ListLabel94">
    <w:name w:val="ListLabel 94"/>
    <w:qFormat/>
    <w:rPr>
      <w:rFonts w:eastAsia="OpenSymbol" w:cs="OpenSymbol"/>
    </w:rPr>
  </w:style>
  <w:style w:type="character" w:styleId="ListLabel95">
    <w:name w:val="ListLabel 95"/>
    <w:qFormat/>
    <w:rPr>
      <w:rFonts w:eastAsia="OpenSymbol" w:cs="OpenSymbol"/>
    </w:rPr>
  </w:style>
  <w:style w:type="character" w:styleId="ListLabel96">
    <w:name w:val="ListLabel 96"/>
    <w:qFormat/>
    <w:rPr>
      <w:sz w:val="20"/>
    </w:rPr>
  </w:style>
  <w:style w:type="character" w:styleId="ListLabel97">
    <w:name w:val="ListLabel 97"/>
    <w:qFormat/>
    <w:rPr>
      <w:rFonts w:eastAsia="OpenSymbol" w:cs="OpenSymbol"/>
    </w:rPr>
  </w:style>
  <w:style w:type="character" w:styleId="ListLabel98">
    <w:name w:val="ListLabel 98"/>
    <w:qFormat/>
    <w:rPr>
      <w:rFonts w:eastAsia="OpenSymbol" w:cs="OpenSymbol"/>
    </w:rPr>
  </w:style>
  <w:style w:type="character" w:styleId="ListLabel99">
    <w:name w:val="ListLabel 99"/>
    <w:qFormat/>
    <w:rPr>
      <w:rFonts w:eastAsia="OpenSymbol" w:cs="OpenSymbol"/>
    </w:rPr>
  </w:style>
  <w:style w:type="character" w:styleId="ListLabel100">
    <w:name w:val="ListLabel 100"/>
    <w:qFormat/>
    <w:rPr>
      <w:rFonts w:eastAsia="OpenSymbol" w:cs="OpenSymbol"/>
    </w:rPr>
  </w:style>
  <w:style w:type="character" w:styleId="ListLabel101">
    <w:name w:val="ListLabel 101"/>
    <w:qFormat/>
    <w:rPr>
      <w:rFonts w:eastAsia="OpenSymbol" w:cs="OpenSymbol"/>
    </w:rPr>
  </w:style>
  <w:style w:type="character" w:styleId="ListLabel102">
    <w:name w:val="ListLabel 102"/>
    <w:qFormat/>
    <w:rPr>
      <w:rFonts w:eastAsia="OpenSymbol" w:cs="OpenSymbol"/>
    </w:rPr>
  </w:style>
  <w:style w:type="character" w:styleId="ListLabel103">
    <w:name w:val="ListLabel 103"/>
    <w:qFormat/>
    <w:rPr>
      <w:rFonts w:eastAsia="OpenSymbol" w:cs="OpenSymbol"/>
    </w:rPr>
  </w:style>
  <w:style w:type="character" w:styleId="ListLabel104">
    <w:name w:val="ListLabel 104"/>
    <w:qFormat/>
    <w:rPr>
      <w:rFonts w:eastAsia="OpenSymbol" w:cs="OpenSymbol"/>
    </w:rPr>
  </w:style>
  <w:style w:type="character" w:styleId="ListLabel105">
    <w:name w:val="ListLabel 105"/>
    <w:qFormat/>
    <w:rPr>
      <w:sz w:val="20"/>
    </w:rPr>
  </w:style>
  <w:style w:type="character" w:styleId="ListLabel106">
    <w:name w:val="ListLabel 106"/>
    <w:qFormat/>
    <w:rPr>
      <w:rFonts w:eastAsia="OpenSymbol" w:cs="OpenSymbol"/>
    </w:rPr>
  </w:style>
  <w:style w:type="character" w:styleId="ListLabel107">
    <w:name w:val="ListLabel 107"/>
    <w:qFormat/>
    <w:rPr>
      <w:rFonts w:eastAsia="OpenSymbol" w:cs="OpenSymbol"/>
    </w:rPr>
  </w:style>
  <w:style w:type="character" w:styleId="ListLabel108">
    <w:name w:val="ListLabel 108"/>
    <w:qFormat/>
    <w:rPr>
      <w:rFonts w:eastAsia="OpenSymbol" w:cs="OpenSymbol"/>
    </w:rPr>
  </w:style>
  <w:style w:type="character" w:styleId="ListLabel109">
    <w:name w:val="ListLabel 109"/>
    <w:qFormat/>
    <w:rPr>
      <w:rFonts w:eastAsia="OpenSymbol" w:cs="OpenSymbol"/>
    </w:rPr>
  </w:style>
  <w:style w:type="character" w:styleId="ListLabel110">
    <w:name w:val="ListLabel 110"/>
    <w:qFormat/>
    <w:rPr>
      <w:rFonts w:eastAsia="OpenSymbol" w:cs="OpenSymbol"/>
    </w:rPr>
  </w:style>
  <w:style w:type="character" w:styleId="ListLabel111">
    <w:name w:val="ListLabel 111"/>
    <w:qFormat/>
    <w:rPr>
      <w:rFonts w:eastAsia="OpenSymbol" w:cs="OpenSymbol"/>
    </w:rPr>
  </w:style>
  <w:style w:type="character" w:styleId="ListLabel112">
    <w:name w:val="ListLabel 112"/>
    <w:qFormat/>
    <w:rPr>
      <w:rFonts w:eastAsia="OpenSymbol" w:cs="OpenSymbol"/>
    </w:rPr>
  </w:style>
  <w:style w:type="character" w:styleId="ListLabel113">
    <w:name w:val="ListLabel 113"/>
    <w:qFormat/>
    <w:rPr>
      <w:rFonts w:eastAsia="OpenSymbol" w:cs="OpenSymbol"/>
    </w:rPr>
  </w:style>
  <w:style w:type="character" w:styleId="ListLabel114">
    <w:name w:val="ListLabel 114"/>
    <w:qFormat/>
    <w:rPr>
      <w:sz w:val="19"/>
    </w:rPr>
  </w:style>
  <w:style w:type="character" w:styleId="ListLabel115">
    <w:name w:val="ListLabel 115"/>
    <w:qFormat/>
    <w:rPr>
      <w:rFonts w:eastAsia="OpenSymbol" w:cs="OpenSymbol"/>
    </w:rPr>
  </w:style>
  <w:style w:type="character" w:styleId="ListLabel116">
    <w:name w:val="ListLabel 116"/>
    <w:qFormat/>
    <w:rPr>
      <w:rFonts w:eastAsia="OpenSymbol" w:cs="OpenSymbol"/>
    </w:rPr>
  </w:style>
  <w:style w:type="character" w:styleId="ListLabel117">
    <w:name w:val="ListLabel 117"/>
    <w:qFormat/>
    <w:rPr>
      <w:rFonts w:eastAsia="OpenSymbol" w:cs="OpenSymbol"/>
    </w:rPr>
  </w:style>
  <w:style w:type="character" w:styleId="ListLabel118">
    <w:name w:val="ListLabel 118"/>
    <w:qFormat/>
    <w:rPr>
      <w:rFonts w:eastAsia="OpenSymbol" w:cs="OpenSymbol"/>
    </w:rPr>
  </w:style>
  <w:style w:type="character" w:styleId="ListLabel119">
    <w:name w:val="ListLabel 119"/>
    <w:qFormat/>
    <w:rPr>
      <w:rFonts w:eastAsia="OpenSymbol" w:cs="OpenSymbol"/>
    </w:rPr>
  </w:style>
  <w:style w:type="character" w:styleId="ListLabel120">
    <w:name w:val="ListLabel 120"/>
    <w:qFormat/>
    <w:rPr>
      <w:rFonts w:eastAsia="OpenSymbol" w:cs="OpenSymbol"/>
    </w:rPr>
  </w:style>
  <w:style w:type="character" w:styleId="ListLabel121">
    <w:name w:val="ListLabel 121"/>
    <w:qFormat/>
    <w:rPr>
      <w:rFonts w:eastAsia="OpenSymbol" w:cs="OpenSymbol"/>
    </w:rPr>
  </w:style>
  <w:style w:type="character" w:styleId="ListLabel122">
    <w:name w:val="ListLabel 122"/>
    <w:qFormat/>
    <w:rPr>
      <w:rFonts w:eastAsia="OpenSymbol" w:cs="OpenSymbol"/>
    </w:rPr>
  </w:style>
  <w:style w:type="character" w:styleId="ListLabel123">
    <w:name w:val="ListLabel 123"/>
    <w:qFormat/>
    <w:rPr>
      <w:sz w:val="19"/>
    </w:rPr>
  </w:style>
  <w:style w:type="character" w:styleId="ListLabel124">
    <w:name w:val="ListLabel 124"/>
    <w:qFormat/>
    <w:rPr>
      <w:rFonts w:eastAsia="OpenSymbol" w:cs="OpenSymbol"/>
    </w:rPr>
  </w:style>
  <w:style w:type="character" w:styleId="ListLabel125">
    <w:name w:val="ListLabel 125"/>
    <w:qFormat/>
    <w:rPr>
      <w:rFonts w:eastAsia="OpenSymbol" w:cs="OpenSymbol"/>
    </w:rPr>
  </w:style>
  <w:style w:type="character" w:styleId="ListLabel126">
    <w:name w:val="ListLabel 126"/>
    <w:qFormat/>
    <w:rPr>
      <w:rFonts w:eastAsia="OpenSymbol" w:cs="OpenSymbol"/>
    </w:rPr>
  </w:style>
  <w:style w:type="character" w:styleId="ListLabel127">
    <w:name w:val="ListLabel 127"/>
    <w:qFormat/>
    <w:rPr>
      <w:rFonts w:eastAsia="OpenSymbol" w:cs="OpenSymbol"/>
    </w:rPr>
  </w:style>
  <w:style w:type="character" w:styleId="ListLabel128">
    <w:name w:val="ListLabel 128"/>
    <w:qFormat/>
    <w:rPr>
      <w:rFonts w:eastAsia="OpenSymbol" w:cs="OpenSymbol"/>
    </w:rPr>
  </w:style>
  <w:style w:type="character" w:styleId="ListLabel129">
    <w:name w:val="ListLabel 129"/>
    <w:qFormat/>
    <w:rPr>
      <w:rFonts w:eastAsia="OpenSymbol" w:cs="OpenSymbol"/>
    </w:rPr>
  </w:style>
  <w:style w:type="character" w:styleId="ListLabel130">
    <w:name w:val="ListLabel 130"/>
    <w:qFormat/>
    <w:rPr>
      <w:rFonts w:eastAsia="OpenSymbol" w:cs="OpenSymbol"/>
    </w:rPr>
  </w:style>
  <w:style w:type="character" w:styleId="ListLabel131">
    <w:name w:val="ListLabel 131"/>
    <w:qFormat/>
    <w:rPr>
      <w:rFonts w:eastAsia="OpenSymbol" w:cs="OpenSymbol"/>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sz w:val="22"/>
      <w:szCs w:val="22"/>
    </w:rPr>
  </w:style>
  <w:style w:type="paragraph" w:styleId="Heading" w:customStyle="1">
    <w:name w:val="Heading"/>
    <w:basedOn w:val="Standard"/>
    <w:next w:val="TextBody"/>
    <w:qFormat/>
    <w:pPr>
      <w:pBdr>
        <w:top w:val="single" w:sz="4" w:space="1" w:color="000000"/>
        <w:left w:val="single" w:sz="4" w:space="4" w:color="000000"/>
        <w:bottom w:val="single" w:sz="4" w:space="1" w:color="000000"/>
        <w:right w:val="single" w:sz="4" w:space="4" w:color="000000"/>
      </w:pBdr>
      <w:jc w:val="center"/>
    </w:pPr>
    <w:rPr>
      <w:sz w:val="36"/>
      <w:lang w:val="fr-FR"/>
    </w:rPr>
  </w:style>
  <w:style w:type="paragraph" w:styleId="TextBody">
    <w:name w:val="Body Text"/>
    <w:basedOn w:val="Normal"/>
    <w:pPr>
      <w:spacing w:lineRule="auto" w:line="276" w:before="0" w:after="140"/>
    </w:pPr>
    <w:rPr/>
  </w:style>
  <w:style w:type="paragraph" w:styleId="List">
    <w:name w:val="List"/>
    <w:basedOn w:val="Textbody1"/>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FreeSans"/>
    </w:rPr>
  </w:style>
  <w:style w:type="paragraph" w:styleId="Standard" w:customStyle="1">
    <w:name w:val="Standard"/>
    <w:qFormat/>
    <w:pPr>
      <w:widowControl/>
      <w:bidi w:val="0"/>
      <w:jc w:val="left"/>
    </w:pPr>
    <w:rPr>
      <w:rFonts w:ascii="Times New Roman" w:hAnsi="Times New Roman" w:eastAsia="Times New Roman" w:cs="Times New Roman"/>
      <w:color w:val="auto"/>
      <w:kern w:val="2"/>
      <w:sz w:val="24"/>
      <w:szCs w:val="24"/>
      <w:lang w:val="it-IT" w:bidi="ar-SA" w:eastAsia="zh-C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rPr>
  </w:style>
  <w:style w:type="paragraph" w:styleId="Textbodyindent" w:customStyle="1">
    <w:name w:val="Text body indent"/>
    <w:basedOn w:val="Standard"/>
    <w:qFormat/>
    <w:pPr>
      <w:ind w:left="720" w:hanging="0"/>
      <w:jc w:val="both"/>
    </w:pPr>
    <w:rPr>
      <w:lang w:val="fr-FR"/>
    </w:rPr>
  </w:style>
  <w:style w:type="paragraph" w:styleId="BodyText2">
    <w:name w:val="Body Text 2"/>
    <w:basedOn w:val="Standard"/>
    <w:qFormat/>
    <w:pPr/>
    <w:rPr>
      <w:rFonts w:ascii="Bookman Old Style" w:hAnsi="Bookman Old Style" w:cs="Bookman Old Style"/>
      <w:sz w:val="28"/>
      <w:szCs w:val="20"/>
    </w:rPr>
  </w:style>
  <w:style w:type="paragraph" w:styleId="HTMLPreformatted">
    <w:name w:val="HTML Preformatted"/>
    <w:basedOn w:val="Standar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fr-FR"/>
    </w:rPr>
  </w:style>
  <w:style w:type="paragraph" w:styleId="BalloonText">
    <w:name w:val="Balloon Text"/>
    <w:basedOn w:val="Standard"/>
    <w:qFormat/>
    <w:pPr/>
    <w:rPr>
      <w:rFonts w:ascii="Tahoma" w:hAnsi="Tahoma" w:cs="Tahoma"/>
      <w:sz w:val="16"/>
      <w:szCs w:val="16"/>
    </w:rPr>
  </w:style>
  <w:style w:type="paragraph" w:styleId="TableContents" w:customStyle="1">
    <w:name w:val="Table Contents"/>
    <w:basedOn w:val="Standard"/>
    <w:qFormat/>
    <w:pPr>
      <w:suppressLineNumbers/>
    </w:pPr>
    <w:rPr/>
  </w:style>
  <w:style w:type="paragraph" w:styleId="Quotations" w:customStyle="1">
    <w:name w:val="Quotations"/>
    <w:basedOn w:val="Standard"/>
    <w:qFormat/>
    <w:pPr>
      <w:spacing w:before="0" w:after="283"/>
      <w:ind w:left="567" w:right="567" w:hanging="0"/>
    </w:pPr>
    <w:rPr/>
  </w:style>
  <w:style w:type="paragraph" w:styleId="Title">
    <w:name w:val="Title"/>
    <w:basedOn w:val="Heading"/>
    <w:qFormat/>
    <w:pPr/>
    <w:rPr>
      <w:b/>
      <w:bCs/>
      <w:sz w:val="56"/>
      <w:szCs w:val="56"/>
    </w:rPr>
  </w:style>
  <w:style w:type="paragraph" w:styleId="Subtitle">
    <w:name w:val="Subtitle"/>
    <w:basedOn w:val="Heading"/>
    <w:qFormat/>
    <w:pPr>
      <w:spacing w:before="60" w:after="120"/>
    </w:pPr>
    <w:rPr>
      <w:szCs w:val="36"/>
    </w:rPr>
  </w:style>
  <w:style w:type="paragraph" w:styleId="ListParagraph">
    <w:name w:val="List Paragraph"/>
    <w:basedOn w:val="Normal"/>
    <w:uiPriority w:val="34"/>
    <w:qFormat/>
    <w:rsid w:val="007746ac"/>
    <w:pPr>
      <w:spacing w:before="0" w:after="0"/>
      <w:ind w:left="720" w:hanging="0"/>
      <w:contextualSpacing/>
    </w:pPr>
    <w:rPr>
      <w:rFonts w:cs="Mangal"/>
      <w:szCs w:val="21"/>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chela.cantiello@gmail.com" TargetMode="External"/><Relationship Id="rId3" Type="http://schemas.openxmlformats.org/officeDocument/2006/relationships/hyperlink" Target="https://michela.pgpmartin.f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75FE8-44F8-4E87-911B-478DF53E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5</Pages>
  <Words>1694</Words>
  <Characters>10071</Characters>
  <CharactersWithSpaces>11642</CharactersWithSpaces>
  <Paragraphs>94</Paragraphs>
  <Company>Avogadro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2021-12-19T17:17:00Z</dcterms:created>
  <dc:creator>.</dc:creator>
  <dc:description/>
  <dc:language>en-US</dc:language>
  <cp:lastModifiedBy/>
  <cp:lastPrinted>2017-02-07T02:39:00Z</cp:lastPrinted>
  <dcterms:modified xsi:type="dcterms:W3CDTF">2021-12-19T18:59:45Z</dcterms:modified>
  <cp:revision>4</cp:revision>
  <dc:subject/>
  <dc:title>Informations personnelles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Avogadro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