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officeDocument/2006/relationships/officeDocument" Target="/word/document.xml" Id="R4A9205A5" /><Relationship Type="http://schemas.openxmlformats.org/package/2006/relationships/metadata/core-properties" Target="docProps/core.xml" Id="RB03CF8A2" /><Relationship Type="http://schemas.openxmlformats.org/officeDocument/2006/relationships/extended-properties" Target="/docProps/app.xml" Id="Rd1d8f8c09bdd44b5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01BB62C6" wp14:textId="77777777" wp14:noSpellErr="1">
      <w:pPr>
        <w:spacing w:before="0" w:after="446" w:line="259" w:lineRule="auto"/>
        <w:ind w:left="0" w:right="32" w:firstLine="0"/>
        <w:jc w:val="right"/>
      </w:pPr>
      <w:r w:rsidRPr="2C918140" w:rsidR="2C91814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Curriculum Vitae Oct. 2020</w:t>
      </w:r>
      <w:r w:rsidRPr="2C918140" w:rsidR="2C91814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</w:t>
      </w:r>
    </w:p>
    <w:p xmlns:wp14="http://schemas.microsoft.com/office/word/2010/wordml" w14:paraId="19A7E264" wp14:textId="77777777" wp14:noSpellErr="1">
      <w:pPr>
        <w:spacing w:before="0" w:after="0" w:line="259" w:lineRule="auto"/>
        <w:ind w:left="91" w:firstLine="0"/>
        <w:jc w:val="left"/>
      </w:pPr>
      <w:r w:rsidRPr="2C918140" w:rsidR="2C918140">
        <w:rPr>
          <w:rFonts w:ascii="Arial" w:hAnsi="Arial" w:eastAsia="Arial" w:cs="Arial"/>
          <w:b w:val="1"/>
          <w:bCs w:val="1"/>
          <w:sz w:val="40"/>
          <w:szCs w:val="40"/>
        </w:rPr>
        <w:t xml:space="preserve">HAO (DAVID) CUI </w:t>
      </w:r>
    </w:p>
    <w:p xmlns:wp14="http://schemas.microsoft.com/office/word/2010/wordml" w14:paraId="388A7715" wp14:textId="77777777" wp14:noSpellErr="1">
      <w:pPr>
        <w:spacing w:before="0" w:after="382" w:line="266" w:lineRule="auto"/>
        <w:ind w:left="86"/>
        <w:jc w:val="left"/>
      </w:pPr>
      <w:r w:rsidRPr="2C918140" w:rsidR="2C918140">
        <w:rPr>
          <w:rFonts w:ascii="Times New Roman" w:hAnsi="Times New Roman" w:eastAsia="Times New Roman" w:cs="Times New Roman"/>
          <w:sz w:val="12"/>
          <w:szCs w:val="1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2C918140" w:rsidR="2C918140">
        <w:rPr>
          <w:sz w:val="12"/>
          <w:szCs w:val="12"/>
        </w:rPr>
        <w:t xml:space="preserve"> </w:t>
      </w:r>
    </w:p>
    <w:p xmlns:wp14="http://schemas.microsoft.com/office/word/2010/wordml" w14:paraId="6CE48BFE" wp14:textId="77777777" wp14:noSpellErr="1">
      <w:pPr>
        <w:pStyle w:val="normal"/>
        <w:spacing w:before="0" w:after="3" w:line="248" w:lineRule="auto"/>
        <w:ind w:left="267"/>
      </w:pPr>
      <w:r w:rsidR="2C918140">
        <w:rPr/>
        <w:t xml:space="preserve">Research Economist </w:t>
      </w:r>
    </w:p>
    <w:p xmlns:wp14="http://schemas.microsoft.com/office/word/2010/wordml" w14:paraId="4C8B337C" wp14:textId="77777777" wp14:noSpellErr="1">
      <w:pPr>
        <w:pStyle w:val="normal"/>
        <w:spacing w:before="0" w:after="3" w:line="248" w:lineRule="auto"/>
        <w:ind w:left="267"/>
      </w:pPr>
      <w:r w:rsidR="2C918140">
        <w:rPr/>
        <w:t xml:space="preserve">International Policy | Wageningen Economic Research - WUR </w:t>
      </w:r>
    </w:p>
    <w:p xmlns:wp14="http://schemas.microsoft.com/office/word/2010/wordml" w14:paraId="3098BAD4" wp14:textId="77777777">
      <w:pPr>
        <w:pStyle w:val="normal"/>
        <w:spacing w:before="0" w:after="3" w:line="248" w:lineRule="auto"/>
        <w:ind w:left="267"/>
      </w:pPr>
      <w:r w:rsidR="2C918140">
        <w:rPr/>
        <w:t xml:space="preserve">Add: </w:t>
      </w:r>
      <w:proofErr w:type="spellStart"/>
      <w:r w:rsidR="2C918140">
        <w:rPr/>
        <w:t>Prinses</w:t>
      </w:r>
      <w:proofErr w:type="spellEnd"/>
      <w:r w:rsidR="2C918140">
        <w:rPr/>
        <w:t xml:space="preserve"> </w:t>
      </w:r>
      <w:proofErr w:type="spellStart"/>
      <w:r w:rsidR="2C918140">
        <w:rPr/>
        <w:t>Beatrixlaan</w:t>
      </w:r>
      <w:proofErr w:type="spellEnd"/>
      <w:r w:rsidR="2C918140">
        <w:rPr/>
        <w:t xml:space="preserve"> 582 – 528, The Hague, 2595 BM Netherlands </w:t>
      </w:r>
    </w:p>
    <w:p xmlns:wp14="http://schemas.microsoft.com/office/word/2010/wordml" w14:paraId="353BD6C2" wp14:textId="77777777" wp14:noSpellErr="1">
      <w:pPr>
        <w:pStyle w:val="normal"/>
        <w:spacing w:before="0" w:after="3" w:line="248" w:lineRule="auto"/>
        <w:ind w:left="267"/>
      </w:pPr>
      <w:r w:rsidR="2C918140">
        <w:rPr/>
        <w:t xml:space="preserve">Tel:  +31.70.3358161 </w:t>
      </w:r>
    </w:p>
    <w:p xmlns:wp14="http://schemas.microsoft.com/office/word/2010/wordml" w14:paraId="3799E9D4" wp14:textId="77777777" wp14:noSpellErr="1">
      <w:pPr>
        <w:spacing w:before="0" w:after="345" w:line="249" w:lineRule="auto"/>
        <w:ind w:left="266"/>
        <w:jc w:val="left"/>
      </w:pPr>
      <w:r w:rsidR="2C918140">
        <w:rPr/>
        <w:t xml:space="preserve">Email: </w:t>
      </w:r>
      <w:r w:rsidRPr="2C918140" w:rsidR="2C918140">
        <w:rPr>
          <w:color w:val="0000FF"/>
          <w:u w:val="single"/>
        </w:rPr>
        <w:t>David.Cui@wur.nl</w:t>
      </w:r>
      <w:r w:rsidR="2C918140">
        <w:rPr/>
        <w:t xml:space="preserve"> </w:t>
      </w:r>
    </w:p>
    <w:p xmlns:wp14="http://schemas.microsoft.com/office/word/2010/wordml" w14:paraId="1FDB1966" wp14:textId="77777777" wp14:noSpellErr="1">
      <w:pPr>
        <w:spacing w:before="0" w:after="10" w:line="249" w:lineRule="auto"/>
        <w:ind w:left="101"/>
        <w:jc w:val="left"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 xml:space="preserve">ACADEMIC QUALIFICATIONS </w:t>
      </w:r>
    </w:p>
    <w:p xmlns:wp14="http://schemas.microsoft.com/office/word/2010/wordml" w14:paraId="5BBD14F8" wp14:textId="77777777" wp14:noSpellErr="1">
      <w:pPr>
        <w:spacing w:before="0" w:after="382" w:line="266" w:lineRule="auto"/>
        <w:ind w:left="86"/>
        <w:jc w:val="left"/>
      </w:pPr>
      <w:r w:rsidRPr="2C918140" w:rsidR="2C918140">
        <w:rPr>
          <w:rFonts w:ascii="Times New Roman" w:hAnsi="Times New Roman" w:eastAsia="Times New Roman" w:cs="Times New Roman"/>
          <w:sz w:val="12"/>
          <w:szCs w:val="1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2C918140" w:rsidR="2C918140">
        <w:rPr>
          <w:sz w:val="12"/>
          <w:szCs w:val="12"/>
        </w:rPr>
        <w:t xml:space="preserve"> </w:t>
      </w:r>
    </w:p>
    <w:p xmlns:wp14="http://schemas.microsoft.com/office/word/2010/wordml" w14:paraId="7EB8CBAA" wp14:noSpellErr="1" wp14:textId="0F40F11B">
      <w:pPr>
        <w:pStyle w:val="normal"/>
        <w:spacing w:before="0" w:after="3" w:line="248" w:lineRule="auto"/>
        <w:ind w:left="267"/>
      </w:pPr>
      <w:r w:rsidR="2C918140">
        <w:rPr/>
        <w:t>Ph.D. in Economics, Monash University, Australia 201</w:t>
      </w:r>
      <w:r w:rsidR="2C918140">
        <w:rPr/>
        <w:t>1</w:t>
      </w:r>
    </w:p>
    <w:p xmlns:wp14="http://schemas.microsoft.com/office/word/2010/wordml" w14:paraId="43D40B84" wp14:textId="77777777" wp14:noSpellErr="1">
      <w:pPr>
        <w:pStyle w:val="normal"/>
        <w:spacing w:before="0" w:after="346" w:line="248" w:lineRule="auto"/>
        <w:ind w:left="267"/>
      </w:pPr>
      <w:r w:rsidR="2C918140">
        <w:rPr/>
        <w:t xml:space="preserve">M. Econ., Jilin University, China 1999 </w:t>
      </w:r>
    </w:p>
    <w:p xmlns:wp14="http://schemas.microsoft.com/office/word/2010/wordml" w14:paraId="7465658F" wp14:textId="77777777" wp14:noSpellErr="1">
      <w:pPr>
        <w:spacing w:before="0" w:after="10" w:line="249" w:lineRule="auto"/>
        <w:ind w:left="101"/>
        <w:jc w:val="left"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 xml:space="preserve">EMPLOYMENT HISTORY </w:t>
      </w:r>
    </w:p>
    <w:p xmlns:wp14="http://schemas.microsoft.com/office/word/2010/wordml" w14:paraId="39C77694" wp14:textId="77777777" wp14:noSpellErr="1">
      <w:pPr>
        <w:spacing w:before="0" w:after="281" w:line="266" w:lineRule="auto"/>
        <w:ind w:left="86"/>
        <w:jc w:val="left"/>
      </w:pPr>
      <w:r w:rsidRPr="2C918140" w:rsidR="2C918140">
        <w:rPr>
          <w:rFonts w:ascii="Times New Roman" w:hAnsi="Times New Roman" w:eastAsia="Times New Roman" w:cs="Times New Roman"/>
          <w:sz w:val="12"/>
          <w:szCs w:val="1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="2C918140">
        <w:rPr/>
        <w:t xml:space="preserve">   </w:t>
      </w:r>
    </w:p>
    <w:p xmlns:wp14="http://schemas.microsoft.com/office/word/2010/wordml" w14:paraId="27707048" wp14:textId="77777777" wp14:noSpellErr="1">
      <w:pPr>
        <w:numPr>
          <w:ilvl w:val="0"/>
          <w:numId w:val="1"/>
        </w:numPr>
        <w:spacing w:before="0" w:after="10" w:line="249" w:lineRule="auto"/>
        <w:ind w:left="283" w:hanging="272"/>
        <w:jc w:val="left"/>
        <w:rPr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>2017 - present, Research Economist, Wageningen Economic Research, Wageningen University &amp; Research, Netherlands</w:t>
      </w:r>
      <w:r w:rsidR="2C918140">
        <w:rPr/>
        <w:t xml:space="preserve">  </w:t>
      </w:r>
    </w:p>
    <w:p xmlns:wp14="http://schemas.microsoft.com/office/word/2010/wordml" w14:paraId="5644C491" wp14:textId="77777777">
      <w:pPr>
        <w:pStyle w:val="normal"/>
        <w:spacing w:before="0" w:after="259" w:line="248" w:lineRule="auto"/>
        <w:ind w:left="267"/>
      </w:pPr>
      <w:r w:rsidR="2C918140">
        <w:rPr/>
        <w:t xml:space="preserve">Conducting research on economic, environmental and policy issues using MAGNET - a multisector, </w:t>
      </w:r>
      <w:proofErr w:type="spellStart"/>
      <w:r w:rsidR="2C918140">
        <w:rPr/>
        <w:t>multiregion</w:t>
      </w:r>
      <w:proofErr w:type="spellEnd"/>
      <w:r w:rsidR="2C918140">
        <w:rPr/>
        <w:t xml:space="preserve">, computable general equilibrium (CGE) model of the world economy. </w:t>
      </w:r>
    </w:p>
    <w:p xmlns:wp14="http://schemas.microsoft.com/office/word/2010/wordml" w14:paraId="5124ED69" wp14:textId="77777777" wp14:noSpellErr="1">
      <w:pPr>
        <w:numPr>
          <w:ilvl w:val="0"/>
          <w:numId w:val="1"/>
        </w:numPr>
        <w:spacing w:before="0" w:after="10" w:line="249" w:lineRule="auto"/>
        <w:ind w:left="283" w:hanging="272"/>
        <w:jc w:val="left"/>
        <w:rPr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 xml:space="preserve">2015 – 2017, Post-Doctoral Research Associate, Department of Agricultural Economics, Purdue University, United States </w:t>
      </w:r>
      <w:r w:rsidR="2C918140">
        <w:rPr/>
        <w:t xml:space="preserve"> </w:t>
      </w:r>
    </w:p>
    <w:p xmlns:wp14="http://schemas.microsoft.com/office/word/2010/wordml" w14:paraId="0CB03B09" wp14:textId="77777777">
      <w:pPr>
        <w:pStyle w:val="normal"/>
        <w:spacing w:before="0" w:after="3" w:line="248" w:lineRule="auto"/>
        <w:ind w:left="267"/>
      </w:pPr>
      <w:r w:rsidR="2C918140">
        <w:rPr/>
        <w:t xml:space="preserve">Conducting research on energy and environment issues using GTAP-BIO - a multisector, </w:t>
      </w:r>
      <w:proofErr w:type="spellStart"/>
      <w:r w:rsidR="2C918140">
        <w:rPr/>
        <w:t>multiregion</w:t>
      </w:r>
      <w:proofErr w:type="spellEnd"/>
      <w:r w:rsidR="2C918140">
        <w:rPr/>
        <w:t xml:space="preserve">, CGE model of the world economy with explicit modelling of biofuels and land use change. </w:t>
      </w:r>
    </w:p>
    <w:p xmlns:wp14="http://schemas.microsoft.com/office/word/2010/wordml" w14:paraId="29D6B04F" wp14:textId="77777777">
      <w:pPr>
        <w:spacing w:before="0" w:after="5" w:line="259" w:lineRule="auto"/>
        <w:ind w:left="272" w:firstLine="0"/>
        <w:jc w:val="left"/>
      </w:pPr>
      <w:r>
        <w:rPr/>
        <w:t xml:space="preserve"> </w:t>
      </w:r>
    </w:p>
    <w:p xmlns:wp14="http://schemas.microsoft.com/office/word/2010/wordml" w14:paraId="46138630" wp14:textId="77777777">
      <w:pPr>
        <w:pStyle w:val="normal"/>
        <w:numPr>
          <w:ilvl w:val="0"/>
          <w:numId w:val="1"/>
        </w:numPr>
        <w:spacing w:before="0" w:after="3" w:line="248" w:lineRule="auto"/>
        <w:ind w:left="283" w:hanging="272"/>
        <w:jc w:val="left"/>
        <w:rPr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>2011 - 2015, Research Economist, Australian Bureau of Agricultural and Resource Economics and Sciences (ABARES), Australian Department of Agriculture, Australia</w:t>
      </w:r>
      <w:r w:rsidR="2C918140">
        <w:rPr/>
        <w:t xml:space="preserve"> </w:t>
      </w:r>
      <w:r w:rsidR="2C918140">
        <w:rPr/>
        <w:t>Conducting policy-oriented economic research on energy, climate change, and agricultural trade using dynamic CGE models - Global Trade and Environment Model (GTEM), Australian Regional Model (</w:t>
      </w:r>
      <w:proofErr w:type="spellStart"/>
      <w:r w:rsidR="2C918140">
        <w:rPr/>
        <w:t>AusRegion</w:t>
      </w:r>
      <w:proofErr w:type="spellEnd"/>
      <w:r w:rsidR="2C918140">
        <w:rPr/>
        <w:t xml:space="preserve">), Victoria University Regional Model (VURM, formerly known as MMRF), and a partial equilibrium model – </w:t>
      </w:r>
      <w:proofErr w:type="spellStart"/>
      <w:r w:rsidR="2C918140">
        <w:rPr/>
        <w:t>AgEmissions</w:t>
      </w:r>
      <w:proofErr w:type="spellEnd"/>
      <w:r w:rsidR="2C918140">
        <w:rPr/>
        <w:t xml:space="preserve">. </w:t>
      </w:r>
    </w:p>
    <w:p xmlns:wp14="http://schemas.microsoft.com/office/word/2010/wordml" w14:paraId="0A6959E7" wp14:textId="77777777">
      <w:pPr>
        <w:spacing w:before="0" w:after="5" w:line="259" w:lineRule="auto"/>
        <w:ind w:left="272" w:firstLine="0"/>
        <w:jc w:val="left"/>
      </w:pPr>
      <w:r>
        <w:rPr/>
        <w:t xml:space="preserve"> </w:t>
      </w:r>
    </w:p>
    <w:p xmlns:wp14="http://schemas.microsoft.com/office/word/2010/wordml" w14:paraId="4B3C68DB" wp14:textId="77777777" wp14:noSpellErr="1">
      <w:pPr>
        <w:numPr>
          <w:ilvl w:val="0"/>
          <w:numId w:val="1"/>
        </w:numPr>
        <w:spacing w:before="0" w:after="10" w:line="249" w:lineRule="auto"/>
        <w:ind w:left="283" w:hanging="272"/>
        <w:jc w:val="left"/>
        <w:rPr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>2008 - 2009, Senior Analyst, Fuel Group, Australian Competition and Consumer Commission, Australia</w:t>
      </w:r>
      <w:r w:rsidR="2C918140">
        <w:rPr/>
        <w:t xml:space="preserve"> </w:t>
      </w:r>
    </w:p>
    <w:p xmlns:wp14="http://schemas.microsoft.com/office/word/2010/wordml" w14:paraId="263F9614" wp14:textId="77777777" wp14:noSpellErr="1">
      <w:pPr>
        <w:pStyle w:val="normal"/>
        <w:spacing w:before="0" w:after="3" w:line="248" w:lineRule="auto"/>
        <w:ind w:left="267"/>
      </w:pPr>
      <w:r w:rsidR="2C918140">
        <w:rPr/>
        <w:t xml:space="preserve">Conducting policy-oriented econometric analysis on Australia’s transport energy industry and international energy markets.  </w:t>
      </w:r>
    </w:p>
    <w:p xmlns:wp14="http://schemas.microsoft.com/office/word/2010/wordml" w14:paraId="100C5B58" wp14:textId="77777777">
      <w:pPr>
        <w:spacing w:before="0" w:after="5" w:line="259" w:lineRule="auto"/>
        <w:ind w:left="272" w:firstLine="0"/>
        <w:jc w:val="left"/>
      </w:pPr>
      <w:r>
        <w:rPr/>
        <w:t xml:space="preserve"> </w:t>
      </w:r>
    </w:p>
    <w:p xmlns:wp14="http://schemas.microsoft.com/office/word/2010/wordml" w14:paraId="3F373271" wp14:textId="77777777">
      <w:pPr>
        <w:numPr>
          <w:ilvl w:val="0"/>
          <w:numId w:val="1"/>
        </w:numPr>
        <w:spacing w:before="0" w:after="10" w:line="249" w:lineRule="auto"/>
        <w:ind w:left="283" w:hanging="272"/>
        <w:jc w:val="left"/>
        <w:rPr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 xml:space="preserve">2008 - 2008, Tutor, Department of Economics, Monash University, Australia </w:t>
      </w:r>
      <w:r w:rsidR="2C918140">
        <w:rPr/>
        <w:t xml:space="preserve">Tutoring undergraduate students in </w:t>
      </w:r>
      <w:proofErr w:type="spellStart"/>
      <w:r w:rsidR="2C918140">
        <w:rPr/>
        <w:t>labour</w:t>
      </w:r>
      <w:proofErr w:type="spellEnd"/>
      <w:r w:rsidR="2C918140">
        <w:rPr/>
        <w:t xml:space="preserve"> economics. </w:t>
      </w:r>
    </w:p>
    <w:p xmlns:wp14="http://schemas.microsoft.com/office/word/2010/wordml" w14:paraId="12F40E89" wp14:textId="77777777">
      <w:pPr>
        <w:spacing w:before="0" w:after="5" w:line="259" w:lineRule="auto"/>
        <w:ind w:left="272" w:firstLine="0"/>
        <w:jc w:val="left"/>
      </w:pP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0C49BBFD" wp14:textId="77777777" wp14:noSpellErr="1">
      <w:pPr>
        <w:numPr>
          <w:ilvl w:val="0"/>
          <w:numId w:val="1"/>
        </w:numPr>
        <w:spacing w:before="0" w:after="10" w:line="249" w:lineRule="auto"/>
        <w:ind w:left="283" w:hanging="272"/>
        <w:jc w:val="left"/>
        <w:rPr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 xml:space="preserve">1999 – 2004, Assistant Research Fellow (incl. two year internship), Institute of </w:t>
      </w:r>
    </w:p>
    <w:p xmlns:wp14="http://schemas.microsoft.com/office/word/2010/wordml" w14:paraId="1B7A29AD" wp14:textId="77777777" wp14:noSpellErr="1">
      <w:pPr>
        <w:spacing w:before="0" w:after="10" w:line="249" w:lineRule="auto"/>
        <w:ind w:left="282"/>
        <w:jc w:val="left"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>Industrial Economics, Chinese Academy of Social Sciences, China</w:t>
      </w:r>
      <w:r w:rsidR="2C918140">
        <w:rPr/>
        <w:t xml:space="preserve"> </w:t>
      </w:r>
    </w:p>
    <w:p xmlns:wp14="http://schemas.microsoft.com/office/word/2010/wordml" w14:paraId="4309C534" wp14:textId="77777777" wp14:noSpellErr="1">
      <w:pPr>
        <w:pStyle w:val="normal"/>
        <w:spacing w:before="0" w:after="3" w:line="248" w:lineRule="auto"/>
        <w:ind w:left="267"/>
      </w:pPr>
      <w:r w:rsidR="2C918140">
        <w:rPr/>
        <w:t xml:space="preserve">Conducting economic research on China’s industrial development and international trade. </w:t>
      </w:r>
    </w:p>
    <w:p xmlns:wp14="http://schemas.microsoft.com/office/word/2010/wordml" w14:paraId="608DEACE" wp14:textId="77777777">
      <w:pPr>
        <w:spacing w:before="0" w:after="0" w:line="259" w:lineRule="auto"/>
        <w:ind w:left="91" w:firstLine="0"/>
        <w:jc w:val="left"/>
      </w:pPr>
      <w:r>
        <w:rPr/>
        <w:t xml:space="preserve"> </w:t>
      </w:r>
    </w:p>
    <w:p xmlns:wp14="http://schemas.microsoft.com/office/word/2010/wordml" w14:paraId="7E927AFB" wp14:textId="77777777" wp14:noSpellErr="1">
      <w:pPr>
        <w:spacing w:before="0" w:after="10" w:line="249" w:lineRule="auto"/>
        <w:ind w:left="101"/>
        <w:jc w:val="left"/>
      </w:pPr>
      <w:r w:rsidRPr="2C918140" w:rsidR="2C918140">
        <w:rPr>
          <w:rFonts w:ascii="Times New Roman" w:hAnsi="Times New Roman" w:eastAsia="Times New Roman" w:cs="Times New Roman"/>
          <w:b w:val="1"/>
          <w:bCs w:val="1"/>
        </w:rPr>
        <w:t xml:space="preserve">RESEARCH PUBLICATIONS </w:t>
      </w:r>
    </w:p>
    <w:p xmlns:wp14="http://schemas.microsoft.com/office/word/2010/wordml" w14:paraId="3129E422" wp14:textId="77777777" wp14:noSpellErr="1">
      <w:pPr>
        <w:spacing w:before="0" w:after="382" w:line="266" w:lineRule="auto"/>
        <w:ind w:left="86"/>
        <w:jc w:val="left"/>
      </w:pPr>
      <w:r w:rsidRPr="2C918140" w:rsidR="2C918140">
        <w:rPr>
          <w:rFonts w:ascii="Times New Roman" w:hAnsi="Times New Roman" w:eastAsia="Times New Roman" w:cs="Times New Roman"/>
          <w:sz w:val="12"/>
          <w:szCs w:val="1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2C918140" w:rsidR="2C918140">
        <w:rPr>
          <w:sz w:val="12"/>
          <w:szCs w:val="12"/>
        </w:rPr>
        <w:t xml:space="preserve"> </w:t>
      </w:r>
    </w:p>
    <w:p xmlns:wp14="http://schemas.microsoft.com/office/word/2010/wordml" w14:paraId="6A596D8C" wp14:textId="77777777" wp14:noSpellErr="1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Kuiper, Marijke and Hao David Cui. 2020. Using food loss reduction to reach food security and environmental objectives: A search for promising leverage points.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Food Policy.</w:t>
      </w:r>
      <w:r w:rsidR="2C918140">
        <w:rPr/>
        <w:t xml:space="preserve"> </w:t>
      </w:r>
      <w:r w:rsidRPr="2C918140" w:rsidR="2C918140">
        <w:rPr>
          <w:color w:val="0000FF"/>
          <w:u w:val="single"/>
        </w:rPr>
        <w:t>https://doi.org/10.1016/j.foodpol.2020.101915.</w:t>
      </w:r>
      <w:r w:rsidR="2C918140">
        <w:rPr/>
        <w:t xml:space="preserve"> </w:t>
      </w:r>
    </w:p>
    <w:p xmlns:wp14="http://schemas.microsoft.com/office/word/2010/wordml" w14:paraId="311BB268" wp14:textId="77777777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proofErr w:type="spellStart"/>
      <w:r w:rsidR="2C918140">
        <w:rPr/>
        <w:t>Latka</w:t>
      </w:r>
      <w:proofErr w:type="spellEnd"/>
      <w:r w:rsidR="2C918140">
        <w:rPr/>
        <w:t xml:space="preserve">, Catharina, Marijke Kuiper, Stefan Frank, Thomas </w:t>
      </w:r>
      <w:proofErr w:type="spellStart"/>
      <w:r w:rsidR="2C918140">
        <w:rPr/>
        <w:t>Heckelei</w:t>
      </w:r>
      <w:proofErr w:type="spellEnd"/>
      <w:r w:rsidR="2C918140">
        <w:rPr/>
        <w:t xml:space="preserve">, Petr </w:t>
      </w:r>
      <w:proofErr w:type="spellStart"/>
      <w:r w:rsidR="2C918140">
        <w:rPr/>
        <w:t>Havlìk</w:t>
      </w:r>
      <w:proofErr w:type="spellEnd"/>
      <w:r w:rsidR="2C918140">
        <w:rPr/>
        <w:t xml:space="preserve">, </w:t>
      </w:r>
      <w:proofErr w:type="spellStart"/>
      <w:r w:rsidR="2C918140">
        <w:rPr/>
        <w:t>HeinzPeter</w:t>
      </w:r>
      <w:proofErr w:type="spellEnd"/>
      <w:r w:rsidR="2C918140">
        <w:rPr/>
        <w:t xml:space="preserve"> </w:t>
      </w:r>
      <w:proofErr w:type="spellStart"/>
      <w:r w:rsidR="2C918140">
        <w:rPr/>
        <w:t>Witzke</w:t>
      </w:r>
      <w:proofErr w:type="spellEnd"/>
      <w:r w:rsidR="2C918140">
        <w:rPr/>
        <w:t xml:space="preserve">, Adrian </w:t>
      </w:r>
      <w:proofErr w:type="spellStart"/>
      <w:r w:rsidR="2C918140">
        <w:rPr/>
        <w:t>Leip</w:t>
      </w:r>
      <w:proofErr w:type="spellEnd"/>
      <w:r w:rsidR="2C918140">
        <w:rPr/>
        <w:t xml:space="preserve">, Hao David Cui,  </w:t>
      </w:r>
      <w:proofErr w:type="spellStart"/>
      <w:r w:rsidR="2C918140">
        <w:rPr/>
        <w:t>Anneleen</w:t>
      </w:r>
      <w:proofErr w:type="spellEnd"/>
      <w:r w:rsidR="2C918140">
        <w:rPr/>
        <w:t xml:space="preserve"> </w:t>
      </w:r>
      <w:proofErr w:type="spellStart"/>
      <w:r w:rsidR="2C918140">
        <w:rPr/>
        <w:t>Kuijsten</w:t>
      </w:r>
      <w:proofErr w:type="spellEnd"/>
      <w:r w:rsidR="2C918140">
        <w:rPr/>
        <w:t xml:space="preserve">, Elly Mertens, Pieter van  Veer, </w:t>
      </w:r>
      <w:proofErr w:type="spellStart"/>
      <w:r w:rsidR="2C918140">
        <w:rPr/>
        <w:t>Michiel</w:t>
      </w:r>
      <w:proofErr w:type="spellEnd"/>
      <w:r w:rsidR="2C918140">
        <w:rPr/>
        <w:t xml:space="preserve"> van Dijk. 2020. Paying the price for environmentally sustainable and healthy EU diets.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Global Food Security</w:t>
      </w:r>
      <w:r w:rsidR="2C918140">
        <w:rPr/>
        <w:t xml:space="preserve">. Forthcoming.  </w:t>
      </w:r>
    </w:p>
    <w:p xmlns:wp14="http://schemas.microsoft.com/office/word/2010/wordml" w14:paraId="49C249B9" wp14:textId="77777777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Hao David Cui, Caitlyn Carrico, and Andrzej </w:t>
      </w:r>
      <w:proofErr w:type="spellStart"/>
      <w:r w:rsidR="2C918140">
        <w:rPr/>
        <w:t>Tabeau</w:t>
      </w:r>
      <w:proofErr w:type="spellEnd"/>
      <w:r w:rsidR="2C918140">
        <w:rPr/>
        <w:t xml:space="preserve">, 2020. Capturing HS level trade flows in MAGNET. Technical research report submitted to the Joint Research Centre, European Commission. </w:t>
      </w:r>
    </w:p>
    <w:p xmlns:wp14="http://schemas.microsoft.com/office/word/2010/wordml" w14:paraId="7D9148D6" wp14:textId="77777777" wp14:noSpellErr="1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Hao David Cui. 2020. Synergies and trade-offs in SSP2 pathway to sustainable future: a regional analysis. Research report for KB project. Wageningen Economic Research. </w:t>
      </w:r>
    </w:p>
    <w:p xmlns:wp14="http://schemas.microsoft.com/office/word/2010/wordml" w14:paraId="09F208D1" wp14:textId="77777777" wp14:noSpellErr="1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Kuiper, Marijke and Hao David Cui. 2019. Reducing food loss and waste to reach food security and environmental objectives: Identifying leverage points through a CGE analysis. Background paper for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The State of Food and Agriculture (SOFA) 2019</w:t>
      </w:r>
      <w:r w:rsidR="2C918140">
        <w:rPr/>
        <w:t xml:space="preserve">. Food and Agriculture Organization of the United Nations, Rome. </w:t>
      </w:r>
    </w:p>
    <w:p xmlns:wp14="http://schemas.microsoft.com/office/word/2010/wordml" w14:paraId="04530C09" wp14:textId="77777777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Cui, Hao David, Marijke Kuiper, and Andrzej </w:t>
      </w:r>
      <w:proofErr w:type="spellStart"/>
      <w:r w:rsidR="2C918140">
        <w:rPr/>
        <w:t>Tabeau</w:t>
      </w:r>
      <w:proofErr w:type="spellEnd"/>
      <w:r w:rsidR="2C918140">
        <w:rPr/>
        <w:t xml:space="preserve">. 2019. MAGNET baseline calibration. Technical research report submitted to the Joint Research Centre, European Commission. </w:t>
      </w:r>
    </w:p>
    <w:p xmlns:wp14="http://schemas.microsoft.com/office/word/2010/wordml" w14:paraId="463DFDC9" wp14:textId="77777777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Cui, Hao David, TJ </w:t>
      </w:r>
      <w:proofErr w:type="spellStart"/>
      <w:r w:rsidR="2C918140">
        <w:rPr/>
        <w:t>Achterbosch</w:t>
      </w:r>
      <w:proofErr w:type="spellEnd"/>
      <w:r w:rsidR="2C918140">
        <w:rPr/>
        <w:t xml:space="preserve">, MH Kuiper, LJ </w:t>
      </w:r>
      <w:proofErr w:type="spellStart"/>
      <w:r w:rsidR="2C918140">
        <w:rPr/>
        <w:t>Shutes</w:t>
      </w:r>
      <w:proofErr w:type="spellEnd"/>
      <w:r w:rsidR="2C918140">
        <w:rPr/>
        <w:t xml:space="preserve">, AA </w:t>
      </w:r>
      <w:proofErr w:type="spellStart"/>
      <w:r w:rsidR="2C918140">
        <w:rPr/>
        <w:t>Tabeau</w:t>
      </w:r>
      <w:proofErr w:type="spellEnd"/>
      <w:r w:rsidR="2C918140">
        <w:rPr/>
        <w:t xml:space="preserve">, Catharina </w:t>
      </w:r>
      <w:proofErr w:type="spellStart"/>
      <w:r w:rsidR="2C918140">
        <w:rPr/>
        <w:t>Latka</w:t>
      </w:r>
      <w:proofErr w:type="spellEnd"/>
      <w:r w:rsidR="2C918140">
        <w:rPr/>
        <w:t xml:space="preserve">, Petr </w:t>
      </w:r>
      <w:proofErr w:type="spellStart"/>
      <w:r w:rsidR="2C918140">
        <w:rPr/>
        <w:t>Havlík</w:t>
      </w:r>
      <w:proofErr w:type="spellEnd"/>
      <w:r w:rsidR="2C918140">
        <w:rPr/>
        <w:t xml:space="preserve">, Stefan Frank, &amp; Adrian </w:t>
      </w:r>
      <w:proofErr w:type="spellStart"/>
      <w:r w:rsidR="2C918140">
        <w:rPr/>
        <w:t>Leip</w:t>
      </w:r>
      <w:proofErr w:type="spellEnd"/>
      <w:r w:rsidR="2C918140">
        <w:rPr/>
        <w:t xml:space="preserve">. 2019. Resumé on performance of EU food systems towards European FNS and SDGs. Research report for Fit4Food 2030, a European Union’s Horizon 2020 research and innovation </w:t>
      </w:r>
      <w:proofErr w:type="spellStart"/>
      <w:r w:rsidR="2C918140">
        <w:rPr/>
        <w:t>programme</w:t>
      </w:r>
      <w:proofErr w:type="spellEnd"/>
      <w:r w:rsidR="2C918140">
        <w:rPr/>
        <w:t xml:space="preserve"> under grant agreement No. 774088. </w:t>
      </w:r>
    </w:p>
    <w:p xmlns:wp14="http://schemas.microsoft.com/office/word/2010/wordml" w14:paraId="17DD4130" wp14:textId="77777777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Frank, Stefan, Catharina </w:t>
      </w:r>
      <w:proofErr w:type="spellStart"/>
      <w:r w:rsidR="2C918140">
        <w:rPr/>
        <w:t>Latka</w:t>
      </w:r>
      <w:proofErr w:type="spellEnd"/>
      <w:r w:rsidR="2C918140">
        <w:rPr/>
        <w:t xml:space="preserve">, P </w:t>
      </w:r>
      <w:proofErr w:type="spellStart"/>
      <w:r w:rsidR="2C918140">
        <w:rPr/>
        <w:t>Havlik</w:t>
      </w:r>
      <w:proofErr w:type="spellEnd"/>
      <w:r w:rsidR="2C918140">
        <w:rPr/>
        <w:t xml:space="preserve">, MH Kuiper, M van Dijk, TJ </w:t>
      </w:r>
      <w:proofErr w:type="spellStart"/>
      <w:r w:rsidR="2C918140">
        <w:rPr/>
        <w:t>Achterbosch</w:t>
      </w:r>
      <w:proofErr w:type="spellEnd"/>
      <w:r w:rsidR="2C918140">
        <w:rPr/>
        <w:t xml:space="preserve">, Hao David Cui, JM </w:t>
      </w:r>
      <w:proofErr w:type="spellStart"/>
      <w:r w:rsidR="2C918140">
        <w:rPr/>
        <w:t>Geleijnse</w:t>
      </w:r>
      <w:proofErr w:type="spellEnd"/>
      <w:r w:rsidR="2C918140">
        <w:rPr/>
        <w:t xml:space="preserve">, </w:t>
      </w:r>
      <w:proofErr w:type="spellStart"/>
      <w:r w:rsidR="2C918140">
        <w:rPr/>
        <w:t>Aniek</w:t>
      </w:r>
      <w:proofErr w:type="spellEnd"/>
      <w:r w:rsidR="2C918140">
        <w:rPr/>
        <w:t xml:space="preserve"> </w:t>
      </w:r>
      <w:proofErr w:type="spellStart"/>
      <w:r w:rsidR="2C918140">
        <w:rPr/>
        <w:t>Hebinck</w:t>
      </w:r>
      <w:proofErr w:type="spellEnd"/>
      <w:r w:rsidR="2C918140">
        <w:rPr/>
        <w:t xml:space="preserve">, &amp; Thomas </w:t>
      </w:r>
      <w:proofErr w:type="spellStart"/>
      <w:r w:rsidR="2C918140">
        <w:rPr/>
        <w:t>Heckelei</w:t>
      </w:r>
      <w:proofErr w:type="spellEnd"/>
      <w:r w:rsidR="2C918140">
        <w:rPr/>
        <w:t xml:space="preserve">. 2019. Foresight of EU sustainable food and nutrition security: the interplay between major challenges and policy responses at different spatiotemporal scales. Research report for SUSFANS D10.4. </w:t>
      </w:r>
    </w:p>
    <w:p xmlns:wp14="http://schemas.microsoft.com/office/word/2010/wordml" w14:paraId="0A59DF60" wp14:textId="77777777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Cui, Hao David, Marijke Kuiper, Hans van </w:t>
      </w:r>
      <w:proofErr w:type="spellStart"/>
      <w:r w:rsidR="2C918140">
        <w:rPr/>
        <w:t>Meijl</w:t>
      </w:r>
      <w:proofErr w:type="spellEnd"/>
      <w:r w:rsidR="2C918140">
        <w:rPr/>
        <w:t xml:space="preserve">, and Andrzej </w:t>
      </w:r>
      <w:proofErr w:type="spellStart"/>
      <w:r w:rsidR="2C918140">
        <w:rPr/>
        <w:t>Tabeau</w:t>
      </w:r>
      <w:proofErr w:type="spellEnd"/>
      <w:r w:rsidR="2C918140">
        <w:rPr/>
        <w:t xml:space="preserve">. 2018. Climate change and global market integration: Implications for global economic activities, agricultural commodities, and food security. Background paper for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The State of Agricultural Commodity Markets (SOCO) 2018</w:t>
      </w:r>
      <w:r w:rsidR="2C918140">
        <w:rPr/>
        <w:t xml:space="preserve">. Food and Agriculture Organization of the United Nations, Rome. </w:t>
      </w:r>
      <w:r w:rsidRPr="2C918140" w:rsidR="2C918140">
        <w:rPr>
          <w:color w:val="0000FF"/>
          <w:u w:val="single"/>
        </w:rPr>
        <w:t>http://www.fao.org/3/CA2332EN/ca2332en.pdf</w:t>
      </w:r>
      <w:r w:rsidR="2C918140">
        <w:rPr/>
        <w:t xml:space="preserve">. </w:t>
      </w:r>
    </w:p>
    <w:p xmlns:wp14="http://schemas.microsoft.com/office/word/2010/wordml" w14:paraId="0766EF25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proofErr w:type="spellStart"/>
      <w:r w:rsidR="2C918140">
        <w:rPr/>
        <w:t>Latka</w:t>
      </w:r>
      <w:proofErr w:type="spellEnd"/>
      <w:r w:rsidR="2C918140">
        <w:rPr/>
        <w:t xml:space="preserve">, Catharina, Thomas </w:t>
      </w:r>
      <w:proofErr w:type="spellStart"/>
      <w:r w:rsidR="2C918140">
        <w:rPr/>
        <w:t>Heckelei</w:t>
      </w:r>
      <w:proofErr w:type="spellEnd"/>
      <w:r w:rsidR="2C918140">
        <w:rPr/>
        <w:t xml:space="preserve">, Miroslav </w:t>
      </w:r>
      <w:proofErr w:type="spellStart"/>
      <w:r w:rsidR="2C918140">
        <w:rPr/>
        <w:t>Batka</w:t>
      </w:r>
      <w:proofErr w:type="spellEnd"/>
      <w:r w:rsidR="2C918140">
        <w:rPr/>
        <w:t xml:space="preserve">, Esther </w:t>
      </w:r>
      <w:proofErr w:type="spellStart"/>
      <w:r w:rsidR="2C918140">
        <w:rPr/>
        <w:t>Boere</w:t>
      </w:r>
      <w:proofErr w:type="spellEnd"/>
      <w:r w:rsidR="2C918140">
        <w:rPr/>
        <w:t xml:space="preserve">, </w:t>
      </w:r>
      <w:proofErr w:type="spellStart"/>
      <w:r w:rsidR="2C918140">
        <w:rPr/>
        <w:t>Chiao-Ya</w:t>
      </w:r>
      <w:proofErr w:type="spellEnd"/>
      <w:r w:rsidR="2C918140">
        <w:rPr/>
        <w:t xml:space="preserve"> Chang, Hao David Cui, Marianne </w:t>
      </w:r>
      <w:proofErr w:type="spellStart"/>
      <w:r w:rsidR="2C918140">
        <w:rPr/>
        <w:t>Geleijnse</w:t>
      </w:r>
      <w:proofErr w:type="spellEnd"/>
      <w:r w:rsidR="2C918140">
        <w:rPr/>
        <w:t xml:space="preserve">, Petr </w:t>
      </w:r>
      <w:proofErr w:type="spellStart"/>
      <w:r w:rsidR="2C918140">
        <w:rPr/>
        <w:t>Havlík</w:t>
      </w:r>
      <w:proofErr w:type="spellEnd"/>
      <w:r w:rsidR="2C918140">
        <w:rPr/>
        <w:t xml:space="preserve">, </w:t>
      </w:r>
      <w:proofErr w:type="spellStart"/>
      <w:r w:rsidR="2C918140">
        <w:rPr/>
        <w:t>Anneleen</w:t>
      </w:r>
      <w:proofErr w:type="spellEnd"/>
      <w:r w:rsidR="2C918140">
        <w:rPr/>
        <w:t xml:space="preserve"> </w:t>
      </w:r>
      <w:proofErr w:type="spellStart"/>
      <w:r w:rsidR="2C918140">
        <w:rPr/>
        <w:t>Kuijsten</w:t>
      </w:r>
      <w:proofErr w:type="spellEnd"/>
      <w:r w:rsidR="2C918140">
        <w:rPr/>
        <w:t xml:space="preserve">, &amp; Marijke Kuiper. 2018. The potential role of producer and consumer food policies in the EU to sustainable food and nutrition security. Research report for SUSFANS D10.3. </w:t>
      </w:r>
    </w:p>
    <w:p xmlns:wp14="http://schemas.microsoft.com/office/word/2010/wordml" w14:paraId="4CFC6342" wp14:textId="77777777">
      <w:pPr>
        <w:pStyle w:val="normal"/>
        <w:numPr>
          <w:ilvl w:val="0"/>
          <w:numId w:val="2"/>
        </w:numPr>
        <w:spacing w:before="0" w:after="238" w:line="248" w:lineRule="auto"/>
        <w:ind w:left="267"/>
        <w:rPr/>
      </w:pPr>
      <w:r w:rsidR="2C918140">
        <w:rPr/>
        <w:t xml:space="preserve">Frank, Stefan, M van Dijk, P </w:t>
      </w:r>
      <w:proofErr w:type="spellStart"/>
      <w:r w:rsidR="2C918140">
        <w:rPr/>
        <w:t>Havlik</w:t>
      </w:r>
      <w:proofErr w:type="spellEnd"/>
      <w:r w:rsidR="2C918140">
        <w:rPr/>
        <w:t xml:space="preserve">, Hao David Cui, Thomas </w:t>
      </w:r>
      <w:proofErr w:type="spellStart"/>
      <w:r w:rsidR="2C918140">
        <w:rPr/>
        <w:t>Heckelei</w:t>
      </w:r>
      <w:proofErr w:type="spellEnd"/>
      <w:r w:rsidR="2C918140">
        <w:rPr/>
        <w:t xml:space="preserve">, MH Kuiper, Catharina </w:t>
      </w:r>
      <w:proofErr w:type="spellStart"/>
      <w:r w:rsidR="2C918140">
        <w:rPr/>
        <w:t>Latka</w:t>
      </w:r>
      <w:proofErr w:type="spellEnd"/>
      <w:r w:rsidR="2C918140">
        <w:rPr/>
        <w:t xml:space="preserve">, Heinz-Peter </w:t>
      </w:r>
      <w:proofErr w:type="spellStart"/>
      <w:r w:rsidR="2C918140">
        <w:rPr/>
        <w:t>Witzke</w:t>
      </w:r>
      <w:proofErr w:type="spellEnd"/>
      <w:r w:rsidR="2C918140">
        <w:rPr/>
        <w:t xml:space="preserve">, &amp; TJ </w:t>
      </w:r>
      <w:proofErr w:type="spellStart"/>
      <w:r w:rsidR="2C918140">
        <w:rPr/>
        <w:t>Achterbosch</w:t>
      </w:r>
      <w:proofErr w:type="spellEnd"/>
      <w:r w:rsidR="2C918140">
        <w:rPr/>
        <w:t xml:space="preserve">. 2018. Quantified future challenges to sustainable food and nutrition security in the EU: Research report for SUSFANS D10.2. </w:t>
      </w:r>
    </w:p>
    <w:p xmlns:wp14="http://schemas.microsoft.com/office/word/2010/wordml" w14:paraId="42284A1E" wp14:textId="77777777" wp14:noSpellErr="1">
      <w:pPr>
        <w:numPr>
          <w:ilvl w:val="0"/>
          <w:numId w:val="2"/>
        </w:numPr>
        <w:spacing w:before="0" w:after="248" w:line="238" w:lineRule="auto"/>
        <w:ind w:left="267"/>
        <w:rPr/>
      </w:pPr>
      <w:r w:rsidR="2C918140">
        <w:rPr/>
        <w:t xml:space="preserve">Cui, Hao and Wallace E. Tyner. 2017. Modelling Land Intensification Response in GTAP: Implications for Biofuels Induced Land Use Change and GHG Emissions. GTAP 2017 Annual Conference Paper. </w:t>
      </w:r>
      <w:r w:rsidRPr="2C918140" w:rsidR="2C918140">
        <w:rPr>
          <w:color w:val="0000FF"/>
          <w:u w:val="single"/>
        </w:rPr>
        <w:t>https://www.gtap.agecon.purdue.edu/resources/res_display.asp?RecordID=5287</w:t>
      </w:r>
      <w:r w:rsidR="2C918140">
        <w:rPr/>
        <w:t xml:space="preserve"> </w:t>
      </w:r>
    </w:p>
    <w:p xmlns:wp14="http://schemas.microsoft.com/office/word/2010/wordml" w14:paraId="18E282FD" wp14:textId="77777777">
      <w:pPr>
        <w:numPr>
          <w:ilvl w:val="0"/>
          <w:numId w:val="2"/>
        </w:numPr>
        <w:spacing w:before="0" w:after="0" w:line="238" w:lineRule="auto"/>
        <w:ind w:left="267"/>
        <w:rPr/>
      </w:pPr>
      <w:r w:rsidR="2C918140">
        <w:rPr/>
        <w:t xml:space="preserve">Farzad </w:t>
      </w:r>
      <w:proofErr w:type="spellStart"/>
      <w:r w:rsidR="2C918140">
        <w:rPr/>
        <w:t>Taheripour</w:t>
      </w:r>
      <w:proofErr w:type="spellEnd"/>
      <w:r w:rsidR="2C918140">
        <w:rPr/>
        <w:t xml:space="preserve">, Hao Cui, and Wallace E. Tyner, 2017. The Economics of Biofuels. in Gail Cramer, Ashok Mishra, Krishna </w:t>
      </w:r>
      <w:proofErr w:type="spellStart"/>
      <w:r w:rsidR="2C918140">
        <w:rPr/>
        <w:t>Paudel</w:t>
      </w:r>
      <w:proofErr w:type="spellEnd"/>
      <w:r w:rsidR="2C918140">
        <w:rPr/>
        <w:t xml:space="preserve">, and Andrew Schmitz (eds.),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The Routledge Handbook of Agricultural Economics</w:t>
      </w:r>
      <w:r w:rsidR="2C918140">
        <w:rPr/>
        <w:t xml:space="preserve">. </w:t>
      </w:r>
    </w:p>
    <w:p xmlns:wp14="http://schemas.microsoft.com/office/word/2010/wordml" w14:paraId="7E683C3D" wp14:textId="77777777">
      <w:pPr>
        <w:spacing w:before="0" w:after="0" w:line="249" w:lineRule="auto"/>
        <w:ind w:left="266"/>
        <w:jc w:val="left"/>
      </w:pPr>
      <w:r>
        <w:rPr>
          <w:color w:val="0000ff"/>
          <w:u w:val="single" w:color="0000ff"/>
        </w:rPr>
        <w:t xml:space="preserve">https://www.taylorfrancis.com/books/e/9781315623351/chapters/10.4324/9781315623351</w:t>
      </w:r>
      <w:r>
        <w:rPr>
          <w:color w:val="0000ff"/>
          <w:u w:val="single" w:color="0000ff"/>
        </w:rPr>
        <w:t xml:space="preserve">34</w:t>
      </w:r>
      <w:r>
        <w:rPr/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3D4C0521" wp14:textId="77777777">
      <w:pPr>
        <w:numPr>
          <w:ilvl w:val="0"/>
          <w:numId w:val="2"/>
        </w:numPr>
        <w:spacing w:before="0" w:after="0" w:line="238" w:lineRule="auto"/>
        <w:ind w:left="267"/>
        <w:rPr/>
      </w:pPr>
      <w:proofErr w:type="spellStart"/>
      <w:r w:rsidR="2C918140">
        <w:rPr/>
        <w:t>Taheripour</w:t>
      </w:r>
      <w:proofErr w:type="spellEnd"/>
      <w:r w:rsidR="2C918140">
        <w:rPr/>
        <w:t xml:space="preserve">, Farzad, Hao Cui, &amp; Wallace E Tyner. 2017. An Exploration of agricultural land use change at the intensive and extensive margins: implications for biofuels induced land use change.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Bioenergy and Land Use Change</w:t>
      </w:r>
      <w:r w:rsidR="2C918140">
        <w:rPr/>
        <w:t xml:space="preserve">, 19-37. </w:t>
      </w:r>
    </w:p>
    <w:p xmlns:wp14="http://schemas.microsoft.com/office/word/2010/wordml" w14:paraId="2F0611D0" wp14:textId="77777777">
      <w:pPr>
        <w:spacing w:before="0" w:after="0" w:line="249" w:lineRule="auto"/>
        <w:ind w:left="266"/>
        <w:jc w:val="left"/>
      </w:pPr>
      <w:r>
        <w:rPr>
          <w:color w:val="0000ff"/>
          <w:u w:val="single" w:color="0000ff"/>
        </w:rPr>
        <w:t xml:space="preserve">https://agupubs.onlinelibrary.wiley.com/doi/10.1002/9781119297376.ch2</w:t>
      </w:r>
      <w:r>
        <w:rPr/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5284E648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 and Ahmed </w:t>
      </w:r>
      <w:proofErr w:type="spellStart"/>
      <w:r w:rsidR="2C918140">
        <w:rPr/>
        <w:t>Hafi</w:t>
      </w:r>
      <w:proofErr w:type="spellEnd"/>
      <w:r w:rsidR="2C918140">
        <w:rPr/>
        <w:t xml:space="preserve">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Economic Impacts of a Hypothetical BSE outbreak in Australia</w:t>
      </w:r>
      <w:r w:rsidR="2C918140">
        <w:rPr/>
        <w:t xml:space="preserve">, Research Report, Australian Bureau of Agricultural and Resource Economics and Sciences, July 2015, pp.1-23. </w:t>
      </w:r>
    </w:p>
    <w:p xmlns:wp14="http://schemas.microsoft.com/office/word/2010/wordml" w14:paraId="20876B09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31E7244C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Ash, Andrew, Trish Gleeson, Hao Cui, Murray Hall, Edwina </w:t>
      </w:r>
      <w:proofErr w:type="spellStart"/>
      <w:r w:rsidR="2C918140">
        <w:rPr/>
        <w:t>Heyhoe</w:t>
      </w:r>
      <w:proofErr w:type="spellEnd"/>
      <w:r w:rsidR="2C918140">
        <w:rPr/>
        <w:t xml:space="preserve">, Andrew Higgins, Garry Hopwood, Neil MacLeod, Dean </w:t>
      </w:r>
      <w:proofErr w:type="spellStart"/>
      <w:r w:rsidR="2C918140">
        <w:rPr/>
        <w:t>Paini</w:t>
      </w:r>
      <w:proofErr w:type="spellEnd"/>
      <w:r w:rsidR="2C918140">
        <w:rPr/>
        <w:t xml:space="preserve">, </w:t>
      </w:r>
      <w:proofErr w:type="spellStart"/>
      <w:r w:rsidR="2C918140">
        <w:rPr/>
        <w:t>Hom</w:t>
      </w:r>
      <w:proofErr w:type="spellEnd"/>
      <w:r w:rsidR="2C918140">
        <w:rPr/>
        <w:t xml:space="preserve"> Pant, Perry Poulton, Di </w:t>
      </w:r>
      <w:proofErr w:type="spellStart"/>
      <w:r w:rsidR="2C918140">
        <w:rPr/>
        <w:t>Prestwidge</w:t>
      </w:r>
      <w:proofErr w:type="spellEnd"/>
      <w:r w:rsidR="2C918140">
        <w:rPr/>
        <w:t xml:space="preserve">, Tony Webster, Peter Wilson,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 xml:space="preserve">Northern Australia: Food &amp; </w:t>
      </w:r>
      <w:proofErr w:type="spellStart"/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Fibre</w:t>
      </w:r>
      <w:proofErr w:type="spellEnd"/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 xml:space="preserve"> Supply Chains Study Project Report</w:t>
      </w:r>
      <w:r w:rsidR="2C918140">
        <w:rPr/>
        <w:t xml:space="preserve">, CSIRO and ABARES, Australian Government, August 2014, pp.1-290.  </w:t>
      </w:r>
    </w:p>
    <w:p xmlns:wp14="http://schemas.microsoft.com/office/word/2010/wordml" w14:paraId="10146664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0EE588A6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</w:t>
      </w:r>
      <w:proofErr w:type="spellStart"/>
      <w:r w:rsidR="2C918140">
        <w:rPr/>
        <w:t>Hom</w:t>
      </w:r>
      <w:proofErr w:type="spellEnd"/>
      <w:r w:rsidR="2C918140">
        <w:rPr/>
        <w:t xml:space="preserve"> Pant, </w:t>
      </w:r>
      <w:proofErr w:type="spellStart"/>
      <w:r w:rsidR="2C918140">
        <w:rPr/>
        <w:t>Kyann</w:t>
      </w:r>
      <w:proofErr w:type="spellEnd"/>
      <w:r w:rsidR="2C918140">
        <w:rPr/>
        <w:t xml:space="preserve"> Zhang, Edwina </w:t>
      </w:r>
      <w:proofErr w:type="spellStart"/>
      <w:r w:rsidR="2C918140">
        <w:rPr/>
        <w:t>Heyhoe</w:t>
      </w:r>
      <w:proofErr w:type="spellEnd"/>
      <w:r w:rsidR="2C918140">
        <w:rPr/>
        <w:t xml:space="preserve">, and </w:t>
      </w:r>
      <w:proofErr w:type="spellStart"/>
      <w:r w:rsidR="2C918140">
        <w:rPr/>
        <w:t>Helal</w:t>
      </w:r>
      <w:proofErr w:type="spellEnd"/>
      <w:r w:rsidR="2C918140">
        <w:rPr/>
        <w:t xml:space="preserve"> </w:t>
      </w:r>
      <w:proofErr w:type="spellStart"/>
      <w:r w:rsidR="2C918140">
        <w:rPr/>
        <w:t>Ahammad</w:t>
      </w:r>
      <w:proofErr w:type="spellEnd"/>
      <w:r w:rsidR="2C918140">
        <w:rPr/>
        <w:t xml:space="preserve">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 xml:space="preserve">Climate Change, Trade </w:t>
      </w:r>
      <w:proofErr w:type="spellStart"/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Liberalisation</w:t>
      </w:r>
      <w:proofErr w:type="spellEnd"/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, and Implications for Australian Agricultural Trade</w:t>
      </w:r>
      <w:r w:rsidR="2C918140">
        <w:rPr/>
        <w:t xml:space="preserve">, Report to Trade and Market Access Division, Australian Department of Agriculture, Australian Bureau of Agricultural and Resource Economics and Sciences, 2014, pp.1-77. Presented at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National CGE Modelling Workshop 2013</w:t>
      </w:r>
      <w:r w:rsidR="2C918140">
        <w:rPr/>
        <w:t xml:space="preserve">, Centre of Policy Studies, Monash University, Australia, and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Singapore – China Energy Forum 2016</w:t>
      </w:r>
      <w:r w:rsidR="2C918140">
        <w:rPr/>
        <w:t xml:space="preserve">, Energy Studies Institute, National University of Singapore, Nov. 2016. </w:t>
      </w:r>
    </w:p>
    <w:p xmlns:wp14="http://schemas.microsoft.com/office/word/2010/wordml" w14:paraId="5B68B9CD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30CBAD29" wp14:textId="77777777" wp14:noSpellErr="1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Compiling Electricity Generation Data Base in Global Trade and Environment Model (GTEM)</w:t>
      </w:r>
      <w:r w:rsidR="2C918140">
        <w:rPr/>
        <w:t xml:space="preserve">, Technical documentation prepared for Australian Government Productivity Commission, Australian Bureau of Agricultural and Resource Economics and Sciences, July 2013, pp.1-7. </w:t>
      </w:r>
    </w:p>
    <w:p xmlns:wp14="http://schemas.microsoft.com/office/word/2010/wordml" w14:paraId="1B7172F4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01583345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Pant, </w:t>
      </w:r>
      <w:proofErr w:type="spellStart"/>
      <w:r w:rsidR="2C918140">
        <w:rPr/>
        <w:t>Hom</w:t>
      </w:r>
      <w:proofErr w:type="spellEnd"/>
      <w:r w:rsidR="2C918140">
        <w:rPr/>
        <w:t xml:space="preserve">, Edwina </w:t>
      </w:r>
      <w:proofErr w:type="spellStart"/>
      <w:r w:rsidR="2C918140">
        <w:rPr/>
        <w:t>Heyhoe</w:t>
      </w:r>
      <w:proofErr w:type="spellEnd"/>
      <w:r w:rsidR="2C918140">
        <w:rPr/>
        <w:t xml:space="preserve">, and Hao David Cui,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The Implications of a Bunker Fuel Charge on Australia’s Trade Competitiveness</w:t>
      </w:r>
      <w:r w:rsidR="2C918140">
        <w:rPr/>
        <w:t xml:space="preserve">, Report to Australian Department of Climate Change and Energy Efficiency, Australian Bureau of Agricultural and Resource Economics and Sciences, 2012, pp.1-44. </w:t>
      </w:r>
    </w:p>
    <w:p xmlns:wp14="http://schemas.microsoft.com/office/word/2010/wordml" w14:paraId="325CE300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6E289702" wp14:textId="77777777" wp14:noSpellErr="1">
      <w:pPr>
        <w:numPr>
          <w:ilvl w:val="0"/>
          <w:numId w:val="2"/>
        </w:numPr>
        <w:spacing w:before="0" w:after="0" w:line="238" w:lineRule="auto"/>
        <w:ind w:left="267"/>
        <w:rPr/>
      </w:pPr>
      <w:r w:rsidR="2C918140">
        <w:rPr/>
        <w:t xml:space="preserve">Cui, Hao. 2010.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Increasing Returns, Transaction Efficiency, and Welfare Analysis</w:t>
      </w:r>
      <w:r w:rsidR="2C918140">
        <w:rPr/>
        <w:t xml:space="preserve">, PhD Thesis, Monash University. </w:t>
      </w:r>
    </w:p>
    <w:p xmlns:wp14="http://schemas.microsoft.com/office/word/2010/wordml" w14:paraId="25DD3341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0E7C50E7" wp14:textId="77777777" wp14:noSpellErr="1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Asymmetric Response of Retail Automotive LPG Prices in Australia to Changes in Saudi Benchmark Price</w:t>
      </w:r>
      <w:r w:rsidR="2C918140">
        <w:rPr/>
        <w:t xml:space="preserve">, research report, presented at Financial Modelling and Economics Group seminar, Australian Competition and Consumer Commission, May 2009, pp.1-19. </w:t>
      </w:r>
    </w:p>
    <w:p xmlns:wp14="http://schemas.microsoft.com/office/word/2010/wordml" w14:paraId="23DD831B" wp14:textId="77777777">
      <w:pPr>
        <w:spacing w:before="0" w:after="0" w:line="259" w:lineRule="auto"/>
        <w:ind w:left="233" w:firstLine="0"/>
        <w:jc w:val="left"/>
      </w:pPr>
      <w:r>
        <w:rPr/>
        <w:t xml:space="preserve"> </w:t>
      </w:r>
    </w:p>
    <w:p xmlns:wp14="http://schemas.microsoft.com/office/word/2010/wordml" w14:paraId="455C943E" wp14:textId="77777777" wp14:noSpellErr="1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Competition in Price Cycles: Leading Retailers and Retailer Groups in Australian Petrol Markets</w:t>
      </w:r>
      <w:r w:rsidR="2C918140">
        <w:rPr/>
        <w:t>, research report, presented at Regulation, Access &amp; Price Monitoring seminar, Australian Competition and Consumer Commission, Nov. 2008, pp.1-</w:t>
      </w:r>
    </w:p>
    <w:p xmlns:wp14="http://schemas.microsoft.com/office/word/2010/wordml" w14:paraId="6D7F3110" wp14:textId="77777777">
      <w:pPr>
        <w:pStyle w:val="normal"/>
        <w:spacing w:before="0" w:after="3" w:line="248" w:lineRule="auto"/>
        <w:ind w:left="267"/>
      </w:pPr>
      <w:r w:rsidR="2C918140">
        <w:rPr/>
        <w:t xml:space="preserve">6. </w:t>
      </w:r>
    </w:p>
    <w:p xmlns:wp14="http://schemas.microsoft.com/office/word/2010/wordml" w14:paraId="28CE8CB7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1B67E964" wp14:textId="77777777" wp14:noSpellErr="1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“Increasing Returns and Industrial Policies across Regions”,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Proceedings of the Twelfth Annual Doctoral Research Conference</w:t>
      </w:r>
      <w:r w:rsidR="2C918140">
        <w:rPr/>
        <w:t xml:space="preserve">, Oct. 2007, Faculty of Business and Economics, Monash University, pp. 61-72. </w:t>
      </w:r>
    </w:p>
    <w:p xmlns:wp14="http://schemas.microsoft.com/office/word/2010/wordml" w14:paraId="1895D3B7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444A1229" wp14:textId="77777777" wp14:noSpellErr="1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“Recent Developments in the Comparative Advantage Theory,”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Economic Perspectives</w:t>
      </w:r>
      <w:r w:rsidR="2C918140">
        <w:rPr/>
        <w:t xml:space="preserve">, Dec. 2003, pp. 64-68. (In Chinese) </w:t>
      </w:r>
    </w:p>
    <w:p xmlns:wp14="http://schemas.microsoft.com/office/word/2010/wordml" w14:paraId="7FDE0BDC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1DE6A047" wp14:textId="77777777" wp14:noSpellErr="1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“Market Opening up, Comparative Advantage Evolution, and Changes in China’s Industrial Technology,” Research report, presented at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Inframarginal Economics: International Trade and Economic Development International Academic Conference</w:t>
      </w:r>
      <w:r w:rsidR="2C918140">
        <w:rPr/>
        <w:t xml:space="preserve">, </w:t>
      </w:r>
      <w:r w:rsidR="2C918140">
        <w:rPr/>
        <w:t xml:space="preserve">Xiangtan, China, Oct. 2003. (In Chinese) </w:t>
      </w:r>
    </w:p>
    <w:p xmlns:wp14="http://schemas.microsoft.com/office/word/2010/wordml" w14:paraId="6C1031F9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2DD0B8EA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“China’s Textile and Clothing Industry: Advantages in Division of </w:t>
      </w:r>
      <w:proofErr w:type="spellStart"/>
      <w:r w:rsidR="2C918140">
        <w:rPr/>
        <w:t>Labour</w:t>
      </w:r>
      <w:proofErr w:type="spellEnd"/>
      <w:r w:rsidR="2C918140">
        <w:rPr/>
        <w:t xml:space="preserve"> and the Evolution,”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China Economic &amp; Trade Herald</w:t>
      </w:r>
      <w:r w:rsidR="2C918140">
        <w:rPr/>
        <w:t xml:space="preserve">, Sep. 2003, pp.15-16. (In Chinese) </w:t>
      </w:r>
    </w:p>
    <w:p xmlns:wp14="http://schemas.microsoft.com/office/word/2010/wordml" w14:paraId="4CE745D7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347CA9D7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“The Comparative Advantage of China’s Textile and Clothing Industry in Global Division of </w:t>
      </w:r>
      <w:proofErr w:type="spellStart"/>
      <w:r w:rsidR="2C918140">
        <w:rPr/>
        <w:t>Labour</w:t>
      </w:r>
      <w:proofErr w:type="spellEnd"/>
      <w:r w:rsidR="2C918140">
        <w:rPr/>
        <w:t xml:space="preserve"> and Its Dynamics,” in Zheng </w:t>
      </w:r>
      <w:proofErr w:type="spellStart"/>
      <w:r w:rsidR="2C918140">
        <w:rPr/>
        <w:t>Lv</w:t>
      </w:r>
      <w:proofErr w:type="spellEnd"/>
      <w:r w:rsidR="2C918140">
        <w:rPr/>
        <w:t xml:space="preserve"> ed.,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China’s Industrial Development Report 2003</w:t>
      </w:r>
      <w:r w:rsidR="2C918140">
        <w:rPr/>
        <w:t xml:space="preserve">, Economic Management Publishing House, pp.153-165. (In Chinese) </w:t>
      </w:r>
    </w:p>
    <w:p xmlns:wp14="http://schemas.microsoft.com/office/word/2010/wordml" w14:paraId="7D149327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35E9844C" wp14:textId="77777777" wp14:noSpellErr="1">
      <w:pPr>
        <w:pStyle w:val="normal"/>
        <w:numPr>
          <w:ilvl w:val="0"/>
          <w:numId w:val="2"/>
        </w:numPr>
        <w:spacing w:before="0" w:after="3" w:line="248" w:lineRule="auto"/>
        <w:ind w:left="267"/>
        <w:rPr/>
      </w:pPr>
      <w:r w:rsidR="2C918140">
        <w:rPr/>
        <w:t xml:space="preserve">Cui, Hao, “The Impacts of Accession to the WTO on China’s Textile and Clothing Industries and Policy Implications,” in Kesha Guo ed., </w:t>
      </w:r>
      <w:r w:rsidRPr="2C918140" w:rsidR="2C918140">
        <w:rPr>
          <w:rFonts w:ascii="Times New Roman" w:hAnsi="Times New Roman" w:eastAsia="Times New Roman" w:cs="Times New Roman"/>
          <w:i w:val="1"/>
          <w:iCs w:val="1"/>
        </w:rPr>
        <w:t>China’s Industry since Accession to the WTO</w:t>
      </w:r>
      <w:r w:rsidR="2C918140">
        <w:rPr/>
        <w:t xml:space="preserve">, Economic Management Publishing House, January 2003, pp.265-308. (In Chinese) </w:t>
      </w:r>
    </w:p>
    <w:p xmlns:wp14="http://schemas.microsoft.com/office/word/2010/wordml" w14:paraId="253B9705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21D33727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“The Impacts of Accession to the WTO on Foreign Trade of China’s Manufacturing Industries,” in Kesha Guo ed., </w:t>
      </w:r>
      <w:r>
        <w:rPr>
          <w:rFonts w:ascii="Times New Roman" w:hAnsi="Times New Roman" w:eastAsia="Times New Roman" w:cs="Times New Roman"/>
          <w:i w:val="1"/>
        </w:rPr>
        <w:t xml:space="preserve">China’s Industry since Accession to the WTO</w:t>
      </w:r>
      <w:r>
        <w:rPr/>
        <w:t xml:space="preserve">, </w:t>
      </w:r>
      <w:r>
        <w:rPr/>
        <w:t xml:space="preserve">Economic Management Publishing House, January 2003, pp.353-393. (In Chinese) </w:t>
      </w:r>
    </w:p>
    <w:p xmlns:wp14="http://schemas.microsoft.com/office/word/2010/wordml" w14:paraId="752553BD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2932A565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“Infrastructure Investment and Foreign Trade of Manufacturing Industries: Theory and Evidence from China,” in Yanzhong Wang ed., </w:t>
      </w:r>
      <w:r>
        <w:rPr>
          <w:rFonts w:ascii="Times New Roman" w:hAnsi="Times New Roman" w:eastAsia="Times New Roman" w:cs="Times New Roman"/>
          <w:i w:val="1"/>
        </w:rPr>
        <w:t xml:space="preserve">Infrastructure and China’s Manufacturing Industry Development</w:t>
      </w:r>
      <w:r>
        <w:rPr/>
        <w:t xml:space="preserve">, Beijing: China Social Science Press, Oct. 2002, pp.140-163. (In Chinese) </w:t>
      </w:r>
    </w:p>
    <w:p xmlns:wp14="http://schemas.microsoft.com/office/word/2010/wordml" w14:paraId="56051E44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69E29699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“The Impacts of Accession to the WTO on China’s Textile Industry and Policy Implications,” in Zheng Lv ed., </w:t>
      </w:r>
      <w:r>
        <w:rPr>
          <w:rFonts w:ascii="Times New Roman" w:hAnsi="Times New Roman" w:eastAsia="Times New Roman" w:cs="Times New Roman"/>
          <w:i w:val="1"/>
        </w:rPr>
        <w:t xml:space="preserve">China’s Industrial Development Report 2002</w:t>
      </w:r>
      <w:r>
        <w:rPr/>
        <w:t xml:space="preserve">, Economic Management Press, July 2002, pp.229-243. (In Chinese) </w:t>
      </w:r>
    </w:p>
    <w:p xmlns:wp14="http://schemas.microsoft.com/office/word/2010/wordml" w14:paraId="554EF5F4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7B394013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“Accession to the WTO and Foreign Trade of China’s Machinery and Electronics Industries,” </w:t>
      </w:r>
      <w:r>
        <w:rPr>
          <w:rFonts w:ascii="Times New Roman" w:hAnsi="Times New Roman" w:eastAsia="Times New Roman" w:cs="Times New Roman"/>
          <w:i w:val="1"/>
        </w:rPr>
        <w:t xml:space="preserve">China Industrial Economy</w:t>
      </w:r>
      <w:r>
        <w:rPr/>
        <w:t xml:space="preserve">, No.2 2002, pp.39-46. (In Chinese) </w:t>
      </w:r>
    </w:p>
    <w:p xmlns:wp14="http://schemas.microsoft.com/office/word/2010/wordml" w14:paraId="7E235B9D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4C9C7CB7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Wang, Yanzhong, Houkai Wei, Ying Zhao, Dan Shi, Xiaoxia Xie, Tie Lv, Weifu Zhou, Li Dong, and Hao Cui, “Infrastructure Investment and Manufacturing Industry Development,” </w:t>
      </w:r>
      <w:r>
        <w:rPr>
          <w:rFonts w:ascii="Times New Roman" w:hAnsi="Times New Roman" w:eastAsia="Times New Roman" w:cs="Times New Roman"/>
          <w:i w:val="1"/>
        </w:rPr>
        <w:t xml:space="preserve">Economic Research Journal</w:t>
      </w:r>
      <w:r>
        <w:rPr/>
        <w:t xml:space="preserve">, No.2 2002, pp.37-47. (In Chinese) </w:t>
      </w:r>
    </w:p>
    <w:p xmlns:wp14="http://schemas.microsoft.com/office/word/2010/wordml" w14:paraId="66AC4DF1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26CD752E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“Technological Progress in China’s Equipment Industry and Foreign Trade,” in Dan Shi ed., </w:t>
      </w:r>
      <w:r>
        <w:rPr>
          <w:rFonts w:ascii="Times New Roman" w:hAnsi="Times New Roman" w:eastAsia="Times New Roman" w:cs="Times New Roman"/>
          <w:i w:val="1"/>
        </w:rPr>
        <w:t xml:space="preserve">Technological Progress in China’s Equipment Industry</w:t>
      </w:r>
      <w:r>
        <w:rPr/>
        <w:t xml:space="preserve">, Economic Science Press, August 2001, pp.190-221. (In Chinese) </w:t>
      </w:r>
    </w:p>
    <w:p xmlns:wp14="http://schemas.microsoft.com/office/word/2010/wordml" w14:paraId="131F8F3A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1A685709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“Imports and Exports of China’s Manufactured Goods: the Status Quo and Future Trend,” in Zheng Lv ed., </w:t>
      </w:r>
      <w:r>
        <w:rPr>
          <w:rFonts w:ascii="Times New Roman" w:hAnsi="Times New Roman" w:eastAsia="Times New Roman" w:cs="Times New Roman"/>
          <w:i w:val="1"/>
        </w:rPr>
        <w:t xml:space="preserve">China’s Industrial Development Report 2001</w:t>
      </w:r>
      <w:r>
        <w:rPr/>
        <w:t xml:space="preserve">, Economic Management Press, June 2001, pp.52-65. (In Chinese) </w:t>
      </w:r>
    </w:p>
    <w:p xmlns:wp14="http://schemas.microsoft.com/office/word/2010/wordml" w14:paraId="455E230F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33462D70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“Foreign Trade in China’s Manufacturing Industry since Accession to the WTO,” </w:t>
      </w:r>
      <w:r>
        <w:rPr>
          <w:rFonts w:ascii="Times New Roman" w:hAnsi="Times New Roman" w:eastAsia="Times New Roman" w:cs="Times New Roman"/>
          <w:i w:val="1"/>
        </w:rPr>
        <w:t xml:space="preserve">Technical Supervision for Practice</w:t>
      </w:r>
      <w:r>
        <w:rPr/>
        <w:t xml:space="preserve">, No.2 2001, pp.7-12. (In Chinese) </w:t>
      </w:r>
    </w:p>
    <w:p xmlns:wp14="http://schemas.microsoft.com/office/word/2010/wordml" w14:paraId="0A8DB014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527341E9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“Hubei Provincial and Wuhan Urban Industrial Development Strategy,” in Jingwen Li ed., </w:t>
      </w:r>
      <w:r>
        <w:rPr>
          <w:rFonts w:ascii="Times New Roman" w:hAnsi="Times New Roman" w:eastAsia="Times New Roman" w:cs="Times New Roman"/>
          <w:i w:val="1"/>
        </w:rPr>
        <w:t xml:space="preserve">Hubei Provincial Economic Development Strategy at the Beginning of the 21st Century</w:t>
      </w:r>
      <w:r>
        <w:rPr/>
        <w:t xml:space="preserve">, Research Report, Chinese Academy of Social Sciences, Oct. 2000, pp. 1-15. (In Chinese) </w:t>
      </w:r>
    </w:p>
    <w:p xmlns:wp14="http://schemas.microsoft.com/office/word/2010/wordml" w14:paraId="03D8BA8D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3F110931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“Survival and Beyond: the Development Strategy of China Lingyun Industrial Group,” </w:t>
      </w:r>
      <w:r>
        <w:rPr>
          <w:rFonts w:ascii="Times New Roman" w:hAnsi="Times New Roman" w:eastAsia="Times New Roman" w:cs="Times New Roman"/>
          <w:i w:val="1"/>
        </w:rPr>
        <w:t xml:space="preserve">Economic Management</w:t>
      </w:r>
      <w:r>
        <w:rPr/>
        <w:t xml:space="preserve">, No.9 2000, pp.29-31. (In Chinese) </w:t>
      </w:r>
    </w:p>
    <w:p xmlns:wp14="http://schemas.microsoft.com/office/word/2010/wordml" w14:paraId="69A0658A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701CC474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Li Dong and Hao Cui, “China’s Textile Industry: A Farewell to Deficits,” in Zheng Lv ed., </w:t>
      </w:r>
      <w:r>
        <w:rPr>
          <w:rFonts w:ascii="Times New Roman" w:hAnsi="Times New Roman" w:eastAsia="Times New Roman" w:cs="Times New Roman"/>
          <w:i w:val="1"/>
        </w:rPr>
        <w:t xml:space="preserve">China’s Industrial Development Report 2000</w:t>
      </w:r>
      <w:r>
        <w:rPr/>
        <w:t xml:space="preserve">, Economic Management Press, Jun. 2000, pp.220-235. (In Chinese) </w:t>
      </w:r>
    </w:p>
    <w:p xmlns:wp14="http://schemas.microsoft.com/office/word/2010/wordml" w14:paraId="2EA285AA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68E1ECB0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“Key Issues of the State-Owned Institutions,” </w:t>
      </w:r>
      <w:r>
        <w:rPr>
          <w:rFonts w:ascii="Times New Roman" w:hAnsi="Times New Roman" w:eastAsia="Times New Roman" w:cs="Times New Roman"/>
          <w:i w:val="1"/>
        </w:rPr>
        <w:t xml:space="preserve">College Journal of Economic Management</w:t>
      </w:r>
      <w:r>
        <w:rPr/>
        <w:t xml:space="preserve">, No.2 1999, pp.8-10. (In Chinese) </w:t>
      </w:r>
    </w:p>
    <w:p xmlns:wp14="http://schemas.microsoft.com/office/word/2010/wordml" w14:paraId="58BC89FB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552E7924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</w:t>
      </w:r>
      <w:r>
        <w:rPr>
          <w:rFonts w:ascii="Times New Roman" w:hAnsi="Times New Roman" w:eastAsia="Times New Roman" w:cs="Times New Roman"/>
          <w:i w:val="1"/>
        </w:rPr>
        <w:t xml:space="preserve">Towards an Organizational Diversity in  State Ownership</w:t>
      </w:r>
      <w:r>
        <w:rPr/>
        <w:t xml:space="preserve">, Master’s Degree Thesis, Jilin University, Dec. 1998. (In Chinese) </w:t>
      </w:r>
    </w:p>
    <w:p xmlns:wp14="http://schemas.microsoft.com/office/word/2010/wordml" w14:paraId="70945AB8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730F8BB6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“Market Structure: Economies of Scale and Scope,” in Di Xie ed., </w:t>
      </w:r>
      <w:r>
        <w:rPr>
          <w:rFonts w:ascii="Times New Roman" w:hAnsi="Times New Roman" w:eastAsia="Times New Roman" w:cs="Times New Roman"/>
          <w:i w:val="1"/>
        </w:rPr>
        <w:t xml:space="preserve">Economics of Industrial Organization</w:t>
      </w:r>
      <w:r>
        <w:rPr/>
        <w:t xml:space="preserve">, Jilin University Press, May 1998, pp.130-163. (In Chinese) </w:t>
      </w:r>
    </w:p>
    <w:p xmlns:wp14="http://schemas.microsoft.com/office/word/2010/wordml" w14:paraId="45FB2F13" wp14:textId="77777777">
      <w:pPr>
        <w:spacing w:before="0" w:after="0" w:line="259" w:lineRule="auto"/>
        <w:ind w:left="271" w:firstLine="0"/>
        <w:jc w:val="left"/>
      </w:pPr>
      <w:r>
        <w:rPr/>
        <w:t xml:space="preserve"> </w:t>
      </w:r>
    </w:p>
    <w:p xmlns:wp14="http://schemas.microsoft.com/office/word/2010/wordml" w14:paraId="4E666D20" wp14:textId="77777777">
      <w:pPr>
        <w:pStyle w:val="normal"/>
        <w:numPr>
          <w:ilvl w:val="0"/>
          <w:numId w:val="2"/>
        </w:numPr>
        <w:spacing w:before="0" w:after="3" w:line="248" w:lineRule="auto"/>
        <w:ind w:left="267"/>
      </w:pPr>
      <w:r>
        <w:rPr/>
        <w:t xml:space="preserve">Cui, Hao, “External Challenges for Market-Oriented Reform of China’s State-Owned Assets and Policy Implications,” </w:t>
      </w:r>
      <w:r>
        <w:rPr>
          <w:rFonts w:ascii="Times New Roman" w:hAnsi="Times New Roman" w:eastAsia="Times New Roman" w:cs="Times New Roman"/>
          <w:i w:val="1"/>
        </w:rPr>
        <w:t xml:space="preserve">Social Science Exploration</w:t>
      </w:r>
      <w:r>
        <w:rPr/>
        <w:t xml:space="preserve">, No.3 1997, pp.27-30. (In Chinese) </w:t>
      </w:r>
    </w:p>
    <w:sectPr>
      <w:footerReference w:type="even" r:id="rId3"/>
      <w:footerReference w:type="default" r:id="rId2"/>
      <w:footerReference w:type="first" r:id="rId1"/>
      <w:pgSz w:w="11904" w:h="16840" w:orient="portrait"/>
      <w:pgMar w:top="1488" w:right="1434" w:bottom="1625" w:left="1349" w:footer="710"/>
      <w:pgNumType w:fmt="decimal"/>
      <w:cols/>
    </w:sectPr>
  </w:body>
</w:document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B81286D" wp14:textId="77777777" wp14:noSpellErr="1">
    <w:pPr>
      <w:spacing w:before="0" w:after="0" w:line="259" w:lineRule="auto"/>
      <w:ind w:left="86" w:firstLine="0"/>
      <w:jc w:val="center"/>
    </w:pPr>
    <w:r w:rsidR="2C918140">
      <w:rPr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2C918140">
      <w:rPr/>
      <w:t>1</w:t>
    </w:r>
    <w:r>
      <w:fldChar w:fldCharType="end"/>
    </w:r>
    <w:r w:rsidR="2C918140">
      <w:rPr/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2C918140">
      <w:rPr/>
      <w:t>5</w:t>
    </w:r>
    <w:r>
      <w:fldChar w:fldCharType="end"/>
    </w:r>
    <w:r w:rsidR="2C918140">
      <w:rPr/>
      <w:t xml:space="preserve"> </w:t>
    </w:r>
  </w:p>
  <w:p xmlns:wp14="http://schemas.microsoft.com/office/word/2010/wordml" w14:paraId="028EB558" wp14:textId="77777777">
    <w:pPr>
      <w:spacing w:before="0" w:after="0" w:line="259" w:lineRule="auto"/>
      <w:ind w:left="91" w:firstLine="0"/>
      <w:jc w:val="left"/>
    </w:pPr>
    <w:r>
      <w:rPr/>
      <w:t xml:space="preserve"> </w:t>
    </w: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278D8B6F" wp14:textId="77777777" wp14:noSpellErr="1">
    <w:pPr>
      <w:spacing w:before="0" w:after="0" w:line="259" w:lineRule="auto"/>
      <w:ind w:left="86" w:firstLine="0"/>
      <w:jc w:val="center"/>
    </w:pPr>
    <w:r w:rsidR="2C918140">
      <w:rPr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2C918140">
      <w:rPr/>
      <w:t>1</w:t>
    </w:r>
    <w:r>
      <w:fldChar w:fldCharType="end"/>
    </w:r>
    <w:r w:rsidR="2C918140">
      <w:rPr/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2C918140">
      <w:rPr/>
      <w:t>5</w:t>
    </w:r>
    <w:r>
      <w:fldChar w:fldCharType="end"/>
    </w:r>
    <w:r w:rsidR="2C918140">
      <w:rPr/>
      <w:t xml:space="preserve"> </w:t>
    </w:r>
  </w:p>
  <w:p xmlns:wp14="http://schemas.microsoft.com/office/word/2010/wordml" w14:paraId="63A420E6" wp14:textId="77777777">
    <w:pPr>
      <w:spacing w:before="0" w:after="0" w:line="259" w:lineRule="auto"/>
      <w:ind w:left="91" w:firstLine="0"/>
      <w:jc w:val="left"/>
    </w:pPr>
    <w:r>
      <w:rPr/>
      <w:t xml:space="preserve"> </w:t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9B50AF1" wp14:textId="77777777" wp14:noSpellErr="1">
    <w:pPr>
      <w:spacing w:before="0" w:after="0" w:line="259" w:lineRule="auto"/>
      <w:ind w:left="86" w:firstLine="0"/>
      <w:jc w:val="center"/>
    </w:pPr>
    <w:r w:rsidR="2C918140">
      <w:rPr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2C918140">
      <w:rPr/>
      <w:t>1</w:t>
    </w:r>
    <w:r>
      <w:fldChar w:fldCharType="end"/>
    </w:r>
    <w:r w:rsidR="2C918140">
      <w:rPr/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2C918140">
      <w:rPr/>
      <w:t>5</w:t>
    </w:r>
    <w:r>
      <w:fldChar w:fldCharType="end"/>
    </w:r>
    <w:r w:rsidR="2C918140">
      <w:rPr/>
      <w:t xml:space="preserve"> </w:t>
    </w:r>
  </w:p>
  <w:p xmlns:wp14="http://schemas.microsoft.com/office/word/2010/wordml" w14:paraId="184D15E4" wp14:textId="77777777">
    <w:pPr>
      <w:spacing w:before="0" w:after="0" w:line="259" w:lineRule="auto"/>
      <w:ind w:left="91" w:firstLine="0"/>
      <w:jc w:val="left"/>
    </w:pPr>
    <w:r>
      <w:rPr/>
      <w:t xml:space="preserve"> </w:t>
    </w:r>
  </w:p>
</w:ft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pPr>
        <w:ind w:left="2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1"/>
      <w:numFmt w:val="decimal"/>
      <w:lvlText w:val="%1."/>
      <w:pPr>
        <w:ind w:left="26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1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0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7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15">
  <w:compat>
    <w:compatSetting w:val="15" w:uri="http://schemas.microsoft.com/office/word" w:name="compatibilityMode"/>
  </w:compat>
  <w14:docId w14:val="29EEECAD"/>
  <w15:docId w15:val="{71133785-4936-4285-b5d2-fe8ce638537a}"/>
  <w:rsids>
    <w:rsidRoot w:val="2C918140"/>
    <w:rsid w:val="2C9181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248" w:lineRule="auto"/>
      <w:ind w:left="281" w:right="0" w:hanging="10"/>
      <w:jc w:val="both"/>
    </w:pPr>
    <w:rPr>
      <w:rFonts w:ascii="Times New Roman" w:hAnsi="Times New Roman" w:eastAsia="Times New Roman" w:cs="Times New Roman"/>
      <w:color w:val="000000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3" /><Relationship Type="http://schemas.openxmlformats.org/officeDocument/2006/relationships/settings" Target="/word/settings.xml" Id="rsSettingsId" /><Relationship Type="http://schemas.openxmlformats.org/officeDocument/2006/relationships/footer" Target="footer2.xml" Id="rId2" /><Relationship Type="http://schemas.openxmlformats.org/officeDocument/2006/relationships/footer" Target="footer1.xml" Id="rId1" /><Relationship Type="http://schemas.openxmlformats.org/officeDocument/2006/relationships/customXml" Target="../customXml/item3.xml" Id="rId6" /><Relationship Type="http://schemas.openxmlformats.org/officeDocument/2006/relationships/customXml" Target="../customXml/item2.xml" Id="rId5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customXml" Target="../customXml/item1.xml" Id="rId4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BE72B2370AD4DA88315B394932121" ma:contentTypeVersion="2" ma:contentTypeDescription="Create a new document." ma:contentTypeScope="" ma:versionID="6bd513137fd5c4a7a785c924c9e0227f">
  <xsd:schema xmlns:xsd="http://www.w3.org/2001/XMLSchema" xmlns:xs="http://www.w3.org/2001/XMLSchema" xmlns:p="http://schemas.microsoft.com/office/2006/metadata/properties" xmlns:ns2="fe9baeb3-9332-408e-b3a9-af66b834550b" targetNamespace="http://schemas.microsoft.com/office/2006/metadata/properties" ma:root="true" ma:fieldsID="e2dfae17987f0b0d814160900885ee01" ns2:_="">
    <xsd:import namespace="fe9baeb3-9332-408e-b3a9-af66b834550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baeb3-9332-408e-b3a9-af66b83455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25541D-4E03-4B25-9431-3B088BFEEB4E}"/>
</file>

<file path=customXml/itemProps2.xml><?xml version="1.0" encoding="utf-8"?>
<ds:datastoreItem xmlns:ds="http://schemas.openxmlformats.org/officeDocument/2006/customXml" ds:itemID="{4A28DEBA-31DC-44FC-87E9-01DD901EB31C}"/>
</file>

<file path=customXml/itemProps3.xml><?xml version="1.0" encoding="utf-8"?>
<ds:datastoreItem xmlns:ds="http://schemas.openxmlformats.org/officeDocument/2006/customXml" ds:itemID="{8D2E5BC9-3A7B-438D-AE7D-BDDC0B1C0A8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Hao (David) Cui - CV 202010.docx</dc:title>
  <dc:subject/>
  <dc:creator>dijk158</dc:creator>
  <keywords/>
  <dcterms:created xsi:type="dcterms:W3CDTF">2020-10-26T00:48:30.0000000Z</dcterms:created>
  <dcterms:modified xsi:type="dcterms:W3CDTF">2020-10-26T01:01:40.1510140Z</dcterms:modified>
  <lastModifiedBy>Cui, David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0x0101009D1BE72B2370AD4DA88315B394932121</vt:lpwstr>
  </property>
</Properties>
</file>