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7.wmf" ContentType="image/x-wmf"/>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GoBack"/>
      <w:bookmarkStart w:id="1" w:name="_GoBack"/>
      <w:bookmarkEnd w:id="1"/>
      <w:r>
        <w:rPr/>
      </w:r>
    </w:p>
    <w:p>
      <w:pPr>
        <w:pStyle w:val="Normal"/>
        <w:rPr/>
      </w:pPr>
      <w:r>
        <w:rPr/>
        <mc:AlternateContent>
          <mc:Choice Requires="wps">
            <w:drawing>
              <wp:inline distT="0" distB="0" distL="0" distR="0">
                <wp:extent cx="6174740" cy="1393825"/>
                <wp:effectExtent l="0" t="0" r="0" b="0"/>
                <wp:docPr id="1" name=""/>
                <a:graphic xmlns:a="http://schemas.openxmlformats.org/drawingml/2006/main">
                  <a:graphicData uri="http://schemas.microsoft.com/office/word/2010/wordprocessingShape">
                    <wps:wsp>
                      <wps:cNvSpPr/>
                      <wps:spPr>
                        <a:xfrm>
                          <a:off x="0" y="0"/>
                          <a:ext cx="6174000" cy="1393200"/>
                        </a:xfrm>
                        <a:prstGeom prst="rect">
                          <a:avLst/>
                        </a:prstGeom>
                        <a:solidFill>
                          <a:srgbClr val="ffffff"/>
                        </a:solidFill>
                        <a:ln w="9360">
                          <a:solidFill>
                            <a:srgbClr val="000000"/>
                          </a:solidFill>
                          <a:miter/>
                        </a:ln>
                      </wps:spPr>
                      <wps:style>
                        <a:lnRef idx="0"/>
                        <a:fillRef idx="0"/>
                        <a:effectRef idx="0"/>
                        <a:fontRef idx="minor"/>
                      </wps:style>
                      <wps:txbx>
                        <w:txbxContent>
                          <w:p>
                            <w:pPr>
                              <w:pStyle w:val="Default"/>
                              <w:jc w:val="center"/>
                              <w:rPr>
                                <w:sz w:val="32"/>
                                <w:szCs w:val="32"/>
                              </w:rPr>
                            </w:pPr>
                            <w:r>
                              <w:rPr>
                                <w:sz w:val="32"/>
                                <w:szCs w:val="32"/>
                              </w:rPr>
                              <w:t xml:space="preserve">USER MANUAL  </w:t>
                            </w:r>
                          </w:p>
                          <w:p>
                            <w:pPr>
                              <w:pStyle w:val="Default"/>
                              <w:jc w:val="center"/>
                              <w:rPr>
                                <w:sz w:val="32"/>
                                <w:szCs w:val="32"/>
                              </w:rPr>
                            </w:pPr>
                            <w:r>
                              <w:rPr>
                                <w:sz w:val="32"/>
                                <w:szCs w:val="32"/>
                              </w:rPr>
                              <w:t xml:space="preserve"> </w:t>
                            </w:r>
                          </w:p>
                          <w:p>
                            <w:pPr>
                              <w:pStyle w:val="Default"/>
                              <w:jc w:val="center"/>
                              <w:rPr/>
                            </w:pPr>
                            <w:r>
                              <w:rPr>
                                <w:sz w:val="32"/>
                                <w:szCs w:val="32"/>
                              </w:rPr>
                              <w:t xml:space="preserve">How to deliver data through Reportnet under </w:t>
                            </w:r>
                            <w:r>
                              <w:rPr>
                                <w:sz w:val="32"/>
                                <w:szCs w:val="32"/>
                                <w:shd w:fill="FFFF00" w:val="clear"/>
                              </w:rPr>
                              <w:t xml:space="preserve">Article </w:t>
                            </w:r>
                            <w:r>
                              <w:rPr>
                                <w:sz w:val="32"/>
                                <w:szCs w:val="32"/>
                                <w:shd w:fill="FFFF00" w:val="clear"/>
                              </w:rPr>
                              <w:t>22</w:t>
                            </w:r>
                            <w:r>
                              <w:rPr>
                                <w:sz w:val="32"/>
                                <w:szCs w:val="32"/>
                                <w:shd w:fill="FFFF00" w:val="clear"/>
                              </w:rPr>
                              <w:t xml:space="preserve">/Annex </w:t>
                            </w:r>
                            <w:r>
                              <w:rPr>
                                <w:sz w:val="32"/>
                                <w:szCs w:val="32"/>
                                <w:shd w:fill="FFFF00" w:val="clear"/>
                              </w:rPr>
                              <w:t>X</w:t>
                            </w:r>
                            <w:r>
                              <w:rPr>
                                <w:sz w:val="32"/>
                                <w:szCs w:val="32"/>
                                <w:shd w:fill="FFFF00" w:val="clear"/>
                              </w:rPr>
                              <w:t>I of the </w:t>
                            </w:r>
                            <w:r>
                              <w:rPr>
                                <w:sz w:val="32"/>
                                <w:szCs w:val="32"/>
                                <w:shd w:fill="FFFF00" w:val="clear"/>
                              </w:rPr>
                              <w:t>MMR Policies or Measures (PAMs)</w:t>
                            </w:r>
                            <w:r>
                              <w:rPr>
                                <w:sz w:val="32"/>
                                <w:szCs w:val="32"/>
                                <w:shd w:fill="FFFF00" w:val="clear"/>
                              </w:rPr>
                              <w:t xml:space="preserve"> </w:t>
                            </w:r>
                          </w:p>
                          <w:p>
                            <w:pPr>
                              <w:pStyle w:val="Default"/>
                              <w:jc w:val="center"/>
                              <w:rPr/>
                            </w:pPr>
                            <w:r>
                              <w:rPr>
                                <w:sz w:val="32"/>
                                <w:szCs w:val="32"/>
                                <w:shd w:fill="FFFF00" w:val="clear"/>
                              </w:rPr>
                              <w:t>(EU) No 749/2014</w:t>
                            </w:r>
                          </w:p>
                          <w:p>
                            <w:pPr>
                              <w:pStyle w:val="Default"/>
                              <w:rPr/>
                            </w:pPr>
                            <w:r>
                              <w:rPr/>
                            </w:r>
                          </w:p>
                        </w:txbxContent>
                      </wps:txbx>
                      <wps:bodyPr>
                        <a:spAutoFit/>
                      </wps:bodyPr>
                    </wps:wsp>
                  </a:graphicData>
                </a:graphic>
              </wp:inline>
            </w:drawing>
          </mc:Choice>
          <mc:Fallback>
            <w:pict>
              <v:rect id="shape_0" fillcolor="white" stroked="t" style="position:absolute;margin-left:0pt;margin-top:0pt;width:486.1pt;height:109.65pt">
                <w10:wrap type="square"/>
                <v:fill type="solid" color2="black" o:detectmouseclick="t"/>
                <v:stroke color="black" weight="9360" joinstyle="miter" endcap="flat"/>
                <v:textbox>
                  <w:txbxContent>
                    <w:p>
                      <w:pPr>
                        <w:pStyle w:val="Default"/>
                        <w:jc w:val="center"/>
                        <w:rPr>
                          <w:sz w:val="32"/>
                          <w:szCs w:val="32"/>
                        </w:rPr>
                      </w:pPr>
                      <w:r>
                        <w:rPr>
                          <w:sz w:val="32"/>
                          <w:szCs w:val="32"/>
                        </w:rPr>
                        <w:t xml:space="preserve">USER MANUAL  </w:t>
                      </w:r>
                    </w:p>
                    <w:p>
                      <w:pPr>
                        <w:pStyle w:val="Default"/>
                        <w:jc w:val="center"/>
                        <w:rPr>
                          <w:sz w:val="32"/>
                          <w:szCs w:val="32"/>
                        </w:rPr>
                      </w:pPr>
                      <w:r>
                        <w:rPr>
                          <w:sz w:val="32"/>
                          <w:szCs w:val="32"/>
                        </w:rPr>
                        <w:t xml:space="preserve"> </w:t>
                      </w:r>
                    </w:p>
                    <w:p>
                      <w:pPr>
                        <w:pStyle w:val="Default"/>
                        <w:jc w:val="center"/>
                        <w:rPr/>
                      </w:pPr>
                      <w:r>
                        <w:rPr>
                          <w:sz w:val="32"/>
                          <w:szCs w:val="32"/>
                        </w:rPr>
                        <w:t xml:space="preserve">How to deliver data through Reportnet under </w:t>
                      </w:r>
                      <w:r>
                        <w:rPr>
                          <w:sz w:val="32"/>
                          <w:szCs w:val="32"/>
                          <w:shd w:fill="FFFF00" w:val="clear"/>
                        </w:rPr>
                        <w:t xml:space="preserve">Article </w:t>
                      </w:r>
                      <w:r>
                        <w:rPr>
                          <w:sz w:val="32"/>
                          <w:szCs w:val="32"/>
                          <w:shd w:fill="FFFF00" w:val="clear"/>
                        </w:rPr>
                        <w:t>22</w:t>
                      </w:r>
                      <w:r>
                        <w:rPr>
                          <w:sz w:val="32"/>
                          <w:szCs w:val="32"/>
                          <w:shd w:fill="FFFF00" w:val="clear"/>
                        </w:rPr>
                        <w:t xml:space="preserve">/Annex </w:t>
                      </w:r>
                      <w:r>
                        <w:rPr>
                          <w:sz w:val="32"/>
                          <w:szCs w:val="32"/>
                          <w:shd w:fill="FFFF00" w:val="clear"/>
                        </w:rPr>
                        <w:t>X</w:t>
                      </w:r>
                      <w:r>
                        <w:rPr>
                          <w:sz w:val="32"/>
                          <w:szCs w:val="32"/>
                          <w:shd w:fill="FFFF00" w:val="clear"/>
                        </w:rPr>
                        <w:t>I of the </w:t>
                      </w:r>
                      <w:r>
                        <w:rPr>
                          <w:sz w:val="32"/>
                          <w:szCs w:val="32"/>
                          <w:shd w:fill="FFFF00" w:val="clear"/>
                        </w:rPr>
                        <w:t>MMR Policies or Measures (PAMs)</w:t>
                      </w:r>
                      <w:r>
                        <w:rPr>
                          <w:sz w:val="32"/>
                          <w:szCs w:val="32"/>
                          <w:shd w:fill="FFFF00" w:val="clear"/>
                        </w:rPr>
                        <w:t xml:space="preserve"> </w:t>
                      </w:r>
                    </w:p>
                    <w:p>
                      <w:pPr>
                        <w:pStyle w:val="Default"/>
                        <w:jc w:val="center"/>
                        <w:rPr/>
                      </w:pPr>
                      <w:r>
                        <w:rPr>
                          <w:sz w:val="32"/>
                          <w:szCs w:val="32"/>
                          <w:shd w:fill="FFFF00" w:val="clear"/>
                        </w:rPr>
                        <w:t>(EU) No 749/2014</w:t>
                      </w:r>
                    </w:p>
                    <w:p>
                      <w:pPr>
                        <w:pStyle w:val="Default"/>
                        <w:rPr/>
                      </w:pPr>
                      <w:r>
                        <w:rPr/>
                      </w:r>
                    </w:p>
                  </w:txbxContent>
                </v:textbox>
              </v:rect>
            </w:pict>
          </mc:Fallback>
        </mc:AlternateContent>
      </w:r>
    </w:p>
    <w:p>
      <w:pPr>
        <w:pStyle w:val="Default"/>
        <w:jc w:val="both"/>
        <w:rPr>
          <w:color w:val="00000A"/>
          <w:sz w:val="20"/>
          <w:szCs w:val="20"/>
        </w:rPr>
      </w:pPr>
      <w:r>
        <w:rPr>
          <w:color w:val="00000A"/>
          <w:sz w:val="20"/>
          <w:szCs w:val="20"/>
        </w:rPr>
        <w:t xml:space="preserve">These guidelines explain how to use the electronic infrastructure for reporting information to the European Commission in pursuance of </w:t>
      </w:r>
      <w:r>
        <w:rPr>
          <w:color w:val="00000A"/>
          <w:sz w:val="20"/>
          <w:szCs w:val="20"/>
          <w:shd w:fill="FFFF00" w:val="clear"/>
        </w:rPr>
        <w:t>Article 1/Annex I of the IED Implementing Decision (2012/795/EU).</w:t>
      </w:r>
      <w:r>
        <w:rPr>
          <w:color w:val="00000A"/>
          <w:sz w:val="20"/>
          <w:szCs w:val="20"/>
        </w:rPr>
        <w:t xml:space="preserve"> </w:t>
      </w:r>
    </w:p>
    <w:p>
      <w:pPr>
        <w:pStyle w:val="Default"/>
        <w:jc w:val="both"/>
        <w:rPr>
          <w:color w:val="00000A"/>
          <w:sz w:val="20"/>
          <w:szCs w:val="20"/>
        </w:rPr>
      </w:pPr>
      <w:r>
        <w:rPr>
          <w:color w:val="00000A"/>
          <w:sz w:val="20"/>
          <w:szCs w:val="20"/>
        </w:rPr>
        <w:t xml:space="preserve"> </w:t>
      </w:r>
    </w:p>
    <w:p>
      <w:pPr>
        <w:pStyle w:val="Default"/>
        <w:jc w:val="both"/>
        <w:rPr>
          <w:rFonts w:cs="Times New Roman"/>
          <w:b/>
          <w:b/>
          <w:bCs/>
          <w:color w:val="00000A"/>
          <w:lang w:eastAsia="en-US"/>
        </w:rPr>
      </w:pPr>
      <w:r>
        <w:rPr>
          <w:rFonts w:cs="Times New Roman"/>
          <w:b/>
          <w:bCs/>
          <w:color w:val="00000A"/>
          <w:lang w:eastAsia="en-US"/>
        </w:rPr>
        <w:t xml:space="preserve">How to deliver </w:t>
      </w:r>
    </w:p>
    <w:p>
      <w:pPr>
        <w:pStyle w:val="Default"/>
        <w:jc w:val="both"/>
        <w:rPr>
          <w:color w:val="00000A"/>
          <w:sz w:val="20"/>
          <w:szCs w:val="20"/>
        </w:rPr>
      </w:pPr>
      <w:r>
        <w:rPr>
          <w:color w:val="00000A"/>
          <w:sz w:val="20"/>
          <w:szCs w:val="20"/>
        </w:rPr>
        <w:t xml:space="preserve"> </w:t>
      </w:r>
    </w:p>
    <w:p>
      <w:pPr>
        <w:pStyle w:val="Default"/>
        <w:jc w:val="both"/>
        <w:rPr>
          <w:color w:val="00000A"/>
          <w:sz w:val="20"/>
          <w:szCs w:val="20"/>
        </w:rPr>
      </w:pPr>
      <w:r>
        <w:rPr>
          <w:color w:val="00000A"/>
          <w:sz w:val="20"/>
          <w:szCs w:val="20"/>
        </w:rPr>
        <w:t xml:space="preserve">All deliveries are provided via the Reportnet Central Data Repository (CDR), which is maintained by </w:t>
      </w:r>
    </w:p>
    <w:p>
      <w:pPr>
        <w:pStyle w:val="Default"/>
        <w:jc w:val="both"/>
        <w:rPr>
          <w:color w:val="00000A"/>
          <w:sz w:val="20"/>
          <w:szCs w:val="20"/>
        </w:rPr>
      </w:pPr>
      <w:r>
        <w:rPr>
          <w:color w:val="00000A"/>
          <w:sz w:val="20"/>
          <w:szCs w:val="20"/>
        </w:rPr>
        <w:t xml:space="preserve">the European Environment Agency (EEA). </w:t>
      </w:r>
    </w:p>
    <w:p>
      <w:pPr>
        <w:pStyle w:val="Default"/>
        <w:jc w:val="both"/>
        <w:rPr>
          <w:color w:val="00000A"/>
          <w:sz w:val="20"/>
          <w:szCs w:val="20"/>
        </w:rPr>
      </w:pPr>
      <w:r>
        <w:rPr>
          <w:color w:val="00000A"/>
          <w:sz w:val="20"/>
          <w:szCs w:val="20"/>
        </w:rPr>
      </w:r>
    </w:p>
    <w:p>
      <w:pPr>
        <w:pStyle w:val="Default"/>
        <w:jc w:val="both"/>
        <w:rPr>
          <w:b/>
          <w:b/>
          <w:color w:val="00000A"/>
          <w:sz w:val="20"/>
          <w:szCs w:val="20"/>
        </w:rPr>
      </w:pPr>
      <w:r>
        <w:rPr>
          <w:b/>
          <w:color w:val="00000A"/>
          <w:sz w:val="20"/>
          <w:szCs w:val="20"/>
        </w:rPr>
        <w:t>Summary of the delivery process</w:t>
      </w:r>
    </w:p>
    <w:p>
      <w:pPr>
        <w:pStyle w:val="Default"/>
        <w:jc w:val="both"/>
        <w:rPr>
          <w:color w:val="00000A"/>
          <w:sz w:val="20"/>
          <w:szCs w:val="20"/>
        </w:rPr>
      </w:pPr>
      <w:r>
        <w:rPr>
          <w:color w:val="00000A"/>
          <w:sz w:val="20"/>
          <w:szCs w:val="20"/>
        </w:rPr>
      </w:r>
    </w:p>
    <w:p>
      <w:pPr>
        <w:pStyle w:val="Normal"/>
        <w:spacing w:lineRule="auto" w:line="240" w:before="0" w:after="0"/>
        <w:rPr>
          <w:rFonts w:ascii="Arial" w:hAnsi="Arial"/>
          <w:b/>
          <w:b/>
          <w:bCs/>
          <w:sz w:val="24"/>
          <w:szCs w:val="24"/>
          <w:lang w:eastAsia="en-US"/>
        </w:rPr>
      </w:pPr>
      <w:r>
        <w:rPr/>
        <w:drawing>
          <wp:inline distT="0" distB="0" distL="0" distR="0">
            <wp:extent cx="6108700" cy="3136900"/>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2"/>
                    <a:stretch>
                      <a:fillRect/>
                    </a:stretch>
                  </pic:blipFill>
                  <pic:spPr bwMode="auto">
                    <a:xfrm>
                      <a:off x="0" y="0"/>
                      <a:ext cx="6108700" cy="3136900"/>
                    </a:xfrm>
                    <a:prstGeom prst="rect">
                      <a:avLst/>
                    </a:prstGeom>
                    <a:noFill/>
                    <a:ln w="9525">
                      <a:noFill/>
                      <a:miter lim="800000"/>
                      <a:headEnd/>
                      <a:tailEnd/>
                    </a:ln>
                  </pic:spPr>
                </pic:pic>
              </a:graphicData>
            </a:graphic>
          </wp:inline>
        </w:drawing>
      </w:r>
      <w:r>
        <w:br w:type="page"/>
      </w:r>
    </w:p>
    <w:p>
      <w:pPr>
        <w:pStyle w:val="Default"/>
        <w:numPr>
          <w:ilvl w:val="0"/>
          <w:numId w:val="2"/>
        </w:numPr>
        <w:ind w:left="357" w:hanging="357"/>
        <w:jc w:val="both"/>
        <w:rPr>
          <w:rFonts w:cs="Times New Roman"/>
          <w:b/>
          <w:b/>
          <w:bCs/>
          <w:color w:val="00000A"/>
          <w:lang w:eastAsia="en-US"/>
        </w:rPr>
      </w:pPr>
      <w:r>
        <w:rPr>
          <w:rFonts w:cs="Times New Roman"/>
          <w:b/>
          <w:bCs/>
          <w:color w:val="00000A"/>
          <w:lang w:eastAsia="en-US"/>
        </w:rPr>
        <w:t xml:space="preserve">Step 1: User accounts and access permissions </w:t>
      </w:r>
    </w:p>
    <w:p>
      <w:pPr>
        <w:pStyle w:val="Default"/>
        <w:jc w:val="both"/>
        <w:rPr>
          <w:color w:val="00000A"/>
          <w:sz w:val="20"/>
          <w:szCs w:val="20"/>
        </w:rPr>
      </w:pPr>
      <w:r>
        <w:rPr>
          <w:color w:val="00000A"/>
          <w:sz w:val="20"/>
          <w:szCs w:val="20"/>
        </w:rPr>
        <w:t xml:space="preserve"> </w:t>
      </w:r>
    </w:p>
    <w:p>
      <w:pPr>
        <w:pStyle w:val="Default"/>
        <w:jc w:val="both"/>
        <w:rPr/>
      </w:pPr>
      <w:r>
        <w:rPr>
          <w:iCs/>
          <w:color w:val="1F497D"/>
          <w:sz w:val="20"/>
          <w:szCs w:val="20"/>
        </w:rPr>
        <w:t>I</w:t>
      </w:r>
      <w:r>
        <w:rPr>
          <w:color w:val="00000A"/>
          <w:sz w:val="20"/>
          <w:szCs w:val="20"/>
        </w:rPr>
        <w:t>n order to report, an Eionet account with user name and password is required as well as permission to upload the national delivery. Please inform DG Environment and EEA about who will be the person(s) responsible for the reporting, so that the necessary arrangements can be made. The person(s) who do not yet have an EIONET account will receive an e-mail with their EOINET login and password. All persons nominated as reporter will receive upload rights to the CDR. Only new reporters will receive a notification on this from the Eionet Helpdesk (</w:t>
      </w:r>
      <w:hyperlink r:id="rId3">
        <w:r>
          <w:rPr>
            <w:rStyle w:val="InternetLink"/>
            <w:rFonts w:cs="Arial"/>
            <w:sz w:val="20"/>
            <w:szCs w:val="20"/>
          </w:rPr>
          <w:t>helpdesk@eionet.europa.eu</w:t>
        </w:r>
      </w:hyperlink>
      <w:r>
        <w:rPr>
          <w:color w:val="00000A"/>
          <w:sz w:val="20"/>
          <w:szCs w:val="20"/>
        </w:rPr>
        <w:t>).</w:t>
      </w:r>
    </w:p>
    <w:p>
      <w:pPr>
        <w:pStyle w:val="Default"/>
        <w:jc w:val="both"/>
        <w:rPr>
          <w:i/>
          <w:i/>
          <w:iCs/>
          <w:color w:val="1F497D"/>
        </w:rPr>
      </w:pPr>
      <w:r>
        <w:rPr>
          <w:i/>
          <w:iCs/>
          <w:color w:val="1F497D"/>
        </w:rPr>
      </w:r>
    </w:p>
    <w:p>
      <w:pPr>
        <w:pStyle w:val="Default"/>
        <w:numPr>
          <w:ilvl w:val="0"/>
          <w:numId w:val="2"/>
        </w:numPr>
        <w:ind w:left="357" w:hanging="357"/>
        <w:jc w:val="both"/>
        <w:rPr>
          <w:rFonts w:cs="Times New Roman"/>
          <w:b/>
          <w:b/>
          <w:bCs/>
          <w:color w:val="00000A"/>
          <w:lang w:eastAsia="en-US"/>
        </w:rPr>
      </w:pPr>
      <w:r>
        <w:rPr>
          <w:rFonts w:cs="Times New Roman"/>
          <w:b/>
          <w:bCs/>
          <w:color w:val="00000A"/>
          <w:lang w:eastAsia="en-US"/>
        </w:rPr>
        <w:t>Step 2: Login to the Central Data Repository and open your folder</w:t>
      </w:r>
    </w:p>
    <w:p>
      <w:pPr>
        <w:pStyle w:val="Default"/>
        <w:jc w:val="both"/>
        <w:rPr>
          <w:rFonts w:cs="Times New Roman"/>
          <w:b/>
          <w:b/>
          <w:bCs/>
          <w:color w:val="00000A"/>
          <w:lang w:eastAsia="en-US"/>
        </w:rPr>
      </w:pPr>
      <w:r>
        <w:rPr>
          <w:rFonts w:cs="Times New Roman"/>
          <w:b/>
          <w:bCs/>
          <w:color w:val="00000A"/>
          <w:lang w:eastAsia="en-US"/>
        </w:rPr>
      </w:r>
    </w:p>
    <w:p>
      <w:pPr>
        <w:pStyle w:val="Default"/>
        <w:jc w:val="both"/>
        <w:rPr/>
      </w:pPr>
      <w:r>
        <w:rPr>
          <w:color w:val="00000A"/>
          <w:sz w:val="20"/>
          <w:szCs w:val="20"/>
        </w:rPr>
        <w:t xml:space="preserve">You can access EEA’s Central Data Repository (CDR) at </w:t>
      </w:r>
      <w:hyperlink r:id="rId4">
        <w:r>
          <w:rPr>
            <w:rStyle w:val="InternetLink"/>
            <w:rFonts w:cs="Arial"/>
            <w:sz w:val="20"/>
            <w:szCs w:val="20"/>
          </w:rPr>
          <w:t>http://cdr.eionet.europa.eu</w:t>
        </w:r>
      </w:hyperlink>
    </w:p>
    <w:p>
      <w:pPr>
        <w:pStyle w:val="Default"/>
        <w:jc w:val="both"/>
        <w:rPr>
          <w:rFonts w:cs="Times New Roman"/>
          <w:bCs/>
          <w:color w:val="00000A"/>
          <w:lang w:eastAsia="en-US"/>
        </w:rPr>
      </w:pPr>
      <w:r>
        <w:rPr>
          <w:rFonts w:cs="Times New Roman"/>
          <w:bCs/>
          <w:color w:val="00000A"/>
          <w:lang w:eastAsia="en-US"/>
        </w:rPr>
      </w:r>
    </w:p>
    <w:p>
      <w:pPr>
        <w:pStyle w:val="Default"/>
        <w:jc w:val="both"/>
        <w:rPr/>
      </w:pPr>
      <w:r>
        <w:rPr>
          <w:color w:val="00000A"/>
          <w:sz w:val="20"/>
          <w:szCs w:val="20"/>
        </w:rPr>
        <w:t xml:space="preserve">When preparing for the </w:t>
      </w:r>
      <w:r>
        <w:rPr>
          <w:color w:val="00000A"/>
          <w:sz w:val="20"/>
          <w:szCs w:val="20"/>
        </w:rPr>
        <w:t>MM</w:t>
      </w:r>
      <w:r>
        <w:rPr>
          <w:color w:val="00000A"/>
          <w:sz w:val="20"/>
          <w:szCs w:val="20"/>
          <w:shd w:fill="auto" w:val="clear"/>
        </w:rPr>
        <w:t>R</w:t>
      </w:r>
      <w:r>
        <w:rPr>
          <w:color w:val="00000A"/>
          <w:sz w:val="20"/>
          <w:szCs w:val="20"/>
          <w:shd w:fill="auto" w:val="clear"/>
        </w:rPr>
        <w:t xml:space="preserve"> Annex </w:t>
      </w:r>
      <w:r>
        <w:rPr>
          <w:color w:val="00000A"/>
          <w:sz w:val="20"/>
          <w:szCs w:val="20"/>
          <w:shd w:fill="auto" w:val="clear"/>
        </w:rPr>
        <w:t>X</w:t>
      </w:r>
      <w:r>
        <w:rPr>
          <w:color w:val="00000A"/>
          <w:sz w:val="20"/>
          <w:szCs w:val="20"/>
          <w:shd w:fill="auto" w:val="clear"/>
        </w:rPr>
        <w:t>I</w:t>
      </w:r>
      <w:r>
        <w:rPr>
          <w:color w:val="00000A"/>
          <w:sz w:val="20"/>
          <w:szCs w:val="20"/>
        </w:rPr>
        <w:t xml:space="preserve"> questionnaire delivery, you first have to log in by using your Eionet user name and password and then navigate to the respective folder of you country (see the links below). </w:t>
      </w:r>
    </w:p>
    <w:p>
      <w:pPr>
        <w:pStyle w:val="Default"/>
        <w:jc w:val="both"/>
        <w:rPr>
          <w:color w:val="00000A"/>
          <w:sz w:val="20"/>
          <w:szCs w:val="20"/>
        </w:rPr>
      </w:pPr>
      <w:r>
        <w:rPr>
          <w:color w:val="00000A"/>
          <w:sz w:val="20"/>
          <w:szCs w:val="20"/>
        </w:rPr>
      </w:r>
    </w:p>
    <w:p>
      <w:pPr>
        <w:pStyle w:val="Default"/>
        <w:jc w:val="both"/>
        <w:rPr>
          <w:rFonts w:cs="Times New Roman"/>
          <w:bCs/>
          <w:color w:val="00000A"/>
          <w:lang w:eastAsia="en-US"/>
        </w:rPr>
      </w:pPr>
      <w:r>
        <w:rPr>
          <w:rFonts w:cs="Times New Roman"/>
          <w:bCs/>
          <w:color w:val="00000A"/>
          <w:lang w:eastAsia="en-US"/>
        </w:rPr>
      </w:r>
    </w:p>
    <w:p>
      <w:pPr>
        <w:pStyle w:val="Default"/>
        <w:jc w:val="both"/>
        <w:rPr>
          <w:rFonts w:cs="Times New Roman"/>
          <w:bCs/>
          <w:color w:val="00000A"/>
          <w:lang w:eastAsia="en-US"/>
        </w:rPr>
      </w:pPr>
      <w:r>
        <w:rPr/>
        <w:drawing>
          <wp:inline distT="0" distB="0" distL="0" distR="0">
            <wp:extent cx="6115050" cy="364807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6115050" cy="3648075"/>
                    </a:xfrm>
                    <a:prstGeom prst="rect">
                      <a:avLst/>
                    </a:prstGeom>
                    <a:noFill/>
                    <a:ln w="9525">
                      <a:noFill/>
                      <a:miter lim="800000"/>
                      <a:headEnd/>
                      <a:tailEnd/>
                    </a:ln>
                  </pic:spPr>
                </pic:pic>
              </a:graphicData>
            </a:graphic>
          </wp:inline>
        </w:drawing>
      </w:r>
    </w:p>
    <w:p>
      <w:pPr>
        <w:pStyle w:val="Default"/>
        <w:jc w:val="both"/>
        <w:rPr>
          <w:rFonts w:cs="Times New Roman"/>
          <w:bCs/>
          <w:color w:val="00000A"/>
          <w:lang w:eastAsia="en-US"/>
        </w:rPr>
      </w:pPr>
      <w:r>
        <w:rPr>
          <w:rFonts w:cs="Times New Roman"/>
          <w:bCs/>
          <w:color w:val="00000A"/>
          <w:lang w:eastAsia="en-US"/>
        </w:rPr>
      </w:r>
    </w:p>
    <w:p>
      <w:pPr>
        <w:pStyle w:val="Default"/>
        <w:jc w:val="both"/>
        <w:rPr>
          <w:rFonts w:cs="Times New Roman"/>
          <w:bCs/>
          <w:color w:val="00000A"/>
          <w:lang w:eastAsia="en-US"/>
        </w:rPr>
      </w:pPr>
      <w:r>
        <w:rPr>
          <w:rFonts w:cs="Times New Roman"/>
          <w:bCs/>
          <w:color w:val="00000A"/>
          <w:lang w:eastAsia="en-US"/>
        </w:rPr>
      </w:r>
    </w:p>
    <w:p>
      <w:pPr>
        <w:pStyle w:val="Default"/>
        <w:jc w:val="both"/>
        <w:rPr/>
      </w:pPr>
      <w:r>
        <w:rPr>
          <w:color w:val="00000A"/>
          <w:sz w:val="20"/>
          <w:szCs w:val="20"/>
          <w:shd w:fill="FFFF00" w:val="clear"/>
        </w:rPr>
        <w:t>Country URL to "</w:t>
      </w:r>
      <w:r>
        <w:rPr>
          <w:color w:val="00000A"/>
          <w:sz w:val="20"/>
          <w:szCs w:val="20"/>
          <w:shd w:fill="FFFF00" w:val="clear"/>
        </w:rPr>
        <w:t>MMR</w:t>
      </w:r>
      <w:r>
        <w:rPr>
          <w:color w:val="00000A"/>
          <w:sz w:val="20"/>
          <w:szCs w:val="20"/>
          <w:shd w:fill="FFFF00" w:val="clear"/>
        </w:rPr>
        <w:t xml:space="preserve"> Annex </w:t>
      </w:r>
      <w:r>
        <w:rPr>
          <w:color w:val="00000A"/>
          <w:sz w:val="20"/>
          <w:szCs w:val="20"/>
          <w:shd w:fill="FFFF00" w:val="clear"/>
        </w:rPr>
        <w:t>XI</w:t>
      </w:r>
      <w:r>
        <w:rPr>
          <w:color w:val="00000A"/>
          <w:sz w:val="20"/>
          <w:szCs w:val="20"/>
          <w:shd w:fill="FFFF00" w:val="clear"/>
        </w:rPr>
        <w:t xml:space="preserve"> questionnaire" reporting folder </w:t>
      </w:r>
    </w:p>
    <w:p>
      <w:pPr>
        <w:pStyle w:val="Default"/>
        <w:jc w:val="both"/>
        <w:rPr>
          <w:color w:val="00000A"/>
          <w:sz w:val="20"/>
          <w:szCs w:val="20"/>
          <w:shd w:fill="FFFF00" w:val="clear"/>
        </w:rPr>
      </w:pPr>
      <w:r>
        <w:rPr>
          <w:color w:val="00000A"/>
          <w:sz w:val="20"/>
          <w:szCs w:val="20"/>
          <w:shd w:fill="FFFF00" w:val="clear"/>
        </w:rPr>
      </w:r>
    </w:p>
    <w:tbl>
      <w:tblPr>
        <w:tblW w:w="8897"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2093"/>
        <w:gridCol w:w="916"/>
        <w:gridCol w:w="5888"/>
      </w:tblGrid>
      <w:tr>
        <w:trPr/>
        <w:tc>
          <w:tcPr>
            <w:tcW w:w="30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Default"/>
              <w:spacing w:lineRule="auto" w:line="276"/>
              <w:jc w:val="center"/>
              <w:rPr>
                <w:b/>
                <w:b/>
                <w:color w:val="00000A"/>
                <w:sz w:val="20"/>
                <w:szCs w:val="20"/>
                <w:shd w:fill="FFFF00" w:val="clear"/>
              </w:rPr>
            </w:pPr>
            <w:r>
              <w:rPr>
                <w:b/>
                <w:color w:val="00000A"/>
                <w:sz w:val="20"/>
                <w:szCs w:val="20"/>
                <w:shd w:fill="FFFF00" w:val="clear"/>
              </w:rPr>
              <w:t>Country</w:t>
            </w:r>
          </w:p>
        </w:tc>
        <w:tc>
          <w:tcPr>
            <w:tcW w:w="5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Default"/>
              <w:spacing w:lineRule="auto" w:line="276"/>
              <w:jc w:val="center"/>
              <w:rPr>
                <w:b/>
                <w:b/>
                <w:color w:val="00000A"/>
                <w:sz w:val="20"/>
                <w:szCs w:val="20"/>
                <w:shd w:fill="FFFF00" w:val="clear"/>
              </w:rPr>
            </w:pPr>
            <w:r>
              <w:rPr>
                <w:b/>
                <w:color w:val="00000A"/>
                <w:sz w:val="20"/>
                <w:szCs w:val="20"/>
                <w:shd w:fill="FFFF00" w:val="clear"/>
              </w:rPr>
              <w:t>IED Annex I reporting deliveries to CDR</w:t>
            </w:r>
          </w:p>
        </w:tc>
      </w:tr>
      <w:tr>
        <w:trPr/>
        <w:tc>
          <w:tcPr>
            <w:tcW w:w="20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Default"/>
              <w:spacing w:lineRule="auto" w:line="276"/>
              <w:jc w:val="center"/>
              <w:rPr>
                <w:b/>
                <w:b/>
                <w:color w:val="00000A"/>
                <w:sz w:val="20"/>
                <w:szCs w:val="20"/>
                <w:shd w:fill="FFFF00" w:val="clear"/>
              </w:rPr>
            </w:pPr>
            <w:r>
              <w:rPr>
                <w:b/>
                <w:color w:val="00000A"/>
                <w:sz w:val="20"/>
                <w:szCs w:val="20"/>
                <w:shd w:fill="FFFF00" w:val="clear"/>
              </w:rPr>
              <w:t>Name</w:t>
            </w:r>
          </w:p>
        </w:tc>
        <w:tc>
          <w:tcPr>
            <w:tcW w:w="9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Default"/>
              <w:spacing w:lineRule="auto" w:line="276"/>
              <w:jc w:val="center"/>
              <w:rPr>
                <w:b/>
                <w:b/>
                <w:color w:val="00000A"/>
                <w:sz w:val="20"/>
                <w:szCs w:val="20"/>
                <w:shd w:fill="FFFF00" w:val="clear"/>
              </w:rPr>
            </w:pPr>
            <w:r>
              <w:rPr>
                <w:b/>
                <w:color w:val="00000A"/>
                <w:sz w:val="20"/>
                <w:szCs w:val="20"/>
                <w:shd w:fill="FFFF00" w:val="clear"/>
              </w:rPr>
              <w:t>ISO</w:t>
            </w:r>
          </w:p>
        </w:tc>
        <w:tc>
          <w:tcPr>
            <w:tcW w:w="5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Default"/>
              <w:spacing w:lineRule="auto" w:line="276"/>
              <w:jc w:val="center"/>
              <w:rPr>
                <w:b/>
                <w:b/>
                <w:color w:val="00000A"/>
                <w:sz w:val="20"/>
                <w:szCs w:val="20"/>
                <w:shd w:fill="FFFF00" w:val="clear"/>
              </w:rPr>
            </w:pPr>
            <w:r>
              <w:rPr>
                <w:b/>
                <w:color w:val="00000A"/>
                <w:sz w:val="20"/>
                <w:szCs w:val="20"/>
                <w:shd w:fill="FFFF00" w:val="clear"/>
              </w:rPr>
              <w:t>Hyperlink to national folder</w:t>
            </w:r>
          </w:p>
        </w:tc>
      </w:tr>
      <w:tr>
        <w:trPr/>
        <w:tc>
          <w:tcPr>
            <w:tcW w:w="20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Default"/>
              <w:spacing w:lineRule="auto" w:line="276"/>
              <w:rPr>
                <w:color w:val="00000A"/>
                <w:sz w:val="20"/>
                <w:szCs w:val="20"/>
                <w:shd w:fill="FFFF00" w:val="clear"/>
              </w:rPr>
            </w:pPr>
            <w:r>
              <w:rPr>
                <w:color w:val="00000A"/>
                <w:sz w:val="20"/>
                <w:szCs w:val="20"/>
                <w:shd w:fill="FFFF00" w:val="clear"/>
              </w:rPr>
              <w:t>Austria</w:t>
            </w:r>
          </w:p>
          <w:p>
            <w:pPr>
              <w:pStyle w:val="Default"/>
              <w:spacing w:lineRule="auto" w:line="276"/>
              <w:rPr>
                <w:color w:val="00000A"/>
                <w:sz w:val="20"/>
                <w:szCs w:val="20"/>
                <w:shd w:fill="FFFF00" w:val="clear"/>
              </w:rPr>
            </w:pPr>
            <w:r>
              <w:rPr>
                <w:color w:val="00000A"/>
                <w:sz w:val="20"/>
                <w:szCs w:val="20"/>
                <w:shd w:fill="FFFF00" w:val="clear"/>
              </w:rPr>
              <w:t>Belgium</w:t>
            </w:r>
          </w:p>
          <w:p>
            <w:pPr>
              <w:pStyle w:val="Default"/>
              <w:spacing w:lineRule="auto" w:line="276"/>
              <w:rPr>
                <w:color w:val="00000A"/>
                <w:sz w:val="20"/>
                <w:szCs w:val="20"/>
                <w:shd w:fill="FFFF00" w:val="clear"/>
              </w:rPr>
            </w:pPr>
            <w:r>
              <w:rPr>
                <w:color w:val="00000A"/>
                <w:sz w:val="20"/>
                <w:szCs w:val="20"/>
                <w:shd w:fill="FFFF00" w:val="clear"/>
              </w:rPr>
              <w:t>Bulgaria</w:t>
            </w:r>
          </w:p>
          <w:p>
            <w:pPr>
              <w:pStyle w:val="Default"/>
              <w:spacing w:lineRule="auto" w:line="276"/>
              <w:rPr>
                <w:color w:val="00000A"/>
                <w:sz w:val="20"/>
                <w:szCs w:val="20"/>
                <w:shd w:fill="FFFF00" w:val="clear"/>
              </w:rPr>
            </w:pPr>
            <w:r>
              <w:rPr>
                <w:color w:val="00000A"/>
                <w:sz w:val="20"/>
                <w:szCs w:val="20"/>
                <w:shd w:fill="FFFF00" w:val="clear"/>
              </w:rPr>
              <w:t>Croatia</w:t>
            </w:r>
          </w:p>
          <w:p>
            <w:pPr>
              <w:pStyle w:val="Default"/>
              <w:spacing w:lineRule="auto" w:line="276"/>
              <w:rPr>
                <w:color w:val="00000A"/>
                <w:sz w:val="20"/>
                <w:szCs w:val="20"/>
                <w:shd w:fill="FFFF00" w:val="clear"/>
              </w:rPr>
            </w:pPr>
            <w:r>
              <w:rPr>
                <w:color w:val="00000A"/>
                <w:sz w:val="20"/>
                <w:szCs w:val="20"/>
                <w:shd w:fill="FFFF00" w:val="clear"/>
              </w:rPr>
              <w:t>Cyprus</w:t>
            </w:r>
          </w:p>
          <w:p>
            <w:pPr>
              <w:pStyle w:val="Default"/>
              <w:spacing w:lineRule="auto" w:line="276"/>
              <w:rPr>
                <w:color w:val="00000A"/>
                <w:sz w:val="20"/>
                <w:szCs w:val="20"/>
                <w:shd w:fill="FFFF00" w:val="clear"/>
              </w:rPr>
            </w:pPr>
            <w:r>
              <w:rPr>
                <w:color w:val="00000A"/>
                <w:sz w:val="20"/>
                <w:szCs w:val="20"/>
                <w:shd w:fill="FFFF00" w:val="clear"/>
              </w:rPr>
              <w:t>Czech Republic</w:t>
            </w:r>
          </w:p>
          <w:p>
            <w:pPr>
              <w:pStyle w:val="Default"/>
              <w:spacing w:lineRule="auto" w:line="276"/>
              <w:rPr>
                <w:color w:val="00000A"/>
                <w:sz w:val="20"/>
                <w:szCs w:val="20"/>
                <w:shd w:fill="FFFF00" w:val="clear"/>
              </w:rPr>
            </w:pPr>
            <w:r>
              <w:rPr>
                <w:color w:val="00000A"/>
                <w:sz w:val="20"/>
                <w:szCs w:val="20"/>
                <w:shd w:fill="FFFF00" w:val="clear"/>
              </w:rPr>
              <w:t>Denmark</w:t>
            </w:r>
          </w:p>
          <w:p>
            <w:pPr>
              <w:pStyle w:val="Default"/>
              <w:spacing w:lineRule="auto" w:line="276"/>
              <w:rPr>
                <w:color w:val="00000A"/>
                <w:sz w:val="20"/>
                <w:szCs w:val="20"/>
                <w:shd w:fill="FFFF00" w:val="clear"/>
              </w:rPr>
            </w:pPr>
            <w:r>
              <w:rPr>
                <w:color w:val="00000A"/>
                <w:sz w:val="20"/>
                <w:szCs w:val="20"/>
                <w:shd w:fill="FFFF00" w:val="clear"/>
              </w:rPr>
              <w:t>Estonia</w:t>
            </w:r>
          </w:p>
          <w:p>
            <w:pPr>
              <w:pStyle w:val="Default"/>
              <w:spacing w:lineRule="auto" w:line="276"/>
              <w:rPr>
                <w:color w:val="00000A"/>
                <w:sz w:val="20"/>
                <w:szCs w:val="20"/>
                <w:shd w:fill="FFFF00" w:val="clear"/>
              </w:rPr>
            </w:pPr>
            <w:r>
              <w:rPr>
                <w:color w:val="00000A"/>
                <w:sz w:val="20"/>
                <w:szCs w:val="20"/>
                <w:shd w:fill="FFFF00" w:val="clear"/>
              </w:rPr>
              <w:t>Finland</w:t>
            </w:r>
          </w:p>
          <w:p>
            <w:pPr>
              <w:pStyle w:val="Default"/>
              <w:spacing w:lineRule="auto" w:line="276"/>
              <w:rPr>
                <w:color w:val="00000A"/>
                <w:sz w:val="20"/>
                <w:szCs w:val="20"/>
                <w:shd w:fill="FFFF00" w:val="clear"/>
              </w:rPr>
            </w:pPr>
            <w:r>
              <w:rPr>
                <w:color w:val="00000A"/>
                <w:sz w:val="20"/>
                <w:szCs w:val="20"/>
                <w:shd w:fill="FFFF00" w:val="clear"/>
              </w:rPr>
              <w:t>France</w:t>
            </w:r>
          </w:p>
          <w:p>
            <w:pPr>
              <w:pStyle w:val="Default"/>
              <w:spacing w:lineRule="auto" w:line="276"/>
              <w:rPr>
                <w:color w:val="00000A"/>
                <w:sz w:val="20"/>
                <w:szCs w:val="20"/>
                <w:shd w:fill="FFFF00" w:val="clear"/>
              </w:rPr>
            </w:pPr>
            <w:r>
              <w:rPr>
                <w:color w:val="00000A"/>
                <w:sz w:val="20"/>
                <w:szCs w:val="20"/>
                <w:shd w:fill="FFFF00" w:val="clear"/>
              </w:rPr>
              <w:t>Germany</w:t>
            </w:r>
          </w:p>
          <w:p>
            <w:pPr>
              <w:pStyle w:val="Default"/>
              <w:spacing w:lineRule="auto" w:line="276"/>
              <w:rPr>
                <w:color w:val="00000A"/>
                <w:sz w:val="20"/>
                <w:szCs w:val="20"/>
                <w:shd w:fill="FFFF00" w:val="clear"/>
              </w:rPr>
            </w:pPr>
            <w:r>
              <w:rPr>
                <w:color w:val="00000A"/>
                <w:sz w:val="20"/>
                <w:szCs w:val="20"/>
                <w:shd w:fill="FFFF00" w:val="clear"/>
              </w:rPr>
              <w:t>Greece</w:t>
            </w:r>
          </w:p>
          <w:p>
            <w:pPr>
              <w:pStyle w:val="Default"/>
              <w:spacing w:lineRule="auto" w:line="276"/>
              <w:rPr>
                <w:color w:val="00000A"/>
                <w:sz w:val="20"/>
                <w:szCs w:val="20"/>
                <w:shd w:fill="FFFF00" w:val="clear"/>
              </w:rPr>
            </w:pPr>
            <w:r>
              <w:rPr>
                <w:color w:val="00000A"/>
                <w:sz w:val="20"/>
                <w:szCs w:val="20"/>
                <w:shd w:fill="FFFF00" w:val="clear"/>
              </w:rPr>
              <w:t>Hungary</w:t>
            </w:r>
          </w:p>
          <w:p>
            <w:pPr>
              <w:pStyle w:val="Default"/>
              <w:spacing w:lineRule="auto" w:line="276"/>
              <w:rPr>
                <w:color w:val="00000A"/>
                <w:sz w:val="20"/>
                <w:szCs w:val="20"/>
                <w:shd w:fill="FFFF00" w:val="clear"/>
              </w:rPr>
            </w:pPr>
            <w:r>
              <w:rPr>
                <w:color w:val="00000A"/>
                <w:sz w:val="20"/>
                <w:szCs w:val="20"/>
                <w:shd w:fill="FFFF00" w:val="clear"/>
              </w:rPr>
              <w:t>Iceland</w:t>
            </w:r>
          </w:p>
          <w:p>
            <w:pPr>
              <w:pStyle w:val="Default"/>
              <w:spacing w:lineRule="auto" w:line="276"/>
              <w:rPr>
                <w:color w:val="00000A"/>
                <w:sz w:val="20"/>
                <w:szCs w:val="20"/>
                <w:shd w:fill="FFFF00" w:val="clear"/>
              </w:rPr>
            </w:pPr>
            <w:r>
              <w:rPr>
                <w:color w:val="00000A"/>
                <w:sz w:val="20"/>
                <w:szCs w:val="20"/>
                <w:shd w:fill="FFFF00" w:val="clear"/>
              </w:rPr>
              <w:t>Ireland</w:t>
            </w:r>
          </w:p>
          <w:p>
            <w:pPr>
              <w:pStyle w:val="Default"/>
              <w:spacing w:lineRule="auto" w:line="276"/>
              <w:rPr>
                <w:color w:val="00000A"/>
                <w:sz w:val="20"/>
                <w:szCs w:val="20"/>
                <w:shd w:fill="FFFF00" w:val="clear"/>
              </w:rPr>
            </w:pPr>
            <w:r>
              <w:rPr>
                <w:color w:val="00000A"/>
                <w:sz w:val="20"/>
                <w:szCs w:val="20"/>
                <w:shd w:fill="FFFF00" w:val="clear"/>
              </w:rPr>
              <w:t>Italy</w:t>
            </w:r>
          </w:p>
          <w:p>
            <w:pPr>
              <w:pStyle w:val="Default"/>
              <w:spacing w:lineRule="auto" w:line="276"/>
              <w:rPr>
                <w:color w:val="00000A"/>
                <w:sz w:val="20"/>
                <w:szCs w:val="20"/>
                <w:shd w:fill="FFFF00" w:val="clear"/>
              </w:rPr>
            </w:pPr>
            <w:r>
              <w:rPr>
                <w:color w:val="00000A"/>
                <w:sz w:val="20"/>
                <w:szCs w:val="20"/>
                <w:shd w:fill="FFFF00" w:val="clear"/>
              </w:rPr>
              <w:t>Latvia</w:t>
            </w:r>
          </w:p>
          <w:p>
            <w:pPr>
              <w:pStyle w:val="Default"/>
              <w:spacing w:lineRule="auto" w:line="276"/>
              <w:rPr>
                <w:color w:val="00000A"/>
                <w:sz w:val="20"/>
                <w:szCs w:val="20"/>
                <w:shd w:fill="FFFF00" w:val="clear"/>
              </w:rPr>
            </w:pPr>
            <w:r>
              <w:rPr>
                <w:color w:val="00000A"/>
                <w:sz w:val="20"/>
                <w:szCs w:val="20"/>
                <w:shd w:fill="FFFF00" w:val="clear"/>
              </w:rPr>
              <w:t>Liechtenstein</w:t>
            </w:r>
          </w:p>
          <w:p>
            <w:pPr>
              <w:pStyle w:val="Default"/>
              <w:spacing w:lineRule="auto" w:line="276"/>
              <w:rPr>
                <w:color w:val="00000A"/>
                <w:sz w:val="20"/>
                <w:szCs w:val="20"/>
                <w:shd w:fill="FFFF00" w:val="clear"/>
              </w:rPr>
            </w:pPr>
            <w:r>
              <w:rPr>
                <w:color w:val="00000A"/>
                <w:sz w:val="20"/>
                <w:szCs w:val="20"/>
                <w:shd w:fill="FFFF00" w:val="clear"/>
              </w:rPr>
              <w:t>Lithuania</w:t>
            </w:r>
          </w:p>
          <w:p>
            <w:pPr>
              <w:pStyle w:val="Default"/>
              <w:spacing w:lineRule="auto" w:line="276"/>
              <w:rPr>
                <w:color w:val="00000A"/>
                <w:sz w:val="20"/>
                <w:szCs w:val="20"/>
                <w:shd w:fill="FFFF00" w:val="clear"/>
              </w:rPr>
            </w:pPr>
            <w:r>
              <w:rPr>
                <w:color w:val="00000A"/>
                <w:sz w:val="20"/>
                <w:szCs w:val="20"/>
                <w:shd w:fill="FFFF00" w:val="clear"/>
              </w:rPr>
              <w:t>Luxembourg</w:t>
            </w:r>
          </w:p>
          <w:p>
            <w:pPr>
              <w:pStyle w:val="Default"/>
              <w:spacing w:lineRule="auto" w:line="276"/>
              <w:rPr>
                <w:color w:val="00000A"/>
                <w:sz w:val="20"/>
                <w:szCs w:val="20"/>
                <w:shd w:fill="FFFF00" w:val="clear"/>
              </w:rPr>
            </w:pPr>
            <w:r>
              <w:rPr>
                <w:color w:val="00000A"/>
                <w:sz w:val="20"/>
                <w:szCs w:val="20"/>
                <w:shd w:fill="FFFF00" w:val="clear"/>
              </w:rPr>
              <w:t>Malta</w:t>
            </w:r>
          </w:p>
          <w:p>
            <w:pPr>
              <w:pStyle w:val="Default"/>
              <w:spacing w:lineRule="auto" w:line="276"/>
              <w:rPr>
                <w:color w:val="00000A"/>
                <w:sz w:val="20"/>
                <w:szCs w:val="20"/>
                <w:shd w:fill="FFFF00" w:val="clear"/>
              </w:rPr>
            </w:pPr>
            <w:r>
              <w:rPr>
                <w:color w:val="00000A"/>
                <w:sz w:val="20"/>
                <w:szCs w:val="20"/>
                <w:shd w:fill="FFFF00" w:val="clear"/>
              </w:rPr>
              <w:t>Netherlands</w:t>
            </w:r>
          </w:p>
          <w:p>
            <w:pPr>
              <w:pStyle w:val="Default"/>
              <w:spacing w:lineRule="auto" w:line="276"/>
              <w:rPr>
                <w:color w:val="00000A"/>
                <w:sz w:val="20"/>
                <w:szCs w:val="20"/>
                <w:shd w:fill="FFFF00" w:val="clear"/>
              </w:rPr>
            </w:pPr>
            <w:r>
              <w:rPr>
                <w:color w:val="00000A"/>
                <w:sz w:val="20"/>
                <w:szCs w:val="20"/>
                <w:shd w:fill="FFFF00" w:val="clear"/>
              </w:rPr>
              <w:t>Norway</w:t>
            </w:r>
          </w:p>
          <w:p>
            <w:pPr>
              <w:pStyle w:val="Default"/>
              <w:spacing w:lineRule="auto" w:line="276"/>
              <w:rPr>
                <w:color w:val="00000A"/>
                <w:sz w:val="20"/>
                <w:szCs w:val="20"/>
                <w:shd w:fill="FFFF00" w:val="clear"/>
              </w:rPr>
            </w:pPr>
            <w:r>
              <w:rPr>
                <w:color w:val="00000A"/>
                <w:sz w:val="20"/>
                <w:szCs w:val="20"/>
                <w:shd w:fill="FFFF00" w:val="clear"/>
              </w:rPr>
              <w:t>Poland</w:t>
            </w:r>
          </w:p>
          <w:p>
            <w:pPr>
              <w:pStyle w:val="Default"/>
              <w:spacing w:lineRule="auto" w:line="276"/>
              <w:rPr>
                <w:color w:val="00000A"/>
                <w:sz w:val="20"/>
                <w:szCs w:val="20"/>
                <w:shd w:fill="FFFF00" w:val="clear"/>
              </w:rPr>
            </w:pPr>
            <w:r>
              <w:rPr>
                <w:color w:val="00000A"/>
                <w:sz w:val="20"/>
                <w:szCs w:val="20"/>
                <w:shd w:fill="FFFF00" w:val="clear"/>
              </w:rPr>
              <w:t>Portugal</w:t>
            </w:r>
          </w:p>
          <w:p>
            <w:pPr>
              <w:pStyle w:val="Default"/>
              <w:spacing w:lineRule="auto" w:line="276"/>
              <w:rPr>
                <w:color w:val="00000A"/>
                <w:sz w:val="20"/>
                <w:szCs w:val="20"/>
                <w:shd w:fill="FFFF00" w:val="clear"/>
              </w:rPr>
            </w:pPr>
            <w:r>
              <w:rPr>
                <w:color w:val="00000A"/>
                <w:sz w:val="20"/>
                <w:szCs w:val="20"/>
                <w:shd w:fill="FFFF00" w:val="clear"/>
              </w:rPr>
              <w:t>Romania</w:t>
            </w:r>
          </w:p>
          <w:p>
            <w:pPr>
              <w:pStyle w:val="Default"/>
              <w:spacing w:lineRule="auto" w:line="276"/>
              <w:rPr>
                <w:color w:val="00000A"/>
                <w:sz w:val="20"/>
                <w:szCs w:val="20"/>
                <w:shd w:fill="FFFF00" w:val="clear"/>
              </w:rPr>
            </w:pPr>
            <w:r>
              <w:rPr>
                <w:color w:val="00000A"/>
                <w:sz w:val="20"/>
                <w:szCs w:val="20"/>
                <w:shd w:fill="FFFF00" w:val="clear"/>
              </w:rPr>
              <w:t>Slovakia</w:t>
            </w:r>
          </w:p>
          <w:p>
            <w:pPr>
              <w:pStyle w:val="Default"/>
              <w:spacing w:lineRule="auto" w:line="276"/>
              <w:rPr>
                <w:color w:val="00000A"/>
                <w:sz w:val="20"/>
                <w:szCs w:val="20"/>
                <w:shd w:fill="FFFF00" w:val="clear"/>
              </w:rPr>
            </w:pPr>
            <w:r>
              <w:rPr>
                <w:color w:val="00000A"/>
                <w:sz w:val="20"/>
                <w:szCs w:val="20"/>
                <w:shd w:fill="FFFF00" w:val="clear"/>
              </w:rPr>
              <w:t>Slovenia</w:t>
            </w:r>
          </w:p>
          <w:p>
            <w:pPr>
              <w:pStyle w:val="Default"/>
              <w:spacing w:lineRule="auto" w:line="276"/>
              <w:rPr>
                <w:color w:val="00000A"/>
                <w:sz w:val="20"/>
                <w:szCs w:val="20"/>
                <w:shd w:fill="FFFF00" w:val="clear"/>
              </w:rPr>
            </w:pPr>
            <w:r>
              <w:rPr>
                <w:color w:val="00000A"/>
                <w:sz w:val="20"/>
                <w:szCs w:val="20"/>
                <w:shd w:fill="FFFF00" w:val="clear"/>
              </w:rPr>
              <w:t>Spain</w:t>
            </w:r>
          </w:p>
          <w:p>
            <w:pPr>
              <w:pStyle w:val="Default"/>
              <w:spacing w:lineRule="auto" w:line="276"/>
              <w:rPr>
                <w:color w:val="00000A"/>
                <w:sz w:val="20"/>
                <w:szCs w:val="20"/>
                <w:shd w:fill="FFFF00" w:val="clear"/>
              </w:rPr>
            </w:pPr>
            <w:r>
              <w:rPr>
                <w:color w:val="00000A"/>
                <w:sz w:val="20"/>
                <w:szCs w:val="20"/>
                <w:shd w:fill="FFFF00" w:val="clear"/>
              </w:rPr>
              <w:t>Sweden</w:t>
            </w:r>
          </w:p>
          <w:p>
            <w:pPr>
              <w:pStyle w:val="Default"/>
              <w:spacing w:lineRule="auto" w:line="276"/>
              <w:rPr>
                <w:color w:val="00000A"/>
                <w:sz w:val="20"/>
                <w:szCs w:val="20"/>
                <w:shd w:fill="FFFF00" w:val="clear"/>
              </w:rPr>
            </w:pPr>
            <w:r>
              <w:rPr>
                <w:color w:val="00000A"/>
                <w:sz w:val="20"/>
                <w:szCs w:val="20"/>
                <w:shd w:fill="FFFF00" w:val="clear"/>
              </w:rPr>
              <w:t>United Kingdom</w:t>
            </w:r>
          </w:p>
        </w:tc>
        <w:tc>
          <w:tcPr>
            <w:tcW w:w="9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Default"/>
              <w:spacing w:lineRule="auto" w:line="276"/>
              <w:jc w:val="center"/>
              <w:rPr>
                <w:color w:val="00000A"/>
                <w:sz w:val="20"/>
                <w:szCs w:val="20"/>
                <w:shd w:fill="FFFF00" w:val="clear"/>
              </w:rPr>
            </w:pPr>
            <w:r>
              <w:rPr>
                <w:color w:val="00000A"/>
                <w:sz w:val="20"/>
                <w:szCs w:val="20"/>
                <w:shd w:fill="FFFF00" w:val="clear"/>
              </w:rPr>
              <w:t>AT</w:t>
            </w:r>
          </w:p>
          <w:p>
            <w:pPr>
              <w:pStyle w:val="Default"/>
              <w:spacing w:lineRule="auto" w:line="276"/>
              <w:jc w:val="center"/>
              <w:rPr>
                <w:color w:val="00000A"/>
                <w:sz w:val="20"/>
                <w:szCs w:val="20"/>
                <w:shd w:fill="FFFF00" w:val="clear"/>
              </w:rPr>
            </w:pPr>
            <w:r>
              <w:rPr>
                <w:color w:val="00000A"/>
                <w:sz w:val="20"/>
                <w:szCs w:val="20"/>
                <w:shd w:fill="FFFF00" w:val="clear"/>
              </w:rPr>
              <w:t>BE</w:t>
            </w:r>
          </w:p>
          <w:p>
            <w:pPr>
              <w:pStyle w:val="Default"/>
              <w:spacing w:lineRule="auto" w:line="276"/>
              <w:jc w:val="center"/>
              <w:rPr>
                <w:color w:val="00000A"/>
                <w:sz w:val="20"/>
                <w:szCs w:val="20"/>
                <w:shd w:fill="FFFF00" w:val="clear"/>
              </w:rPr>
            </w:pPr>
            <w:r>
              <w:rPr>
                <w:color w:val="00000A"/>
                <w:sz w:val="20"/>
                <w:szCs w:val="20"/>
                <w:shd w:fill="FFFF00" w:val="clear"/>
              </w:rPr>
              <w:t>BG</w:t>
            </w:r>
          </w:p>
          <w:p>
            <w:pPr>
              <w:pStyle w:val="Default"/>
              <w:spacing w:lineRule="auto" w:line="276"/>
              <w:jc w:val="center"/>
              <w:rPr>
                <w:color w:val="00000A"/>
                <w:sz w:val="20"/>
                <w:szCs w:val="20"/>
                <w:shd w:fill="FFFF00" w:val="clear"/>
              </w:rPr>
            </w:pPr>
            <w:r>
              <w:rPr>
                <w:color w:val="00000A"/>
                <w:sz w:val="20"/>
                <w:szCs w:val="20"/>
                <w:shd w:fill="FFFF00" w:val="clear"/>
              </w:rPr>
              <w:t>HR</w:t>
            </w:r>
          </w:p>
          <w:p>
            <w:pPr>
              <w:pStyle w:val="Default"/>
              <w:spacing w:lineRule="auto" w:line="276"/>
              <w:jc w:val="center"/>
              <w:rPr>
                <w:color w:val="00000A"/>
                <w:sz w:val="20"/>
                <w:szCs w:val="20"/>
                <w:shd w:fill="FFFF00" w:val="clear"/>
              </w:rPr>
            </w:pPr>
            <w:r>
              <w:rPr>
                <w:color w:val="00000A"/>
                <w:sz w:val="20"/>
                <w:szCs w:val="20"/>
                <w:shd w:fill="FFFF00" w:val="clear"/>
              </w:rPr>
              <w:t>CY</w:t>
            </w:r>
          </w:p>
          <w:p>
            <w:pPr>
              <w:pStyle w:val="Default"/>
              <w:spacing w:lineRule="auto" w:line="276"/>
              <w:jc w:val="center"/>
              <w:rPr>
                <w:color w:val="00000A"/>
                <w:sz w:val="20"/>
                <w:szCs w:val="20"/>
                <w:shd w:fill="FFFF00" w:val="clear"/>
              </w:rPr>
            </w:pPr>
            <w:r>
              <w:rPr>
                <w:color w:val="00000A"/>
                <w:sz w:val="20"/>
                <w:szCs w:val="20"/>
                <w:shd w:fill="FFFF00" w:val="clear"/>
              </w:rPr>
              <w:t>CZ</w:t>
            </w:r>
          </w:p>
          <w:p>
            <w:pPr>
              <w:pStyle w:val="Default"/>
              <w:spacing w:lineRule="auto" w:line="276"/>
              <w:jc w:val="center"/>
              <w:rPr>
                <w:color w:val="00000A"/>
                <w:sz w:val="20"/>
                <w:szCs w:val="20"/>
                <w:shd w:fill="FFFF00" w:val="clear"/>
                <w:lang w:val="fr-BE"/>
              </w:rPr>
            </w:pPr>
            <w:r>
              <w:rPr>
                <w:color w:val="00000A"/>
                <w:sz w:val="20"/>
                <w:szCs w:val="20"/>
                <w:shd w:fill="FFFF00" w:val="clear"/>
                <w:lang w:val="fr-BE"/>
              </w:rPr>
              <w:t>DK</w:t>
            </w:r>
          </w:p>
          <w:p>
            <w:pPr>
              <w:pStyle w:val="Default"/>
              <w:spacing w:lineRule="auto" w:line="276"/>
              <w:jc w:val="center"/>
              <w:rPr>
                <w:color w:val="00000A"/>
                <w:sz w:val="20"/>
                <w:szCs w:val="20"/>
                <w:shd w:fill="FFFF00" w:val="clear"/>
                <w:lang w:val="fr-BE"/>
              </w:rPr>
            </w:pPr>
            <w:r>
              <w:rPr>
                <w:color w:val="00000A"/>
                <w:sz w:val="20"/>
                <w:szCs w:val="20"/>
                <w:shd w:fill="FFFF00" w:val="clear"/>
                <w:lang w:val="fr-BE"/>
              </w:rPr>
              <w:t>EE</w:t>
            </w:r>
          </w:p>
          <w:p>
            <w:pPr>
              <w:pStyle w:val="Default"/>
              <w:spacing w:lineRule="auto" w:line="276"/>
              <w:jc w:val="center"/>
              <w:rPr>
                <w:b/>
                <w:b/>
                <w:bCs/>
                <w:color w:val="00000A"/>
                <w:sz w:val="20"/>
                <w:szCs w:val="20"/>
                <w:shd w:fill="FFFF00" w:val="clear"/>
                <w:lang w:val="fr-BE"/>
              </w:rPr>
            </w:pPr>
            <w:r>
              <w:rPr>
                <w:color w:val="00000A"/>
                <w:sz w:val="20"/>
                <w:szCs w:val="20"/>
                <w:shd w:fill="FFFF00" w:val="clear"/>
                <w:lang w:val="fr-BE"/>
              </w:rPr>
              <w:t>FI</w:t>
            </w:r>
          </w:p>
          <w:p>
            <w:pPr>
              <w:pStyle w:val="Default"/>
              <w:spacing w:lineRule="auto" w:line="276"/>
              <w:jc w:val="center"/>
              <w:rPr>
                <w:b/>
                <w:b/>
                <w:bCs/>
                <w:color w:val="00000A"/>
                <w:sz w:val="20"/>
                <w:szCs w:val="20"/>
                <w:shd w:fill="FFFF00" w:val="clear"/>
                <w:lang w:val="fr-BE"/>
              </w:rPr>
            </w:pPr>
            <w:r>
              <w:rPr>
                <w:color w:val="00000A"/>
                <w:sz w:val="20"/>
                <w:szCs w:val="20"/>
                <w:shd w:fill="FFFF00" w:val="clear"/>
                <w:lang w:val="fr-BE"/>
              </w:rPr>
              <w:t>FR</w:t>
            </w:r>
          </w:p>
          <w:p>
            <w:pPr>
              <w:pStyle w:val="Default"/>
              <w:keepNext/>
              <w:numPr>
                <w:ilvl w:val="0"/>
                <w:numId w:val="0"/>
              </w:numPr>
              <w:spacing w:lineRule="auto" w:line="276"/>
              <w:jc w:val="center"/>
              <w:outlineLvl w:val="0"/>
              <w:rPr>
                <w:b/>
                <w:b/>
                <w:bCs/>
                <w:color w:val="00000A"/>
                <w:sz w:val="20"/>
                <w:szCs w:val="20"/>
                <w:shd w:fill="FFFF00" w:val="clear"/>
                <w:lang w:val="fr-BE"/>
              </w:rPr>
            </w:pPr>
            <w:r>
              <w:rPr>
                <w:color w:val="00000A"/>
                <w:sz w:val="20"/>
                <w:szCs w:val="20"/>
                <w:shd w:fill="FFFF00" w:val="clear"/>
                <w:lang w:val="fr-BE"/>
              </w:rPr>
              <w:t>DE</w:t>
            </w:r>
          </w:p>
          <w:p>
            <w:pPr>
              <w:pStyle w:val="Default"/>
              <w:keepNext/>
              <w:numPr>
                <w:ilvl w:val="0"/>
                <w:numId w:val="0"/>
              </w:numPr>
              <w:spacing w:lineRule="auto" w:line="276"/>
              <w:jc w:val="center"/>
              <w:outlineLvl w:val="0"/>
              <w:rPr>
                <w:b/>
                <w:b/>
                <w:bCs/>
                <w:color w:val="00000A"/>
                <w:sz w:val="20"/>
                <w:szCs w:val="20"/>
                <w:shd w:fill="FFFF00" w:val="clear"/>
                <w:lang w:val="fr-BE"/>
              </w:rPr>
            </w:pPr>
            <w:r>
              <w:rPr>
                <w:color w:val="00000A"/>
                <w:sz w:val="20"/>
                <w:szCs w:val="20"/>
                <w:shd w:fill="FFFF00" w:val="clear"/>
                <w:lang w:val="fr-BE"/>
              </w:rPr>
              <w:t>GR</w:t>
            </w:r>
          </w:p>
          <w:p>
            <w:pPr>
              <w:pStyle w:val="Default"/>
              <w:keepNext/>
              <w:numPr>
                <w:ilvl w:val="0"/>
                <w:numId w:val="0"/>
              </w:numPr>
              <w:spacing w:lineRule="auto" w:line="276"/>
              <w:jc w:val="center"/>
              <w:outlineLvl w:val="0"/>
              <w:rPr>
                <w:color w:val="00000A"/>
                <w:sz w:val="20"/>
                <w:szCs w:val="20"/>
                <w:shd w:fill="FFFF00" w:val="clear"/>
              </w:rPr>
            </w:pPr>
            <w:r>
              <w:rPr>
                <w:color w:val="00000A"/>
                <w:sz w:val="20"/>
                <w:szCs w:val="20"/>
                <w:shd w:fill="FFFF00" w:val="clear"/>
              </w:rPr>
              <w:t>HU</w:t>
            </w:r>
          </w:p>
          <w:p>
            <w:pPr>
              <w:pStyle w:val="Default"/>
              <w:keepNext/>
              <w:numPr>
                <w:ilvl w:val="0"/>
                <w:numId w:val="0"/>
              </w:numPr>
              <w:spacing w:lineRule="auto" w:line="276"/>
              <w:jc w:val="center"/>
              <w:outlineLvl w:val="0"/>
              <w:rPr>
                <w:b/>
                <w:b/>
                <w:bCs/>
                <w:color w:val="00000A"/>
                <w:sz w:val="20"/>
                <w:szCs w:val="20"/>
                <w:shd w:fill="FFFF00" w:val="clear"/>
              </w:rPr>
            </w:pPr>
            <w:r>
              <w:rPr>
                <w:color w:val="00000A"/>
                <w:sz w:val="20"/>
                <w:szCs w:val="20"/>
                <w:shd w:fill="FFFF00" w:val="clear"/>
              </w:rPr>
              <w:t>IS</w:t>
            </w:r>
          </w:p>
          <w:p>
            <w:pPr>
              <w:pStyle w:val="Default"/>
              <w:spacing w:lineRule="auto" w:line="276"/>
              <w:jc w:val="center"/>
              <w:rPr>
                <w:color w:val="00000A"/>
                <w:sz w:val="20"/>
                <w:szCs w:val="20"/>
                <w:shd w:fill="FFFF00" w:val="clear"/>
              </w:rPr>
            </w:pPr>
            <w:r>
              <w:rPr>
                <w:color w:val="00000A"/>
                <w:sz w:val="20"/>
                <w:szCs w:val="20"/>
                <w:shd w:fill="FFFF00" w:val="clear"/>
              </w:rPr>
              <w:t>IE</w:t>
            </w:r>
          </w:p>
          <w:p>
            <w:pPr>
              <w:pStyle w:val="Default"/>
              <w:spacing w:lineRule="auto" w:line="276"/>
              <w:jc w:val="center"/>
              <w:rPr>
                <w:color w:val="00000A"/>
                <w:sz w:val="20"/>
                <w:szCs w:val="20"/>
                <w:shd w:fill="FFFF00" w:val="clear"/>
              </w:rPr>
            </w:pPr>
            <w:r>
              <w:rPr>
                <w:color w:val="00000A"/>
                <w:sz w:val="20"/>
                <w:szCs w:val="20"/>
                <w:shd w:fill="FFFF00" w:val="clear"/>
              </w:rPr>
              <w:t>IT</w:t>
            </w:r>
          </w:p>
          <w:p>
            <w:pPr>
              <w:pStyle w:val="Default"/>
              <w:spacing w:lineRule="auto" w:line="276"/>
              <w:jc w:val="center"/>
              <w:rPr>
                <w:color w:val="00000A"/>
                <w:sz w:val="20"/>
                <w:szCs w:val="20"/>
                <w:shd w:fill="FFFF00" w:val="clear"/>
              </w:rPr>
            </w:pPr>
            <w:r>
              <w:rPr>
                <w:color w:val="00000A"/>
                <w:sz w:val="20"/>
                <w:szCs w:val="20"/>
                <w:shd w:fill="FFFF00" w:val="clear"/>
              </w:rPr>
              <w:t>LV</w:t>
            </w:r>
          </w:p>
          <w:p>
            <w:pPr>
              <w:pStyle w:val="Default"/>
              <w:spacing w:lineRule="auto" w:line="276"/>
              <w:jc w:val="center"/>
              <w:rPr>
                <w:color w:val="00000A"/>
                <w:sz w:val="20"/>
                <w:szCs w:val="20"/>
                <w:shd w:fill="FFFF00" w:val="clear"/>
              </w:rPr>
            </w:pPr>
            <w:r>
              <w:rPr>
                <w:color w:val="00000A"/>
                <w:sz w:val="20"/>
                <w:szCs w:val="20"/>
                <w:shd w:fill="FFFF00" w:val="clear"/>
              </w:rPr>
              <w:t>LI</w:t>
            </w:r>
          </w:p>
          <w:p>
            <w:pPr>
              <w:pStyle w:val="Default"/>
              <w:spacing w:lineRule="auto" w:line="276"/>
              <w:jc w:val="center"/>
              <w:rPr>
                <w:color w:val="00000A"/>
                <w:sz w:val="20"/>
                <w:szCs w:val="20"/>
                <w:shd w:fill="FFFF00" w:val="clear"/>
              </w:rPr>
            </w:pPr>
            <w:r>
              <w:rPr>
                <w:color w:val="00000A"/>
                <w:sz w:val="20"/>
                <w:szCs w:val="20"/>
                <w:shd w:fill="FFFF00" w:val="clear"/>
              </w:rPr>
              <w:t>LT</w:t>
            </w:r>
          </w:p>
          <w:p>
            <w:pPr>
              <w:pStyle w:val="Default"/>
              <w:spacing w:lineRule="auto" w:line="276"/>
              <w:jc w:val="center"/>
              <w:rPr>
                <w:color w:val="00000A"/>
                <w:sz w:val="20"/>
                <w:szCs w:val="20"/>
                <w:shd w:fill="FFFF00" w:val="clear"/>
              </w:rPr>
            </w:pPr>
            <w:r>
              <w:rPr>
                <w:color w:val="00000A"/>
                <w:sz w:val="20"/>
                <w:szCs w:val="20"/>
                <w:shd w:fill="FFFF00" w:val="clear"/>
              </w:rPr>
              <w:t>LU</w:t>
            </w:r>
          </w:p>
          <w:p>
            <w:pPr>
              <w:pStyle w:val="Default"/>
              <w:spacing w:lineRule="auto" w:line="276"/>
              <w:jc w:val="center"/>
              <w:rPr>
                <w:color w:val="00000A"/>
                <w:sz w:val="20"/>
                <w:szCs w:val="20"/>
                <w:shd w:fill="FFFF00" w:val="clear"/>
              </w:rPr>
            </w:pPr>
            <w:r>
              <w:rPr>
                <w:color w:val="00000A"/>
                <w:sz w:val="20"/>
                <w:szCs w:val="20"/>
                <w:shd w:fill="FFFF00" w:val="clear"/>
              </w:rPr>
              <w:t>MT</w:t>
            </w:r>
          </w:p>
          <w:p>
            <w:pPr>
              <w:pStyle w:val="Default"/>
              <w:keepNext/>
              <w:numPr>
                <w:ilvl w:val="0"/>
                <w:numId w:val="0"/>
              </w:numPr>
              <w:spacing w:lineRule="auto" w:line="276"/>
              <w:jc w:val="center"/>
              <w:outlineLvl w:val="0"/>
              <w:rPr>
                <w:color w:val="00000A"/>
                <w:sz w:val="20"/>
                <w:szCs w:val="20"/>
                <w:shd w:fill="FFFF00" w:val="clear"/>
              </w:rPr>
            </w:pPr>
            <w:r>
              <w:rPr>
                <w:color w:val="00000A"/>
                <w:sz w:val="20"/>
                <w:szCs w:val="20"/>
                <w:shd w:fill="FFFF00" w:val="clear"/>
              </w:rPr>
              <w:t>NL</w:t>
            </w:r>
          </w:p>
          <w:p>
            <w:pPr>
              <w:pStyle w:val="Default"/>
              <w:keepNext/>
              <w:numPr>
                <w:ilvl w:val="0"/>
                <w:numId w:val="0"/>
              </w:numPr>
              <w:spacing w:lineRule="auto" w:line="276"/>
              <w:jc w:val="center"/>
              <w:outlineLvl w:val="0"/>
              <w:rPr>
                <w:b/>
                <w:b/>
                <w:bCs/>
                <w:color w:val="00000A"/>
                <w:sz w:val="20"/>
                <w:szCs w:val="20"/>
                <w:shd w:fill="FFFF00" w:val="clear"/>
              </w:rPr>
            </w:pPr>
            <w:r>
              <w:rPr>
                <w:color w:val="00000A"/>
                <w:sz w:val="20"/>
                <w:szCs w:val="20"/>
                <w:shd w:fill="FFFF00" w:val="clear"/>
              </w:rPr>
              <w:t>NO</w:t>
            </w:r>
          </w:p>
          <w:p>
            <w:pPr>
              <w:pStyle w:val="Default"/>
              <w:keepNext/>
              <w:numPr>
                <w:ilvl w:val="0"/>
                <w:numId w:val="0"/>
              </w:numPr>
              <w:spacing w:lineRule="auto" w:line="276"/>
              <w:jc w:val="center"/>
              <w:outlineLvl w:val="0"/>
              <w:rPr>
                <w:b/>
                <w:b/>
                <w:bCs/>
                <w:color w:val="00000A"/>
                <w:sz w:val="20"/>
                <w:szCs w:val="20"/>
                <w:shd w:fill="FFFF00" w:val="clear"/>
              </w:rPr>
            </w:pPr>
            <w:r>
              <w:rPr>
                <w:color w:val="00000A"/>
                <w:sz w:val="20"/>
                <w:szCs w:val="20"/>
                <w:shd w:fill="FFFF00" w:val="clear"/>
              </w:rPr>
              <w:t>PL</w:t>
            </w:r>
          </w:p>
          <w:p>
            <w:pPr>
              <w:pStyle w:val="Default"/>
              <w:keepNext/>
              <w:numPr>
                <w:ilvl w:val="0"/>
                <w:numId w:val="0"/>
              </w:numPr>
              <w:spacing w:lineRule="auto" w:line="276"/>
              <w:jc w:val="center"/>
              <w:outlineLvl w:val="0"/>
              <w:rPr>
                <w:b/>
                <w:b/>
                <w:bCs/>
                <w:color w:val="00000A"/>
                <w:sz w:val="20"/>
                <w:szCs w:val="20"/>
                <w:shd w:fill="FFFF00" w:val="clear"/>
                <w:lang w:val="fr-BE"/>
              </w:rPr>
            </w:pPr>
            <w:r>
              <w:rPr>
                <w:color w:val="00000A"/>
                <w:sz w:val="20"/>
                <w:szCs w:val="20"/>
                <w:shd w:fill="FFFF00" w:val="clear"/>
                <w:lang w:val="fr-BE"/>
              </w:rPr>
              <w:t>PT</w:t>
            </w:r>
          </w:p>
          <w:p>
            <w:pPr>
              <w:pStyle w:val="Default"/>
              <w:keepNext/>
              <w:numPr>
                <w:ilvl w:val="0"/>
                <w:numId w:val="0"/>
              </w:numPr>
              <w:spacing w:lineRule="auto" w:line="276"/>
              <w:jc w:val="center"/>
              <w:outlineLvl w:val="0"/>
              <w:rPr>
                <w:b/>
                <w:b/>
                <w:bCs/>
                <w:color w:val="00000A"/>
                <w:sz w:val="20"/>
                <w:szCs w:val="20"/>
                <w:shd w:fill="FFFF00" w:val="clear"/>
                <w:lang w:val="fr-BE"/>
              </w:rPr>
            </w:pPr>
            <w:r>
              <w:rPr>
                <w:color w:val="00000A"/>
                <w:sz w:val="20"/>
                <w:szCs w:val="20"/>
                <w:shd w:fill="FFFF00" w:val="clear"/>
                <w:lang w:val="fr-BE"/>
              </w:rPr>
              <w:t>RO</w:t>
            </w:r>
          </w:p>
          <w:p>
            <w:pPr>
              <w:pStyle w:val="Default"/>
              <w:keepNext/>
              <w:numPr>
                <w:ilvl w:val="0"/>
                <w:numId w:val="0"/>
              </w:numPr>
              <w:spacing w:lineRule="auto" w:line="276"/>
              <w:jc w:val="center"/>
              <w:outlineLvl w:val="0"/>
              <w:rPr>
                <w:b/>
                <w:b/>
                <w:bCs/>
                <w:color w:val="00000A"/>
                <w:sz w:val="20"/>
                <w:szCs w:val="20"/>
                <w:shd w:fill="FFFF00" w:val="clear"/>
                <w:lang w:val="fr-BE"/>
              </w:rPr>
            </w:pPr>
            <w:r>
              <w:rPr>
                <w:color w:val="00000A"/>
                <w:sz w:val="20"/>
                <w:szCs w:val="20"/>
                <w:shd w:fill="FFFF00" w:val="clear"/>
                <w:lang w:val="fr-BE"/>
              </w:rPr>
              <w:t>SK</w:t>
            </w:r>
          </w:p>
          <w:p>
            <w:pPr>
              <w:pStyle w:val="Default"/>
              <w:keepNext/>
              <w:numPr>
                <w:ilvl w:val="0"/>
                <w:numId w:val="0"/>
              </w:numPr>
              <w:spacing w:lineRule="auto" w:line="276"/>
              <w:jc w:val="center"/>
              <w:outlineLvl w:val="0"/>
              <w:rPr>
                <w:b/>
                <w:b/>
                <w:bCs/>
                <w:color w:val="00000A"/>
                <w:sz w:val="20"/>
                <w:szCs w:val="20"/>
                <w:shd w:fill="FFFF00" w:val="clear"/>
                <w:lang w:val="fr-BE"/>
              </w:rPr>
            </w:pPr>
            <w:r>
              <w:rPr>
                <w:color w:val="00000A"/>
                <w:sz w:val="20"/>
                <w:szCs w:val="20"/>
                <w:shd w:fill="FFFF00" w:val="clear"/>
                <w:lang w:val="fr-BE"/>
              </w:rPr>
              <w:t>SI</w:t>
            </w:r>
          </w:p>
          <w:p>
            <w:pPr>
              <w:pStyle w:val="Default"/>
              <w:keepNext/>
              <w:numPr>
                <w:ilvl w:val="0"/>
                <w:numId w:val="0"/>
              </w:numPr>
              <w:spacing w:lineRule="auto" w:line="276"/>
              <w:jc w:val="center"/>
              <w:outlineLvl w:val="0"/>
              <w:rPr>
                <w:b/>
                <w:b/>
                <w:bCs/>
                <w:color w:val="00000A"/>
                <w:sz w:val="20"/>
                <w:szCs w:val="20"/>
                <w:shd w:fill="FFFF00" w:val="clear"/>
                <w:lang w:val="fr-BE"/>
              </w:rPr>
            </w:pPr>
            <w:r>
              <w:rPr>
                <w:color w:val="00000A"/>
                <w:sz w:val="20"/>
                <w:szCs w:val="20"/>
                <w:shd w:fill="FFFF00" w:val="clear"/>
                <w:lang w:val="fr-BE"/>
              </w:rPr>
              <w:t>ES</w:t>
            </w:r>
          </w:p>
          <w:p>
            <w:pPr>
              <w:pStyle w:val="Default"/>
              <w:keepNext/>
              <w:numPr>
                <w:ilvl w:val="0"/>
                <w:numId w:val="0"/>
              </w:numPr>
              <w:spacing w:lineRule="auto" w:line="276"/>
              <w:jc w:val="center"/>
              <w:outlineLvl w:val="0"/>
              <w:rPr>
                <w:color w:val="00000A"/>
                <w:sz w:val="20"/>
                <w:szCs w:val="20"/>
                <w:shd w:fill="FFFF00" w:val="clear"/>
                <w:lang w:val="fr-BE"/>
              </w:rPr>
            </w:pPr>
            <w:r>
              <w:rPr>
                <w:color w:val="00000A"/>
                <w:sz w:val="20"/>
                <w:szCs w:val="20"/>
                <w:shd w:fill="FFFF00" w:val="clear"/>
                <w:lang w:val="fr-BE"/>
              </w:rPr>
              <w:t>SE</w:t>
            </w:r>
          </w:p>
          <w:p>
            <w:pPr>
              <w:pStyle w:val="Default"/>
              <w:spacing w:lineRule="auto" w:line="276"/>
              <w:jc w:val="center"/>
              <w:rPr>
                <w:color w:val="00000A"/>
                <w:sz w:val="20"/>
                <w:szCs w:val="20"/>
                <w:shd w:fill="FFFF00" w:val="clear"/>
              </w:rPr>
            </w:pPr>
            <w:r>
              <w:rPr>
                <w:color w:val="00000A"/>
                <w:sz w:val="20"/>
                <w:szCs w:val="20"/>
                <w:shd w:fill="FFFF00" w:val="clear"/>
              </w:rPr>
              <w:t>UK</w:t>
            </w:r>
          </w:p>
        </w:tc>
        <w:tc>
          <w:tcPr>
            <w:tcW w:w="5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Default"/>
              <w:spacing w:lineRule="auto" w:line="276"/>
              <w:rPr/>
            </w:pPr>
            <w:hyperlink r:id="rId6">
              <w:r>
                <w:rPr>
                  <w:rStyle w:val="InternetLink"/>
                  <w:rFonts w:cs="Arial"/>
                  <w:sz w:val="20"/>
                  <w:szCs w:val="20"/>
                  <w:shd w:fill="FFFF00" w:val="clear"/>
                </w:rPr>
                <w:t>http://cdr.eionet.europa.eu/at/eu/ied/annex1</w:t>
              </w:r>
            </w:hyperlink>
          </w:p>
          <w:p>
            <w:pPr>
              <w:pStyle w:val="Default"/>
              <w:spacing w:lineRule="auto" w:line="276"/>
              <w:rPr/>
            </w:pPr>
            <w:hyperlink r:id="rId7">
              <w:r>
                <w:rPr>
                  <w:rStyle w:val="InternetLink"/>
                  <w:rFonts w:cs="Arial"/>
                  <w:sz w:val="20"/>
                  <w:szCs w:val="20"/>
                  <w:shd w:fill="FFFF00" w:val="clear"/>
                </w:rPr>
                <w:t>http://cdr.eionet.europa.eu/be/eu/ied/annex1</w:t>
              </w:r>
            </w:hyperlink>
          </w:p>
          <w:p>
            <w:pPr>
              <w:pStyle w:val="Default"/>
              <w:spacing w:lineRule="auto" w:line="276"/>
              <w:rPr/>
            </w:pPr>
            <w:hyperlink r:id="rId8">
              <w:r>
                <w:rPr>
                  <w:rStyle w:val="InternetLink"/>
                  <w:rFonts w:cs="Arial"/>
                  <w:sz w:val="20"/>
                  <w:szCs w:val="20"/>
                  <w:shd w:fill="FFFF00" w:val="clear"/>
                </w:rPr>
                <w:t>http://cdr.eionet.europa.eu/bg/eu/ied/annex1</w:t>
              </w:r>
            </w:hyperlink>
          </w:p>
          <w:p>
            <w:pPr>
              <w:pStyle w:val="Default"/>
              <w:spacing w:lineRule="auto" w:line="276"/>
              <w:rPr/>
            </w:pPr>
            <w:hyperlink r:id="rId9">
              <w:r>
                <w:rPr>
                  <w:rStyle w:val="InternetLink"/>
                  <w:rFonts w:cs="Arial"/>
                  <w:sz w:val="20"/>
                  <w:szCs w:val="20"/>
                  <w:shd w:fill="FFFF00" w:val="clear"/>
                </w:rPr>
                <w:t>http://cdr.eionet.europa.eu/hr/eu/ied/annex1</w:t>
              </w:r>
            </w:hyperlink>
          </w:p>
          <w:p>
            <w:pPr>
              <w:pStyle w:val="Default"/>
              <w:spacing w:lineRule="auto" w:line="276"/>
              <w:rPr/>
            </w:pPr>
            <w:hyperlink r:id="rId10">
              <w:r>
                <w:rPr>
                  <w:rStyle w:val="InternetLink"/>
                  <w:rFonts w:cs="Arial"/>
                  <w:sz w:val="20"/>
                  <w:szCs w:val="20"/>
                  <w:shd w:fill="FFFF00" w:val="clear"/>
                </w:rPr>
                <w:t>http://cdr.eionet.europa.eu/cy/eu/ied/annex1</w:t>
              </w:r>
            </w:hyperlink>
          </w:p>
          <w:p>
            <w:pPr>
              <w:pStyle w:val="Default"/>
              <w:spacing w:lineRule="auto" w:line="276"/>
              <w:rPr/>
            </w:pPr>
            <w:hyperlink r:id="rId11">
              <w:r>
                <w:rPr>
                  <w:rStyle w:val="InternetLink"/>
                  <w:rFonts w:cs="Arial"/>
                  <w:sz w:val="20"/>
                  <w:szCs w:val="20"/>
                  <w:shd w:fill="FFFF00" w:val="clear"/>
                </w:rPr>
                <w:t>http://cdr.eionet.europa.eu/cz/eu/ied/annex1</w:t>
              </w:r>
            </w:hyperlink>
          </w:p>
          <w:p>
            <w:pPr>
              <w:pStyle w:val="Default"/>
              <w:spacing w:lineRule="auto" w:line="276"/>
              <w:rPr/>
            </w:pPr>
            <w:hyperlink r:id="rId12">
              <w:r>
                <w:rPr>
                  <w:rStyle w:val="InternetLink"/>
                  <w:rFonts w:cs="Arial"/>
                  <w:sz w:val="20"/>
                  <w:szCs w:val="20"/>
                  <w:shd w:fill="FFFF00" w:val="clear"/>
                </w:rPr>
                <w:t>http://cdr.eionet.europa.eu/dk/eu/ied/annex1</w:t>
              </w:r>
            </w:hyperlink>
          </w:p>
          <w:p>
            <w:pPr>
              <w:pStyle w:val="Default"/>
              <w:spacing w:lineRule="auto" w:line="276"/>
              <w:rPr/>
            </w:pPr>
            <w:hyperlink r:id="rId13">
              <w:r>
                <w:rPr>
                  <w:rStyle w:val="InternetLink"/>
                  <w:rFonts w:cs="Arial"/>
                  <w:sz w:val="20"/>
                  <w:szCs w:val="20"/>
                  <w:shd w:fill="FFFF00" w:val="clear"/>
                </w:rPr>
                <w:t>http://cdr.eionet.europa.eu/ee/eu/ied/annex1</w:t>
              </w:r>
            </w:hyperlink>
          </w:p>
          <w:p>
            <w:pPr>
              <w:pStyle w:val="Default"/>
              <w:spacing w:lineRule="auto" w:line="276"/>
              <w:rPr/>
            </w:pPr>
            <w:hyperlink r:id="rId14">
              <w:r>
                <w:rPr>
                  <w:rStyle w:val="InternetLink"/>
                  <w:rFonts w:cs="Arial"/>
                  <w:sz w:val="20"/>
                  <w:szCs w:val="20"/>
                  <w:shd w:fill="FFFF00" w:val="clear"/>
                </w:rPr>
                <w:t>http://cdr.eionet.europa.eu/fi/eu/ied/annex1</w:t>
              </w:r>
            </w:hyperlink>
          </w:p>
          <w:p>
            <w:pPr>
              <w:pStyle w:val="Default"/>
              <w:spacing w:lineRule="auto" w:line="276"/>
              <w:rPr/>
            </w:pPr>
            <w:hyperlink r:id="rId15">
              <w:r>
                <w:rPr>
                  <w:rStyle w:val="InternetLink"/>
                  <w:rFonts w:cs="Arial"/>
                  <w:sz w:val="20"/>
                  <w:szCs w:val="20"/>
                  <w:shd w:fill="FFFF00" w:val="clear"/>
                </w:rPr>
                <w:t>http://cdr.eionet.europa.eu/fr/eu/ied/annex1</w:t>
              </w:r>
            </w:hyperlink>
          </w:p>
          <w:p>
            <w:pPr>
              <w:pStyle w:val="Default"/>
              <w:spacing w:lineRule="auto" w:line="276"/>
              <w:rPr/>
            </w:pPr>
            <w:hyperlink r:id="rId16">
              <w:r>
                <w:rPr>
                  <w:rStyle w:val="InternetLink"/>
                  <w:rFonts w:cs="Arial"/>
                  <w:sz w:val="20"/>
                  <w:szCs w:val="20"/>
                  <w:shd w:fill="FFFF00" w:val="clear"/>
                </w:rPr>
                <w:t>http://cdr.eionet.europa.eu/de/eu/ied/annex1</w:t>
              </w:r>
            </w:hyperlink>
          </w:p>
          <w:p>
            <w:pPr>
              <w:pStyle w:val="Default"/>
              <w:spacing w:lineRule="auto" w:line="276"/>
              <w:rPr/>
            </w:pPr>
            <w:hyperlink r:id="rId17">
              <w:r>
                <w:rPr>
                  <w:rStyle w:val="InternetLink"/>
                  <w:rFonts w:cs="Arial"/>
                  <w:sz w:val="20"/>
                  <w:szCs w:val="20"/>
                  <w:shd w:fill="FFFF00" w:val="clear"/>
                </w:rPr>
                <w:t>http://cdr.eionet.europa.eu/gr/eu/ied/annex1</w:t>
              </w:r>
            </w:hyperlink>
          </w:p>
          <w:p>
            <w:pPr>
              <w:pStyle w:val="Default"/>
              <w:spacing w:lineRule="auto" w:line="276"/>
              <w:rPr/>
            </w:pPr>
            <w:hyperlink r:id="rId18">
              <w:r>
                <w:rPr>
                  <w:rStyle w:val="InternetLink"/>
                  <w:rFonts w:cs="Arial"/>
                  <w:sz w:val="20"/>
                  <w:szCs w:val="20"/>
                  <w:shd w:fill="FFFF00" w:val="clear"/>
                </w:rPr>
                <w:t>http://cdr.eionet.europa.eu/hu/eu/ied/annex1</w:t>
              </w:r>
            </w:hyperlink>
          </w:p>
          <w:p>
            <w:pPr>
              <w:pStyle w:val="Default"/>
              <w:spacing w:lineRule="auto" w:line="276"/>
              <w:rPr/>
            </w:pPr>
            <w:hyperlink r:id="rId19">
              <w:r>
                <w:rPr>
                  <w:rStyle w:val="InternetLink"/>
                  <w:rFonts w:cs="Arial"/>
                  <w:sz w:val="20"/>
                  <w:szCs w:val="20"/>
                  <w:shd w:fill="FFFF00" w:val="clear"/>
                </w:rPr>
                <w:t>http://cdr.eionet.europa.eu/is/eu/ied/annex1</w:t>
              </w:r>
            </w:hyperlink>
          </w:p>
          <w:p>
            <w:pPr>
              <w:pStyle w:val="Default"/>
              <w:spacing w:lineRule="auto" w:line="276"/>
              <w:rPr/>
            </w:pPr>
            <w:hyperlink r:id="rId20">
              <w:r>
                <w:rPr>
                  <w:rStyle w:val="InternetLink"/>
                  <w:rFonts w:cs="Arial"/>
                  <w:sz w:val="20"/>
                  <w:szCs w:val="20"/>
                  <w:shd w:fill="FFFF00" w:val="clear"/>
                </w:rPr>
                <w:t>http://cdr.eionet.europa.eu/ie/eu/ied/annex1</w:t>
              </w:r>
            </w:hyperlink>
          </w:p>
          <w:p>
            <w:pPr>
              <w:pStyle w:val="Default"/>
              <w:spacing w:lineRule="auto" w:line="276"/>
              <w:rPr/>
            </w:pPr>
            <w:hyperlink r:id="rId21">
              <w:r>
                <w:rPr>
                  <w:rStyle w:val="InternetLink"/>
                  <w:rFonts w:cs="Arial"/>
                  <w:sz w:val="20"/>
                  <w:szCs w:val="20"/>
                  <w:shd w:fill="FFFF00" w:val="clear"/>
                </w:rPr>
                <w:t>http://cdr.eionet.europa.eu/it/eu/ied/annex1</w:t>
              </w:r>
            </w:hyperlink>
          </w:p>
          <w:p>
            <w:pPr>
              <w:pStyle w:val="Default"/>
              <w:spacing w:lineRule="auto" w:line="276"/>
              <w:rPr/>
            </w:pPr>
            <w:hyperlink r:id="rId22">
              <w:r>
                <w:rPr>
                  <w:rStyle w:val="InternetLink"/>
                  <w:rFonts w:cs="Arial"/>
                  <w:sz w:val="20"/>
                  <w:szCs w:val="20"/>
                  <w:shd w:fill="FFFF00" w:val="clear"/>
                </w:rPr>
                <w:t>http://cdr.eionet.europa.eu/lv/eu/ied/annex1</w:t>
              </w:r>
            </w:hyperlink>
          </w:p>
          <w:p>
            <w:pPr>
              <w:pStyle w:val="Default"/>
              <w:spacing w:lineRule="auto" w:line="276"/>
              <w:rPr/>
            </w:pPr>
            <w:hyperlink r:id="rId23">
              <w:r>
                <w:rPr>
                  <w:rStyle w:val="InternetLink"/>
                  <w:rFonts w:cs="Arial"/>
                  <w:sz w:val="20"/>
                  <w:szCs w:val="20"/>
                  <w:shd w:fill="FFFF00" w:val="clear"/>
                </w:rPr>
                <w:t>http://cdr.eionet.europa.eu/li/eu/ied/annex1</w:t>
              </w:r>
            </w:hyperlink>
          </w:p>
          <w:p>
            <w:pPr>
              <w:pStyle w:val="Default"/>
              <w:spacing w:lineRule="auto" w:line="276"/>
              <w:rPr/>
            </w:pPr>
            <w:hyperlink r:id="rId24">
              <w:r>
                <w:rPr>
                  <w:rStyle w:val="InternetLink"/>
                  <w:rFonts w:cs="Arial"/>
                  <w:sz w:val="20"/>
                  <w:szCs w:val="20"/>
                  <w:shd w:fill="FFFF00" w:val="clear"/>
                </w:rPr>
                <w:t>http://cdr.eionet.europa.eu/lt/eu/ied/annex1</w:t>
              </w:r>
            </w:hyperlink>
          </w:p>
          <w:p>
            <w:pPr>
              <w:pStyle w:val="Default"/>
              <w:spacing w:lineRule="auto" w:line="276"/>
              <w:rPr/>
            </w:pPr>
            <w:hyperlink r:id="rId25">
              <w:r>
                <w:rPr>
                  <w:rStyle w:val="InternetLink"/>
                  <w:rFonts w:cs="Arial"/>
                  <w:sz w:val="20"/>
                  <w:szCs w:val="20"/>
                  <w:shd w:fill="FFFF00" w:val="clear"/>
                </w:rPr>
                <w:t>http://cdr.eionet.europa.eu/lu/eu/ied/annex1</w:t>
              </w:r>
            </w:hyperlink>
          </w:p>
          <w:p>
            <w:pPr>
              <w:pStyle w:val="Default"/>
              <w:spacing w:lineRule="auto" w:line="276"/>
              <w:rPr/>
            </w:pPr>
            <w:hyperlink r:id="rId26">
              <w:r>
                <w:rPr>
                  <w:rStyle w:val="InternetLink"/>
                  <w:rFonts w:cs="Arial"/>
                  <w:sz w:val="20"/>
                  <w:szCs w:val="20"/>
                  <w:shd w:fill="FFFF00" w:val="clear"/>
                </w:rPr>
                <w:t>http://cdr.eionet.europa.eu/mt/eu/ied/annex1</w:t>
              </w:r>
            </w:hyperlink>
          </w:p>
          <w:p>
            <w:pPr>
              <w:pStyle w:val="Default"/>
              <w:spacing w:lineRule="auto" w:line="276"/>
              <w:rPr/>
            </w:pPr>
            <w:hyperlink r:id="rId27">
              <w:r>
                <w:rPr>
                  <w:rStyle w:val="InternetLink"/>
                  <w:rFonts w:cs="Arial"/>
                  <w:sz w:val="20"/>
                  <w:szCs w:val="20"/>
                  <w:shd w:fill="FFFF00" w:val="clear"/>
                </w:rPr>
                <w:t>http://cdr.eionet.europa.eu/nl/eu/ied/annex1</w:t>
              </w:r>
            </w:hyperlink>
          </w:p>
          <w:p>
            <w:pPr>
              <w:pStyle w:val="Default"/>
              <w:spacing w:lineRule="auto" w:line="276"/>
              <w:rPr/>
            </w:pPr>
            <w:hyperlink r:id="rId28">
              <w:r>
                <w:rPr>
                  <w:rStyle w:val="InternetLink"/>
                  <w:rFonts w:cs="Arial"/>
                  <w:sz w:val="20"/>
                  <w:szCs w:val="20"/>
                  <w:shd w:fill="FFFF00" w:val="clear"/>
                </w:rPr>
                <w:t>http://cdr.eionet.europa.eu/no/eu/ied/annex1</w:t>
              </w:r>
            </w:hyperlink>
          </w:p>
          <w:p>
            <w:pPr>
              <w:pStyle w:val="Default"/>
              <w:spacing w:lineRule="auto" w:line="276"/>
              <w:rPr/>
            </w:pPr>
            <w:hyperlink r:id="rId29">
              <w:r>
                <w:rPr>
                  <w:rStyle w:val="InternetLink"/>
                  <w:rFonts w:cs="Arial"/>
                  <w:sz w:val="20"/>
                  <w:szCs w:val="20"/>
                  <w:shd w:fill="FFFF00" w:val="clear"/>
                </w:rPr>
                <w:t>http://cdr.eionet.europa.eu/pl/eu/ied/annex1</w:t>
              </w:r>
            </w:hyperlink>
          </w:p>
          <w:p>
            <w:pPr>
              <w:pStyle w:val="Default"/>
              <w:spacing w:lineRule="auto" w:line="276"/>
              <w:rPr/>
            </w:pPr>
            <w:hyperlink r:id="rId30">
              <w:r>
                <w:rPr>
                  <w:rStyle w:val="InternetLink"/>
                  <w:rFonts w:cs="Arial"/>
                  <w:sz w:val="20"/>
                  <w:szCs w:val="20"/>
                  <w:shd w:fill="FFFF00" w:val="clear"/>
                </w:rPr>
                <w:t>http://cdr.eionet.europa.eu/pt/eu/ied/annex1</w:t>
              </w:r>
            </w:hyperlink>
          </w:p>
          <w:p>
            <w:pPr>
              <w:pStyle w:val="Default"/>
              <w:spacing w:lineRule="auto" w:line="276"/>
              <w:rPr/>
            </w:pPr>
            <w:hyperlink r:id="rId31">
              <w:r>
                <w:rPr>
                  <w:rStyle w:val="InternetLink"/>
                  <w:rFonts w:cs="Arial"/>
                  <w:sz w:val="20"/>
                  <w:szCs w:val="20"/>
                  <w:shd w:fill="FFFF00" w:val="clear"/>
                </w:rPr>
                <w:t>http://cdr.eionet.europa.eu/ro/eu/ied/annex1</w:t>
              </w:r>
            </w:hyperlink>
          </w:p>
          <w:p>
            <w:pPr>
              <w:pStyle w:val="Default"/>
              <w:spacing w:lineRule="auto" w:line="276"/>
              <w:rPr/>
            </w:pPr>
            <w:hyperlink r:id="rId32">
              <w:r>
                <w:rPr>
                  <w:rStyle w:val="InternetLink"/>
                  <w:rFonts w:cs="Arial"/>
                  <w:sz w:val="20"/>
                  <w:szCs w:val="20"/>
                  <w:shd w:fill="FFFF00" w:val="clear"/>
                </w:rPr>
                <w:t>http://cdr.eionet.europa.eu/sk/eu/ied/annex1</w:t>
              </w:r>
            </w:hyperlink>
          </w:p>
          <w:p>
            <w:pPr>
              <w:pStyle w:val="Default"/>
              <w:spacing w:lineRule="auto" w:line="276"/>
              <w:rPr/>
            </w:pPr>
            <w:hyperlink r:id="rId33">
              <w:r>
                <w:rPr>
                  <w:rStyle w:val="InternetLink"/>
                  <w:rFonts w:cs="Arial"/>
                  <w:sz w:val="20"/>
                  <w:szCs w:val="20"/>
                  <w:shd w:fill="FFFF00" w:val="clear"/>
                </w:rPr>
                <w:t>http://cdr.eionet.europa.eu/si/eu/ied/annex1</w:t>
              </w:r>
            </w:hyperlink>
          </w:p>
          <w:p>
            <w:pPr>
              <w:pStyle w:val="Default"/>
              <w:spacing w:lineRule="auto" w:line="276"/>
              <w:rPr/>
            </w:pPr>
            <w:hyperlink r:id="rId34">
              <w:r>
                <w:rPr>
                  <w:rStyle w:val="InternetLink"/>
                  <w:rFonts w:cs="Arial"/>
                  <w:sz w:val="20"/>
                  <w:szCs w:val="20"/>
                  <w:shd w:fill="FFFF00" w:val="clear"/>
                </w:rPr>
                <w:t>http://cdr.eionet.europa.eu/es/eu/ied/annex1</w:t>
              </w:r>
            </w:hyperlink>
          </w:p>
          <w:p>
            <w:pPr>
              <w:pStyle w:val="Default"/>
              <w:spacing w:lineRule="auto" w:line="276"/>
              <w:rPr/>
            </w:pPr>
            <w:hyperlink r:id="rId35">
              <w:r>
                <w:rPr>
                  <w:rStyle w:val="InternetLink"/>
                  <w:rFonts w:cs="Arial"/>
                  <w:sz w:val="20"/>
                  <w:szCs w:val="20"/>
                  <w:shd w:fill="FFFF00" w:val="clear"/>
                </w:rPr>
                <w:t>http://cdr.eionet.europa.eu/se/eu/ied/annex1</w:t>
              </w:r>
            </w:hyperlink>
          </w:p>
          <w:p>
            <w:pPr>
              <w:pStyle w:val="Default"/>
              <w:spacing w:lineRule="auto" w:line="276"/>
              <w:rPr/>
            </w:pPr>
            <w:hyperlink r:id="rId36">
              <w:r>
                <w:rPr>
                  <w:rStyle w:val="InternetLink"/>
                  <w:rFonts w:cs="Arial"/>
                  <w:sz w:val="20"/>
                  <w:szCs w:val="20"/>
                  <w:shd w:fill="FFFF00" w:val="clear"/>
                </w:rPr>
                <w:t>http://cdr.eionet.europa.eu/gb/eu/ied/annex1</w:t>
              </w:r>
            </w:hyperlink>
          </w:p>
        </w:tc>
      </w:tr>
    </w:tbl>
    <w:p>
      <w:pPr>
        <w:pStyle w:val="Default"/>
        <w:jc w:val="both"/>
        <w:rPr>
          <w:color w:val="00000A"/>
          <w:sz w:val="20"/>
          <w:szCs w:val="20"/>
        </w:rPr>
      </w:pPr>
      <w:r>
        <w:rPr>
          <w:color w:val="00000A"/>
          <w:sz w:val="20"/>
          <w:szCs w:val="20"/>
        </w:rPr>
      </w:r>
    </w:p>
    <w:p>
      <w:pPr>
        <w:pStyle w:val="Default"/>
        <w:numPr>
          <w:ilvl w:val="0"/>
          <w:numId w:val="2"/>
        </w:numPr>
        <w:ind w:left="357" w:hanging="357"/>
        <w:jc w:val="both"/>
        <w:rPr>
          <w:rFonts w:cs="Times New Roman"/>
          <w:b/>
          <w:b/>
          <w:bCs/>
          <w:color w:val="00000A"/>
          <w:lang w:eastAsia="en-US"/>
        </w:rPr>
      </w:pPr>
      <w:r>
        <w:rPr>
          <w:rFonts w:cs="Times New Roman"/>
          <w:b/>
          <w:bCs/>
          <w:color w:val="00000A"/>
          <w:lang w:eastAsia="en-US"/>
        </w:rPr>
        <w:t>Step 3: Create a new envelope</w:t>
      </w:r>
    </w:p>
    <w:p>
      <w:pPr>
        <w:pStyle w:val="Default"/>
        <w:spacing w:lineRule="auto" w:line="276"/>
        <w:rPr>
          <w:color w:val="00000A"/>
          <w:sz w:val="20"/>
          <w:szCs w:val="20"/>
        </w:rPr>
      </w:pPr>
      <w:r>
        <w:rPr>
          <w:color w:val="00000A"/>
          <w:sz w:val="20"/>
          <w:szCs w:val="20"/>
        </w:rPr>
      </w:r>
    </w:p>
    <w:p>
      <w:pPr>
        <w:pStyle w:val="Default"/>
        <w:spacing w:lineRule="auto" w:line="276"/>
        <w:rPr>
          <w:color w:val="00000A"/>
          <w:sz w:val="20"/>
          <w:szCs w:val="20"/>
        </w:rPr>
      </w:pPr>
      <w:r>
        <w:rPr>
          <w:color w:val="00000A"/>
          <w:sz w:val="20"/>
          <w:szCs w:val="20"/>
        </w:rPr>
        <w:t xml:space="preserve">Now </w:t>
      </w:r>
      <w:r>
        <w:rPr>
          <w:b/>
          <w:color w:val="00000A"/>
          <w:sz w:val="20"/>
          <w:szCs w:val="20"/>
        </w:rPr>
        <w:t>create a new envelope</w:t>
      </w:r>
      <w:r>
        <w:rPr>
          <w:color w:val="00000A"/>
          <w:sz w:val="20"/>
          <w:szCs w:val="20"/>
        </w:rPr>
        <w:t xml:space="preserve"> which will contain your data delivery by clicking on the button ‘New envelope’ at the upper right corner of the screen:</w:t>
      </w:r>
    </w:p>
    <w:p>
      <w:pPr>
        <w:pStyle w:val="Default"/>
        <w:jc w:val="both"/>
        <w:rPr>
          <w:color w:val="00000A"/>
          <w:sz w:val="20"/>
          <w:szCs w:val="20"/>
        </w:rPr>
      </w:pPr>
      <w: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6120130" cy="360172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7"/>
                    <a:stretch>
                      <a:fillRect/>
                    </a:stretch>
                  </pic:blipFill>
                  <pic:spPr bwMode="auto">
                    <a:xfrm>
                      <a:off x="0" y="0"/>
                      <a:ext cx="6120130" cy="3601720"/>
                    </a:xfrm>
                    <a:prstGeom prst="rect">
                      <a:avLst/>
                    </a:prstGeom>
                    <a:noFill/>
                    <a:ln w="9525">
                      <a:noFill/>
                      <a:miter lim="800000"/>
                      <a:headEnd/>
                      <a:tailEnd/>
                    </a:ln>
                  </pic:spPr>
                </pic:pic>
              </a:graphicData>
            </a:graphic>
          </wp:anchor>
        </w:drawing>
      </w:r>
    </w:p>
    <w:p>
      <w:pPr>
        <w:pStyle w:val="Heading1"/>
        <w:rPr>
          <w:rFonts w:cs="Arial"/>
          <w:b w:val="false"/>
          <w:b w:val="false"/>
          <w:bCs w:val="false"/>
          <w:sz w:val="20"/>
          <w:szCs w:val="20"/>
          <w:lang w:val="en-GB" w:eastAsia="en-GB"/>
        </w:rPr>
      </w:pPr>
      <w:r>
        <w:rPr>
          <w:rFonts w:cs="Arial"/>
          <w:b w:val="false"/>
          <w:bCs w:val="false"/>
          <w:sz w:val="20"/>
          <w:szCs w:val="20"/>
          <w:lang w:val="en-GB" w:eastAsia="en-GB"/>
        </w:rPr>
        <w:t>Provide meaningful metadata about your delivery on the “Add Envelope” page. At least “Title” and “Relating to which year” fields have to be filled in.</w:t>
      </w:r>
    </w:p>
    <w:p>
      <w:pPr>
        <w:pStyle w:val="Heading1"/>
        <w:rPr/>
      </w:pPr>
      <w:r>
        <w:rPr>
          <w:rFonts w:cs="Arial"/>
          <w:b w:val="false"/>
          <w:bCs w:val="false"/>
          <w:sz w:val="20"/>
          <w:szCs w:val="20"/>
          <w:lang w:val="en-GB" w:eastAsia="en-GB"/>
        </w:rPr>
        <w:t xml:space="preserve">The Envelope title should briefly summarise the delivery by providing the information about the reporting country, obligation and year. Then it will be easier for the reporter and other stakeholders to find the delivery.  </w:t>
      </w:r>
      <w:r>
        <w:rPr>
          <w:rFonts w:cs="Arial"/>
          <w:b w:val="false"/>
          <w:bCs w:val="false"/>
          <w:sz w:val="20"/>
          <w:szCs w:val="20"/>
          <w:shd w:fill="auto" w:val="clear"/>
          <w:lang w:val="en-GB" w:eastAsia="en-GB"/>
        </w:rPr>
        <w:t xml:space="preserve">“Relating to which year” indicates the period the report will cover. The report to be delivered in </w:t>
      </w:r>
      <w:r>
        <w:rPr>
          <w:rFonts w:cs="Arial"/>
          <w:b w:val="false"/>
          <w:bCs w:val="false"/>
          <w:sz w:val="20"/>
          <w:szCs w:val="20"/>
          <w:shd w:fill="auto" w:val="clear"/>
          <w:lang w:val="en-GB" w:eastAsia="en-GB"/>
        </w:rPr>
        <w:t>March</w:t>
      </w:r>
      <w:r>
        <w:rPr>
          <w:rFonts w:cs="Arial"/>
          <w:b w:val="false"/>
          <w:bCs w:val="false"/>
          <w:sz w:val="20"/>
          <w:szCs w:val="20"/>
          <w:shd w:fill="auto" w:val="clear"/>
          <w:lang w:val="en-GB" w:eastAsia="en-GB"/>
        </w:rPr>
        <w:t xml:space="preserve"> 201</w:t>
      </w:r>
      <w:r>
        <w:rPr>
          <w:rFonts w:cs="Arial"/>
          <w:b w:val="false"/>
          <w:bCs w:val="false"/>
          <w:sz w:val="20"/>
          <w:szCs w:val="20"/>
          <w:shd w:fill="auto" w:val="clear"/>
          <w:lang w:val="en-GB" w:eastAsia="en-GB"/>
        </w:rPr>
        <w:t>5</w:t>
      </w:r>
      <w:r>
        <w:rPr>
          <w:rFonts w:cs="Arial"/>
          <w:b w:val="false"/>
          <w:bCs w:val="false"/>
          <w:sz w:val="20"/>
          <w:szCs w:val="20"/>
          <w:shd w:fill="auto" w:val="clear"/>
          <w:lang w:val="en-GB" w:eastAsia="en-GB"/>
        </w:rPr>
        <w:t xml:space="preserve"> is for the year 201</w:t>
      </w:r>
      <w:r>
        <w:rPr>
          <w:rFonts w:cs="Arial"/>
          <w:b w:val="false"/>
          <w:bCs w:val="false"/>
          <w:sz w:val="20"/>
          <w:szCs w:val="20"/>
          <w:shd w:fill="auto" w:val="clear"/>
          <w:lang w:val="en-GB" w:eastAsia="en-GB"/>
        </w:rPr>
        <w:t>4</w:t>
      </w:r>
      <w:r>
        <w:rPr>
          <w:rFonts w:cs="Arial"/>
          <w:b w:val="false"/>
          <w:bCs w:val="false"/>
          <w:sz w:val="20"/>
          <w:szCs w:val="20"/>
          <w:shd w:fill="auto" w:val="clear"/>
          <w:lang w:val="en-GB" w:eastAsia="en-GB"/>
        </w:rPr>
        <w:t>.</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6120130" cy="353822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8"/>
                    <a:stretch>
                      <a:fillRect/>
                    </a:stretch>
                  </pic:blipFill>
                  <pic:spPr bwMode="auto">
                    <a:xfrm>
                      <a:off x="0" y="0"/>
                      <a:ext cx="6120130" cy="3538220"/>
                    </a:xfrm>
                    <a:prstGeom prst="rect">
                      <a:avLst/>
                    </a:prstGeom>
                    <a:noFill/>
                    <a:ln w="9525">
                      <a:noFill/>
                      <a:miter lim="800000"/>
                      <a:headEnd/>
                      <a:tailEnd/>
                    </a:ln>
                  </pic:spPr>
                </pic:pic>
              </a:graphicData>
            </a:graphic>
          </wp:anchor>
        </w:drawing>
      </w:r>
    </w:p>
    <w:p>
      <w:pPr>
        <w:pStyle w:val="Normal"/>
        <w:rPr/>
      </w:pPr>
      <w:r>
        <w:rPr/>
        <w:t>After clicking "Add" button the envelope is created and listed in th</w:t>
      </w:r>
      <w:r>
        <w:rPr>
          <w:shd w:fill="auto" w:val="clear"/>
        </w:rPr>
        <w:t xml:space="preserve">e </w:t>
      </w:r>
      <w:r>
        <w:rPr>
          <w:shd w:fill="auto" w:val="clear"/>
        </w:rPr>
        <w:t>MMR</w:t>
      </w:r>
      <w:r>
        <w:rPr>
          <w:shd w:fill="auto" w:val="clear"/>
        </w:rPr>
        <w:t xml:space="preserve"> </w:t>
      </w:r>
      <w:r>
        <w:rPr>
          <w:shd w:fill="auto" w:val="clear"/>
        </w:rPr>
        <w:t xml:space="preserve">Annex </w:t>
      </w:r>
      <w:r>
        <w:rPr/>
        <w:t xml:space="preserve">XI </w:t>
      </w:r>
      <w:r>
        <w:rPr/>
        <w:t>reporting folder.</w:t>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6120130" cy="354393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39"/>
                    <a:stretch>
                      <a:fillRect/>
                    </a:stretch>
                  </pic:blipFill>
                  <pic:spPr bwMode="auto">
                    <a:xfrm>
                      <a:off x="0" y="0"/>
                      <a:ext cx="6120130" cy="3543935"/>
                    </a:xfrm>
                    <a:prstGeom prst="rect">
                      <a:avLst/>
                    </a:prstGeom>
                    <a:noFill/>
                    <a:ln w="9525">
                      <a:noFill/>
                      <a:miter lim="800000"/>
                      <a:headEnd/>
                      <a:tailEnd/>
                    </a:ln>
                  </pic:spPr>
                </pic:pic>
              </a:graphicData>
            </a:graphic>
          </wp:anchor>
        </w:drawing>
      </w:r>
    </w:p>
    <w:p>
      <w:pPr>
        <w:pStyle w:val="Default"/>
        <w:ind w:left="357" w:hanging="0"/>
        <w:jc w:val="both"/>
        <w:rPr>
          <w:rFonts w:cs="Times New Roman"/>
          <w:b/>
          <w:b/>
          <w:bCs/>
          <w:color w:val="00000A"/>
          <w:lang w:eastAsia="en-US"/>
        </w:rPr>
      </w:pPr>
      <w:r>
        <w:rPr>
          <w:rFonts w:cs="Times New Roman"/>
          <w:b/>
          <w:bCs/>
          <w:color w:val="00000A"/>
          <w:lang w:eastAsia="en-US"/>
        </w:rPr>
      </w:r>
    </w:p>
    <w:p>
      <w:pPr>
        <w:pStyle w:val="Default"/>
        <w:numPr>
          <w:ilvl w:val="0"/>
          <w:numId w:val="2"/>
        </w:numPr>
        <w:ind w:left="357" w:hanging="357"/>
        <w:jc w:val="both"/>
        <w:rPr>
          <w:rFonts w:cs="Times New Roman"/>
          <w:b/>
          <w:b/>
          <w:bCs/>
          <w:color w:val="00000A"/>
          <w:lang w:eastAsia="en-US"/>
        </w:rPr>
      </w:pPr>
      <w:r>
        <w:rPr>
          <w:rFonts w:cs="Times New Roman"/>
          <w:b/>
          <w:bCs/>
          <w:color w:val="00000A"/>
          <w:lang w:eastAsia="en-US"/>
        </w:rPr>
        <w:t>Step 4: Activate the task</w:t>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t xml:space="preserve">The way to start the work in the envelope is to enter the envelope by clicking on the envelope name and activate the </w:t>
      </w:r>
      <w:r>
        <w:rPr>
          <w:rFonts w:cs="Arial" w:ascii="Arial" w:hAnsi="Arial"/>
          <w:b/>
          <w:sz w:val="20"/>
          <w:szCs w:val="20"/>
        </w:rPr>
        <w:t>Draft</w:t>
      </w:r>
      <w:r>
        <w:rPr>
          <w:rFonts w:cs="Arial" w:ascii="Arial" w:hAnsi="Arial"/>
          <w:sz w:val="20"/>
          <w:szCs w:val="20"/>
        </w:rPr>
        <w:t xml:space="preserve"> task by clicking on the &lt;</w:t>
      </w:r>
      <w:r>
        <w:rPr>
          <w:rFonts w:cs="Arial" w:ascii="Arial" w:hAnsi="Arial"/>
          <w:i/>
          <w:sz w:val="20"/>
          <w:szCs w:val="20"/>
        </w:rPr>
        <w:t>Activate task: Draft</w:t>
      </w:r>
      <w:r>
        <w:rPr>
          <w:rFonts w:cs="Arial" w:ascii="Arial" w:hAnsi="Arial"/>
          <w:sz w:val="20"/>
          <w:szCs w:val="20"/>
        </w:rPr>
        <w:t>&gt; link or by pressing the &lt;</w:t>
      </w:r>
      <w:r>
        <w:rPr>
          <w:rFonts w:cs="Arial" w:ascii="Arial" w:hAnsi="Arial"/>
          <w:i/>
          <w:sz w:val="20"/>
          <w:szCs w:val="20"/>
        </w:rPr>
        <w:t>Activate task</w:t>
      </w:r>
      <w:r>
        <w:rPr>
          <w:rFonts w:cs="Arial" w:ascii="Arial" w:hAnsi="Arial"/>
          <w:sz w:val="20"/>
          <w:szCs w:val="20"/>
        </w:rPr>
        <w:t>&gt; button.</w:t>
      </w:r>
    </w:p>
    <w:p>
      <w:pPr>
        <w:pStyle w:val="Normal"/>
        <w:spacing w:before="0" w:after="0"/>
        <w:rPr>
          <w:rFonts w:ascii="Arial" w:hAnsi="Arial" w:cs="Arial"/>
          <w:sz w:val="20"/>
          <w:szCs w:val="20"/>
        </w:rPr>
      </w:pPr>
      <w:r>
        <w:rPr>
          <w:rFonts w:cs="Arial" w:ascii="Arial" w:hAnsi="Arial"/>
          <w:sz w:val="20"/>
          <w:szCs w:val="20"/>
        </w:rPr>
        <w:t>Activating means that you have reserved the envelope for yourself to work on. Other users will not be able to modify it until the envelope is deactivated or released. Your new envelope is now in Draft status and files can be added.</w:t>
      </w:r>
    </w:p>
    <w:p>
      <w:pPr>
        <w:pStyle w:val="Normal"/>
        <w:spacing w:before="0" w:after="0"/>
        <w:rPr>
          <w:rFonts w:ascii="Arial" w:hAnsi="Arial" w:cs="Arial"/>
          <w:sz w:val="20"/>
          <w:szCs w:val="20"/>
        </w:rPr>
      </w:pPr>
      <w:r>
        <w:rPr>
          <w:rFonts w:cs="Arial" w:ascii="Arial" w:hAnsi="Arial"/>
          <w:sz w:val="20"/>
          <w:szCs w:val="20"/>
        </w:rPr>
      </w:r>
    </w:p>
    <w:p>
      <w:pPr>
        <w:pStyle w:val="Normal"/>
        <w:rPr/>
      </w:pPr>
      <w:r>
        <w:rPr/>
      </w:r>
    </w:p>
    <w:p>
      <w:pPr>
        <w:pStyle w:val="Normal"/>
        <w:spacing w:before="0" w:after="0"/>
        <w:rPr>
          <w:rFonts w:ascii="Arial" w:hAnsi="Arial" w:cs="Arial"/>
          <w:sz w:val="20"/>
          <w:szCs w:val="20"/>
        </w:rPr>
      </w:pPr>
      <w:r>
        <w:rPr>
          <w:rFonts w:cs="Arial" w:ascii="Arial" w:hAnsi="Arial"/>
          <w:sz w:val="20"/>
          <w:szCs w:val="20"/>
        </w:rPr>
      </w:r>
    </w:p>
    <w:p>
      <w:pPr>
        <w:pStyle w:val="Normal"/>
        <w:spacing w:before="0" w:after="0"/>
        <w:rPr>
          <w:rFonts w:ascii="Arial" w:hAnsi="Arial" w:cs="Arial"/>
          <w:sz w:val="20"/>
          <w:szCs w:val="20"/>
        </w:rPr>
      </w:pPr>
      <w:r>
        <w:rPr>
          <w:rFonts w:cs="Arial" w:ascii="Arial" w:hAnsi="Arial"/>
          <w:sz w:val="20"/>
          <w:szCs w:val="20"/>
        </w:rPr>
      </w:r>
    </w:p>
    <w:p>
      <w:pPr>
        <w:pStyle w:val="Normal"/>
        <w:spacing w:before="0" w:after="0"/>
        <w:rPr>
          <w:rFonts w:ascii="Arial" w:hAnsi="Arial" w:cs="Arial"/>
          <w:sz w:val="20"/>
          <w:szCs w:val="20"/>
        </w:rPr>
      </w:pPr>
      <w:r>
        <w:rPr>
          <w:rFonts w:cs="Arial" w:ascii="Arial" w:hAnsi="Arial"/>
          <w:sz w:val="20"/>
          <w:szCs w:val="20"/>
        </w:rPr>
      </w:r>
    </w:p>
    <w:p>
      <w:pPr>
        <w:pStyle w:val="Default"/>
        <w:numPr>
          <w:ilvl w:val="0"/>
          <w:numId w:val="2"/>
        </w:numPr>
        <w:ind w:left="357" w:hanging="357"/>
        <w:jc w:val="both"/>
        <w:rPr>
          <w:rFonts w:cs="Times New Roman"/>
          <w:b/>
          <w:b/>
          <w:bCs/>
          <w:color w:val="00000A"/>
          <w:lang w:eastAsia="en-US"/>
        </w:rPr>
      </w:pPr>
      <w:r>
        <w:rPr>
          <w:rFonts w:cs="Times New Roman"/>
          <w:b/>
          <w:bCs/>
          <w:color w:val="00000A"/>
          <w:lang w:eastAsia="en-US"/>
        </w:rPr>
        <w:t>Step 5 Start to fill out the online questionnaire</w:t>
      </w:r>
    </w:p>
    <w:p>
      <w:pPr>
        <w:pStyle w:val="Normal"/>
        <w:spacing w:before="0" w:after="0"/>
        <w:rPr>
          <w:rFonts w:ascii="Arial" w:hAnsi="Arial" w:cs="Arial"/>
          <w:sz w:val="20"/>
          <w:szCs w:val="20"/>
        </w:rPr>
      </w:pPr>
      <w:r>
        <w:rPr>
          <w:rFonts w:cs="Arial" w:ascii="Arial" w:hAnsi="Arial"/>
          <w:sz w:val="20"/>
          <w:szCs w:val="20"/>
        </w:rPr>
      </w:r>
    </w:p>
    <w:p>
      <w:pPr>
        <w:pStyle w:val="Normal"/>
        <w:spacing w:before="0" w:after="0"/>
        <w:rPr>
          <w:rFonts w:ascii="Arial" w:hAnsi="Arial" w:cs="Arial"/>
          <w:sz w:val="20"/>
          <w:szCs w:val="20"/>
        </w:rPr>
      </w:pPr>
      <w:r>
        <w:rPr>
          <w:rFonts w:cs="Arial" w:ascii="Arial" w:hAnsi="Arial"/>
          <w:sz w:val="20"/>
          <w:szCs w:val="20"/>
        </w:rPr>
        <w:t>The next step is to fill in your report by using the online questionnaire, which can be achieved by clicking on the link on top of the envelope:</w:t>
      </w:r>
    </w:p>
    <w:p>
      <w:pPr>
        <w:pStyle w:val="Normal"/>
        <w:spacing w:before="0" w:after="0"/>
        <w:rPr>
          <w:rFonts w:ascii="Arial" w:hAnsi="Arial" w:cs="Arial"/>
          <w:sz w:val="20"/>
          <w:szCs w:val="20"/>
          <w:shd w:fill="FFFF00" w:val="clear"/>
        </w:rPr>
      </w:pPr>
      <w:r>
        <w:rPr>
          <w:rFonts w:cs="Arial" w:ascii="Arial" w:hAnsi="Arial"/>
          <w:sz w:val="20"/>
          <w:szCs w:val="20"/>
          <w:shd w:fill="FFFF00" w:val="clear"/>
        </w:rPr>
      </w:r>
    </w:p>
    <w:p>
      <w:pPr>
        <w:pStyle w:val="Normal"/>
        <w:spacing w:before="0" w:after="0"/>
        <w:rPr>
          <w:rFonts w:ascii="Arial" w:hAnsi="Arial" w:cs="Arial"/>
          <w:sz w:val="20"/>
          <w:szCs w:val="20"/>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6120130" cy="357187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40"/>
                    <a:stretch>
                      <a:fillRect/>
                    </a:stretch>
                  </pic:blipFill>
                  <pic:spPr bwMode="auto">
                    <a:xfrm>
                      <a:off x="0" y="0"/>
                      <a:ext cx="6120130" cy="3571875"/>
                    </a:xfrm>
                    <a:prstGeom prst="rect">
                      <a:avLst/>
                    </a:prstGeom>
                    <a:noFill/>
                    <a:ln w="9525">
                      <a:noFill/>
                      <a:miter lim="800000"/>
                      <a:headEnd/>
                      <a:tailEnd/>
                    </a:ln>
                  </pic:spPr>
                </pic:pic>
              </a:graphicData>
            </a:graphic>
          </wp:anchor>
        </w:drawing>
      </w:r>
    </w:p>
    <w:p>
      <w:pPr>
        <w:pStyle w:val="Normal"/>
        <w:spacing w:before="0" w:after="0"/>
        <w:rPr>
          <w:rFonts w:ascii="Arial" w:hAnsi="Arial" w:cs="Arial"/>
          <w:sz w:val="20"/>
          <w:szCs w:val="20"/>
        </w:rPr>
      </w:pPr>
      <w:r>
        <w:rPr>
          <w:rFonts w:cs="Arial" w:ascii="Arial" w:hAnsi="Arial"/>
          <w:sz w:val="20"/>
          <w:szCs w:val="20"/>
        </w:rPr>
      </w:r>
    </w:p>
    <w:p>
      <w:pPr>
        <w:pStyle w:val="TextBody"/>
        <w:spacing w:lineRule="auto" w:line="276"/>
        <w:jc w:val="both"/>
        <w:rPr>
          <w:rFonts w:ascii="Arial" w:hAnsi="Arial" w:cs="Arial"/>
          <w:sz w:val="20"/>
          <w:szCs w:val="20"/>
          <w:lang w:val="en-GB"/>
        </w:rPr>
      </w:pPr>
      <w: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6120130" cy="316420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41"/>
                    <a:stretch>
                      <a:fillRect/>
                    </a:stretch>
                  </pic:blipFill>
                  <pic:spPr bwMode="auto">
                    <a:xfrm>
                      <a:off x="0" y="0"/>
                      <a:ext cx="6120130" cy="3164205"/>
                    </a:xfrm>
                    <a:prstGeom prst="rect">
                      <a:avLst/>
                    </a:prstGeom>
                    <a:noFill/>
                    <a:ln w="9525">
                      <a:noFill/>
                      <a:miter lim="800000"/>
                      <a:headEnd/>
                      <a:tailEnd/>
                    </a:ln>
                  </pic:spPr>
                </pic:pic>
              </a:graphicData>
            </a:graphic>
          </wp:anchor>
        </w:drawing>
      </w:r>
      <w:r>
        <w:rPr>
          <w:rFonts w:cs="Arial" w:ascii="Arial" w:hAnsi="Arial"/>
          <w:sz w:val="20"/>
          <w:szCs w:val="20"/>
          <w:lang w:val="en-GB"/>
        </w:rPr>
        <w:t>It takes some seconds to load up the questionnaire. After opening the questionnaire you will see the following screen:</w:t>
      </w:r>
    </w:p>
    <w:p>
      <w:pPr>
        <w:pStyle w:val="Normal"/>
        <w:spacing w:before="0" w:after="0"/>
        <w:rPr>
          <w:rFonts w:ascii="Arial" w:hAnsi="Arial" w:cs="Arial"/>
          <w:sz w:val="20"/>
          <w:szCs w:val="20"/>
        </w:rPr>
      </w:pPr>
      <w:r>
        <w:rPr>
          <w:rFonts w:cs="Arial" w:ascii="Arial" w:hAnsi="Arial"/>
          <w:sz w:val="20"/>
          <w:szCs w:val="20"/>
        </w:rPr>
      </w:r>
    </w:p>
    <w:p>
      <w:pPr>
        <w:pStyle w:val="Normal"/>
        <w:rPr/>
      </w:pPr>
      <w:r>
        <w:rPr/>
      </w:r>
    </w:p>
    <w:p>
      <w:pPr>
        <w:pStyle w:val="Normal"/>
        <w:spacing w:before="240" w:after="0"/>
        <w:jc w:val="both"/>
        <w:rPr>
          <w:rFonts w:ascii="Arial" w:hAnsi="Arial" w:cs="Arial"/>
          <w:b/>
          <w:b/>
          <w:sz w:val="24"/>
          <w:szCs w:val="24"/>
        </w:rPr>
      </w:pPr>
      <w:r>
        <w:rPr>
          <w:rFonts w:cs="Arial" w:ascii="Arial" w:hAnsi="Arial"/>
          <w:b/>
          <w:sz w:val="24"/>
          <w:szCs w:val="24"/>
        </w:rPr>
        <w:t>General principles of using the online questionnaire</w:t>
      </w:r>
    </w:p>
    <w:p>
      <w:pPr>
        <w:pStyle w:val="Normal"/>
        <w:spacing w:before="240" w:after="0"/>
        <w:jc w:val="both"/>
        <w:rPr/>
      </w:pPr>
      <w: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6120130" cy="309308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42"/>
                    <a:stretch>
                      <a:fillRect/>
                    </a:stretch>
                  </pic:blipFill>
                  <pic:spPr bwMode="auto">
                    <a:xfrm>
                      <a:off x="0" y="0"/>
                      <a:ext cx="6120130" cy="3093085"/>
                    </a:xfrm>
                    <a:prstGeom prst="rect">
                      <a:avLst/>
                    </a:prstGeom>
                    <a:noFill/>
                    <a:ln w="9525">
                      <a:noFill/>
                      <a:miter lim="800000"/>
                      <a:headEnd/>
                      <a:tailEnd/>
                    </a:ln>
                  </pic:spPr>
                </pic:pic>
              </a:graphicData>
            </a:graphic>
          </wp:anchor>
        </w:drawing>
      </w:r>
      <w:r>
        <w:rPr>
          <w:rFonts w:cs="Arial" w:ascii="Arial" w:hAnsi="Arial"/>
          <w:sz w:val="20"/>
          <w:szCs w:val="20"/>
        </w:rPr>
        <w:t xml:space="preserve">The questionnaire </w:t>
      </w:r>
      <w:r>
        <w:rPr>
          <w:rFonts w:cs="Arial" w:ascii="Arial" w:hAnsi="Arial"/>
          <w:sz w:val="20"/>
          <w:szCs w:val="20"/>
        </w:rPr>
        <w:t>has a top navigation bar that includes all of the Policies or Measures (PAMs) and group of PAMs.It is also divided into 4</w:t>
      </w:r>
      <w:r>
        <w:rPr>
          <w:rFonts w:cs="Arial" w:ascii="Arial" w:hAnsi="Arial"/>
          <w:sz w:val="20"/>
          <w:szCs w:val="20"/>
        </w:rPr>
        <w:t xml:space="preserve"> </w:t>
      </w:r>
      <w:r>
        <w:rPr>
          <w:rFonts w:cs="Arial" w:ascii="Arial" w:hAnsi="Arial"/>
          <w:sz w:val="20"/>
          <w:szCs w:val="20"/>
        </w:rPr>
        <w:t>Tables</w:t>
      </w:r>
      <w:r>
        <w:rPr>
          <w:rFonts w:cs="Arial" w:ascii="Arial" w:hAnsi="Arial"/>
          <w:sz w:val="20"/>
          <w:szCs w:val="20"/>
        </w:rPr>
        <w:t xml:space="preserve"> (</w:t>
      </w:r>
      <w:r>
        <w:rPr>
          <w:rFonts w:cs="Arial" w:ascii="Arial" w:hAnsi="Arial"/>
          <w:sz w:val="20"/>
          <w:szCs w:val="20"/>
        </w:rPr>
        <w:t>Overview,</w:t>
      </w:r>
      <w:r>
        <w:rPr>
          <w:rFonts w:cs="Arial" w:ascii="Arial" w:hAnsi="Arial"/>
          <w:sz w:val="20"/>
          <w:szCs w:val="20"/>
        </w:rPr>
        <w:t xml:space="preserve"> </w:t>
      </w:r>
      <w:r>
        <w:rPr>
          <w:rFonts w:cs="Arial" w:ascii="Arial" w:hAnsi="Arial"/>
          <w:sz w:val="20"/>
          <w:szCs w:val="20"/>
        </w:rPr>
        <w:t xml:space="preserve">Table 1, </w:t>
      </w:r>
      <w:r>
        <w:rPr>
          <w:rFonts w:cs="Arial" w:ascii="Arial" w:hAnsi="Arial"/>
          <w:sz w:val="20"/>
          <w:szCs w:val="20"/>
        </w:rPr>
        <w:t>Table2,</w:t>
      </w:r>
      <w:r>
        <w:rPr>
          <w:rFonts w:cs="Arial" w:ascii="Arial" w:hAnsi="Arial"/>
          <w:sz w:val="20"/>
          <w:szCs w:val="20"/>
        </w:rPr>
        <w:t xml:space="preserve"> </w:t>
      </w:r>
      <w:r>
        <w:rPr>
          <w:rFonts w:cs="Arial" w:ascii="Arial" w:hAnsi="Arial"/>
          <w:sz w:val="20"/>
          <w:szCs w:val="20"/>
        </w:rPr>
        <w:t>Table</w:t>
      </w:r>
      <w:r>
        <w:rPr>
          <w:rFonts w:cs="Arial" w:ascii="Arial" w:hAnsi="Arial"/>
          <w:sz w:val="20"/>
          <w:szCs w:val="20"/>
        </w:rPr>
        <w:t xml:space="preserve"> </w:t>
      </w:r>
      <w:r>
        <w:rPr>
          <w:rFonts w:cs="Arial" w:ascii="Arial" w:hAnsi="Arial"/>
          <w:sz w:val="20"/>
          <w:szCs w:val="20"/>
        </w:rPr>
        <w:t>3</w:t>
      </w:r>
      <w:r>
        <w:rPr>
          <w:rFonts w:cs="Arial" w:ascii="Arial" w:hAnsi="Arial"/>
          <w:sz w:val="20"/>
          <w:szCs w:val="20"/>
        </w:rPr>
        <w:t>) and it has common areas which are always visible.</w:t>
      </w:r>
    </w:p>
    <w:p>
      <w:pPr>
        <w:pStyle w:val="Normal"/>
        <w:spacing w:before="240" w:after="0"/>
        <w:jc w:val="both"/>
        <w:rPr/>
      </w:pPr>
      <w:r>
        <w:rPr>
          <w:rFonts w:cs="Arial" w:ascii="Arial" w:hAnsi="Arial"/>
          <w:b/>
          <w:sz w:val="20"/>
          <w:szCs w:val="20"/>
        </w:rPr>
        <w:t>Navigation</w:t>
      </w:r>
    </w:p>
    <w:p>
      <w:pPr>
        <w:pStyle w:val="Normal"/>
        <w:spacing w:before="240" w:after="0"/>
        <w:jc w:val="both"/>
        <w:rPr/>
      </w:pPr>
      <w:r>
        <w:rPr>
          <w:rFonts w:cs="Arial" w:ascii="Arial" w:hAnsi="Arial"/>
          <w:b/>
          <w:bCs/>
          <w:sz w:val="20"/>
          <w:szCs w:val="20"/>
        </w:rPr>
        <w:t xml:space="preserve">-   </w:t>
      </w:r>
      <w:r>
        <w:rPr>
          <w:rFonts w:cs="Arial" w:ascii="Arial" w:hAnsi="Arial"/>
          <w:b w:val="false"/>
          <w:bCs w:val="false"/>
          <w:sz w:val="20"/>
          <w:szCs w:val="20"/>
        </w:rPr>
        <w:t xml:space="preserve">To add a new PAM or Group of PAMs click on the button next to the </w:t>
      </w:r>
      <w:r>
        <w:rPr>
          <w:rFonts w:cs="Arial" w:ascii="Arial" w:hAnsi="Arial"/>
          <w:b/>
          <w:bCs/>
          <w:sz w:val="20"/>
          <w:szCs w:val="20"/>
        </w:rPr>
        <w:t>top navigation bar</w:t>
      </w:r>
      <w:r>
        <w:rPr>
          <w:rFonts w:cs="Arial" w:ascii="Arial" w:hAnsi="Arial"/>
          <w:b w:val="false"/>
          <w:bCs w:val="false"/>
          <w:sz w:val="20"/>
          <w:szCs w:val="20"/>
        </w:rPr>
        <w:t xml:space="preserve"> with label “Add Single” to add an individual PAM or “Add Group” to add a Group of PAMs</w:t>
      </w:r>
    </w:p>
    <w:p>
      <w:pPr>
        <w:pStyle w:val="Normal"/>
        <w:spacing w:before="240" w:after="0"/>
        <w:jc w:val="both"/>
        <w:rPr/>
      </w:pPr>
      <w:r>
        <w:rPr>
          <w:rFonts w:cs="Arial" w:ascii="Arial" w:hAnsi="Arial"/>
          <w:b/>
          <w:bCs w:val="false"/>
          <w:sz w:val="20"/>
          <w:szCs w:val="20"/>
        </w:rPr>
        <w:t xml:space="preserve">-  </w:t>
      </w:r>
      <w:r>
        <w:rPr>
          <w:rFonts w:cs="Arial" w:ascii="Arial" w:hAnsi="Arial"/>
          <w:b w:val="false"/>
          <w:bCs w:val="false"/>
          <w:sz w:val="20"/>
          <w:szCs w:val="20"/>
        </w:rPr>
        <w:t xml:space="preserve">To view or edit a different PAM or Group of PAMs click on the number of PAM at the </w:t>
      </w:r>
      <w:r>
        <w:rPr>
          <w:rFonts w:cs="Arial" w:ascii="Arial" w:hAnsi="Arial"/>
          <w:b/>
          <w:bCs/>
          <w:sz w:val="20"/>
          <w:szCs w:val="20"/>
        </w:rPr>
        <w:t>top   navigation bar.</w:t>
      </w:r>
    </w:p>
    <w:p>
      <w:pPr>
        <w:pStyle w:val="Normal"/>
        <w:numPr>
          <w:ilvl w:val="0"/>
          <w:numId w:val="1"/>
        </w:numPr>
        <w:spacing w:before="240" w:after="0"/>
        <w:jc w:val="both"/>
        <w:rPr/>
      </w:pPr>
      <w:r>
        <w:rPr>
          <w:rFonts w:cs="Arial" w:ascii="Arial" w:hAnsi="Arial"/>
          <w:sz w:val="20"/>
          <w:szCs w:val="20"/>
        </w:rPr>
        <w:t xml:space="preserve">All the forms are accessible from the (tabs) below the </w:t>
      </w:r>
      <w:r>
        <w:rPr>
          <w:rFonts w:cs="Arial" w:ascii="Arial" w:hAnsi="Arial"/>
          <w:b/>
          <w:sz w:val="20"/>
          <w:szCs w:val="20"/>
        </w:rPr>
        <w:t>top navigation bar</w:t>
      </w:r>
      <w:r>
        <w:rPr>
          <w:rFonts w:cs="Arial" w:ascii="Arial" w:hAnsi="Arial"/>
          <w:sz w:val="20"/>
          <w:szCs w:val="20"/>
        </w:rPr>
        <w:t xml:space="preserve">. The active form tab is displayed </w:t>
      </w:r>
      <w:r>
        <w:rPr>
          <w:rFonts w:cs="Arial" w:ascii="Arial" w:hAnsi="Arial"/>
          <w:sz w:val="20"/>
          <w:szCs w:val="20"/>
        </w:rPr>
        <w:t>as a small cloud with a light blue color</w:t>
      </w:r>
      <w:r>
        <w:rPr>
          <w:rFonts w:cs="Arial" w:ascii="Arial" w:hAnsi="Arial"/>
          <w:sz w:val="20"/>
          <w:szCs w:val="20"/>
        </w:rPr>
        <w:t>.</w:t>
      </w:r>
    </w:p>
    <w:p>
      <w:pPr>
        <w:pStyle w:val="Normal"/>
        <w:numPr>
          <w:ilvl w:val="0"/>
          <w:numId w:val="1"/>
        </w:numPr>
        <w:spacing w:before="240" w:after="0"/>
        <w:ind w:left="357" w:hanging="357"/>
        <w:jc w:val="both"/>
        <w:rPr/>
      </w:pPr>
      <w:r>
        <w:rPr>
          <w:rFonts w:cs="Arial" w:ascii="Arial" w:hAnsi="Arial"/>
          <w:sz w:val="20"/>
          <w:szCs w:val="20"/>
        </w:rPr>
        <w:t xml:space="preserve">The </w:t>
      </w:r>
      <w:r>
        <w:rPr>
          <w:rFonts w:cs="Arial" w:ascii="Arial" w:hAnsi="Arial"/>
          <w:b/>
          <w:sz w:val="20"/>
          <w:szCs w:val="20"/>
        </w:rPr>
        <w:t>bottom navigation bar</w:t>
      </w:r>
      <w:r>
        <w:rPr>
          <w:rFonts w:cs="Arial" w:ascii="Arial" w:hAnsi="Arial"/>
          <w:sz w:val="20"/>
          <w:szCs w:val="20"/>
        </w:rPr>
        <w:t xml:space="preserve"> under the reporting form contains links to </w:t>
      </w:r>
      <w:r>
        <w:rPr>
          <w:rFonts w:cs="Arial" w:ascii="Arial" w:hAnsi="Arial"/>
          <w:b/>
          <w:sz w:val="20"/>
          <w:szCs w:val="20"/>
        </w:rPr>
        <w:t>save</w:t>
      </w:r>
      <w:r>
        <w:rPr>
          <w:rFonts w:cs="Arial" w:ascii="Arial" w:hAnsi="Arial"/>
          <w:sz w:val="20"/>
          <w:szCs w:val="20"/>
        </w:rPr>
        <w:t xml:space="preserve"> and </w:t>
      </w:r>
      <w:r>
        <w:rPr>
          <w:rFonts w:cs="Arial" w:ascii="Arial" w:hAnsi="Arial"/>
          <w:b/>
          <w:sz w:val="20"/>
          <w:szCs w:val="20"/>
        </w:rPr>
        <w:t>p</w:t>
      </w:r>
      <w:r>
        <w:rPr>
          <w:rFonts w:cs="Arial" w:ascii="Arial" w:hAnsi="Arial"/>
          <w:b/>
          <w:sz w:val="20"/>
          <w:szCs w:val="20"/>
        </w:rPr>
        <w:t>rint preview</w:t>
      </w:r>
      <w:r>
        <w:rPr>
          <w:rFonts w:cs="Arial" w:ascii="Arial" w:hAnsi="Arial"/>
          <w:sz w:val="20"/>
          <w:szCs w:val="20"/>
        </w:rPr>
        <w:t xml:space="preserve">. </w:t>
      </w:r>
      <w:r>
        <w:rPr>
          <w:rFonts w:cs="Arial" w:ascii="Arial" w:hAnsi="Arial"/>
          <w:sz w:val="20"/>
          <w:szCs w:val="20"/>
        </w:rPr>
        <w:t xml:space="preserve">You can also disable validation by clicking the </w:t>
      </w:r>
      <w:r>
        <w:rPr>
          <w:rFonts w:cs="Arial" w:ascii="Arial" w:hAnsi="Arial"/>
          <w:b/>
          <w:bCs/>
          <w:sz w:val="20"/>
          <w:szCs w:val="20"/>
        </w:rPr>
        <w:t>validation switch</w:t>
      </w:r>
      <w:r>
        <w:rPr>
          <w:rFonts w:cs="Arial" w:ascii="Arial" w:hAnsi="Arial"/>
          <w:sz w:val="20"/>
          <w:szCs w:val="20"/>
        </w:rPr>
        <w:t>. If Validation is enabled, the switch will have a green color to indicate it is selected.</w:t>
      </w:r>
      <w:r>
        <w:rPr>
          <w:rFonts w:cs="Arial" w:ascii="Arial" w:hAnsi="Arial"/>
          <w:sz w:val="20"/>
          <w:szCs w:val="20"/>
        </w:rPr>
        <w:t xml:space="preserve"> </w:t>
      </w:r>
    </w:p>
    <w:p>
      <w:pPr>
        <w:pStyle w:val="Normal"/>
        <w:spacing w:before="240" w:after="0"/>
        <w:jc w:val="both"/>
        <w:rPr/>
      </w:pPr>
      <w:r>
        <w:rPr>
          <w:rFonts w:cs="Arial" w:ascii="Arial" w:hAnsi="Arial"/>
          <w:b/>
          <w:sz w:val="20"/>
          <w:szCs w:val="20"/>
        </w:rPr>
        <w:t>Tables and Buttons</w:t>
      </w:r>
    </w:p>
    <w:p>
      <w:pPr>
        <w:pStyle w:val="Normal"/>
        <w:spacing w:before="240" w:after="0"/>
        <w:jc w:val="both"/>
        <w:rPr>
          <w:shd w:fill="auto" w:val="clear"/>
        </w:rPr>
      </w:pPr>
      <w:r>
        <w:rPr>
          <w:rFonts w:cs="Arial" w:ascii="Arial" w:hAnsi="Arial"/>
          <w:b/>
          <w:sz w:val="20"/>
          <w:szCs w:val="20"/>
          <w:shd w:fill="auto" w:val="clear"/>
        </w:rPr>
        <w:t>Overview</w:t>
      </w:r>
      <w:r>
        <w:rPr>
          <w:rFonts w:cs="Arial" w:ascii="Arial" w:hAnsi="Arial"/>
          <w:sz w:val="20"/>
          <w:szCs w:val="20"/>
          <w:shd w:fill="auto" w:val="clear"/>
        </w:rPr>
        <w:t xml:space="preserve"> – </w:t>
      </w:r>
      <w:r>
        <w:rPr>
          <w:rFonts w:cs="Arial" w:ascii="Arial" w:hAnsi="Arial"/>
          <w:sz w:val="20"/>
          <w:szCs w:val="20"/>
          <w:shd w:fill="auto" w:val="clear"/>
        </w:rPr>
        <w:t xml:space="preserve">Overview of every PAM or Group of PAMs </w:t>
      </w:r>
      <w:r>
        <w:rPr>
          <w:rFonts w:cs="Arial" w:ascii="Arial" w:hAnsi="Arial"/>
          <w:sz w:val="20"/>
          <w:szCs w:val="20"/>
          <w:shd w:fill="auto" w:val="clear"/>
        </w:rPr>
        <w:t xml:space="preserve">and </w:t>
      </w:r>
      <w:r>
        <w:rPr>
          <w:rFonts w:cs="Arial" w:ascii="Arial" w:hAnsi="Arial"/>
          <w:sz w:val="20"/>
          <w:szCs w:val="20"/>
          <w:shd w:fill="auto" w:val="clear"/>
        </w:rPr>
        <w:t xml:space="preserve">validation </w:t>
      </w:r>
      <w:r>
        <w:rPr>
          <w:rFonts w:cs="Arial" w:ascii="Arial" w:hAnsi="Arial"/>
          <w:sz w:val="20"/>
          <w:szCs w:val="20"/>
          <w:shd w:fill="auto" w:val="clear"/>
        </w:rPr>
        <w:t xml:space="preserve">information </w:t>
      </w:r>
      <w:r>
        <w:rPr>
          <w:rFonts w:cs="Arial" w:ascii="Arial" w:hAnsi="Arial"/>
          <w:sz w:val="20"/>
          <w:szCs w:val="20"/>
          <w:shd w:fill="auto" w:val="clear"/>
        </w:rPr>
        <w:t>about each table.</w:t>
      </w:r>
    </w:p>
    <w:p>
      <w:pPr>
        <w:pStyle w:val="Normal"/>
        <w:numPr>
          <w:ilvl w:val="0"/>
          <w:numId w:val="1"/>
        </w:numPr>
        <w:spacing w:before="240" w:after="0"/>
        <w:rPr>
          <w:shd w:fill="auto" w:val="clear"/>
        </w:rPr>
      </w:pPr>
      <w:r>
        <w:rPr>
          <w:rFonts w:cs="Arial" w:ascii="Arial" w:hAnsi="Arial"/>
          <w:b/>
          <w:sz w:val="20"/>
          <w:szCs w:val="20"/>
          <w:shd w:fill="auto" w:val="clear"/>
        </w:rPr>
        <w:t>Table</w:t>
      </w:r>
      <w:r>
        <w:rPr>
          <w:rFonts w:cs="Arial" w:ascii="Arial" w:hAnsi="Arial"/>
          <w:b/>
          <w:sz w:val="20"/>
          <w:szCs w:val="20"/>
          <w:shd w:fill="auto" w:val="clear"/>
        </w:rPr>
        <w:t xml:space="preserve"> 1</w:t>
      </w:r>
      <w:r>
        <w:rPr>
          <w:rFonts w:cs="Arial" w:ascii="Arial" w:hAnsi="Arial"/>
          <w:sz w:val="20"/>
          <w:szCs w:val="20"/>
          <w:shd w:fill="auto" w:val="clear"/>
        </w:rPr>
        <w:t xml:space="preserve"> – </w:t>
      </w:r>
      <w:r>
        <w:rPr>
          <w:rFonts w:cs="Arial" w:ascii="Arial" w:hAnsi="Arial"/>
          <w:sz w:val="20"/>
          <w:szCs w:val="20"/>
          <w:shd w:fill="auto" w:val="clear"/>
        </w:rPr>
        <w:t>Sectors and gases for reporting on policies and measures and groups of measures, and type of policy instrument</w:t>
      </w:r>
    </w:p>
    <w:p>
      <w:pPr>
        <w:pStyle w:val="Normal"/>
        <w:numPr>
          <w:ilvl w:val="0"/>
          <w:numId w:val="1"/>
        </w:numPr>
        <w:spacing w:before="240" w:after="0"/>
        <w:rPr>
          <w:shd w:fill="auto" w:val="clear"/>
        </w:rPr>
      </w:pPr>
      <w:r>
        <w:rPr>
          <w:rFonts w:cs="Arial" w:ascii="Arial" w:hAnsi="Arial"/>
          <w:b/>
          <w:sz w:val="20"/>
          <w:szCs w:val="20"/>
          <w:shd w:fill="auto" w:val="clear"/>
        </w:rPr>
        <w:t>Table</w:t>
      </w:r>
      <w:r>
        <w:rPr>
          <w:rFonts w:cs="Arial" w:ascii="Arial" w:hAnsi="Arial"/>
          <w:b/>
          <w:sz w:val="20"/>
          <w:szCs w:val="20"/>
          <w:shd w:fill="auto" w:val="clear"/>
        </w:rPr>
        <w:t xml:space="preserve"> 2</w:t>
      </w:r>
      <w:r>
        <w:rPr>
          <w:rFonts w:cs="Arial" w:ascii="Arial" w:hAnsi="Arial"/>
          <w:sz w:val="20"/>
          <w:szCs w:val="20"/>
          <w:shd w:fill="auto" w:val="clear"/>
        </w:rPr>
        <w:t xml:space="preserve"> – </w:t>
      </w:r>
      <w:r>
        <w:rPr>
          <w:rFonts w:cs="Arial" w:ascii="Arial" w:hAnsi="Arial"/>
          <w:sz w:val="20"/>
          <w:szCs w:val="20"/>
          <w:shd w:fill="auto" w:val="clear"/>
        </w:rPr>
        <w:t>Available results of ex-ante and ex-post assessments of the effects of individual or groups of policies and measures on mitigation of climate change</w:t>
      </w:r>
    </w:p>
    <w:p>
      <w:pPr>
        <w:pStyle w:val="Normal"/>
        <w:numPr>
          <w:ilvl w:val="0"/>
          <w:numId w:val="1"/>
        </w:numPr>
        <w:spacing w:before="240" w:after="0"/>
        <w:rPr>
          <w:shd w:fill="auto" w:val="clear"/>
        </w:rPr>
      </w:pPr>
      <w:r>
        <w:rPr>
          <w:rFonts w:cs="Arial" w:ascii="Arial" w:hAnsi="Arial"/>
          <w:b/>
          <w:sz w:val="20"/>
          <w:szCs w:val="20"/>
          <w:shd w:fill="auto" w:val="clear"/>
        </w:rPr>
        <w:t>Table</w:t>
      </w:r>
      <w:r>
        <w:rPr>
          <w:rFonts w:cs="Arial" w:ascii="Arial" w:hAnsi="Arial"/>
          <w:b/>
          <w:sz w:val="20"/>
          <w:szCs w:val="20"/>
          <w:shd w:fill="auto" w:val="clear"/>
        </w:rPr>
        <w:t xml:space="preserve"> 3</w:t>
      </w:r>
      <w:r>
        <w:rPr>
          <w:rFonts w:cs="Arial" w:ascii="Arial" w:hAnsi="Arial"/>
          <w:sz w:val="20"/>
          <w:szCs w:val="20"/>
          <w:shd w:fill="auto" w:val="clear"/>
        </w:rPr>
        <w:t xml:space="preserve"> – </w:t>
      </w:r>
      <w:r>
        <w:rPr>
          <w:rFonts w:cs="Arial" w:ascii="Arial" w:hAnsi="Arial"/>
          <w:sz w:val="20"/>
          <w:szCs w:val="20"/>
          <w:shd w:fill="auto" w:val="clear"/>
        </w:rPr>
        <w:t>Available projected and realised costs and benefits of individual or groups of policies and measures on mitigation of climate change</w:t>
      </w:r>
    </w:p>
    <w:p>
      <w:pPr>
        <w:pStyle w:val="Normal"/>
        <w:rPr>
          <w:rFonts w:ascii="Arial" w:hAnsi="Arial" w:cs="Arial"/>
          <w:b/>
          <w:b/>
          <w:sz w:val="20"/>
          <w:szCs w:val="20"/>
        </w:rPr>
      </w:pPr>
      <w:r>
        <w:rPr>
          <w:rFonts w:cs="Arial" w:ascii="Arial" w:hAnsi="Arial"/>
          <w:b/>
          <w:sz w:val="20"/>
          <w:szCs w:val="20"/>
        </w:rPr>
      </w:r>
    </w:p>
    <w:p>
      <w:pPr>
        <w:pStyle w:val="Normal"/>
        <w:rPr>
          <w:rFonts w:ascii="Arial" w:hAnsi="Arial" w:cs="Arial"/>
          <w:b/>
          <w:b/>
          <w:sz w:val="20"/>
          <w:szCs w:val="20"/>
        </w:rPr>
      </w:pPr>
      <w:r>
        <w:rPr>
          <w:rFonts w:cs="Arial" w:ascii="Arial" w:hAnsi="Arial"/>
          <w:b/>
          <w:sz w:val="20"/>
          <w:szCs w:val="20"/>
        </w:rPr>
        <w:t xml:space="preserve">Language selections </w:t>
      </w:r>
    </w:p>
    <w:p>
      <w:pPr>
        <w:pStyle w:val="Normal"/>
        <w:numPr>
          <w:ilvl w:val="0"/>
          <w:numId w:val="1"/>
        </w:numPr>
        <w:rPr>
          <w:rFonts w:ascii="Arial" w:hAnsi="Arial" w:cs="Arial"/>
          <w:b/>
          <w:b/>
          <w:sz w:val="20"/>
          <w:szCs w:val="20"/>
        </w:rPr>
      </w:pPr>
      <w:r>
        <w:rPr>
          <w:rFonts w:cs="Arial" w:ascii="Arial" w:hAnsi="Arial"/>
          <w:b/>
          <w:sz w:val="20"/>
          <w:szCs w:val="20"/>
        </w:rPr>
        <w:t>Questions language</w:t>
      </w:r>
      <w:r>
        <w:rPr>
          <w:rFonts w:cs="Arial" w:ascii="Arial" w:hAnsi="Arial"/>
          <w:sz w:val="20"/>
          <w:szCs w:val="20"/>
        </w:rPr>
        <w:t xml:space="preserve"> - if you prefer to read the questions in any official language then use the language selection in top right corner </w:t>
      </w:r>
    </w:p>
    <w:p>
      <w:pPr>
        <w:pStyle w:val="Normal"/>
        <w:numPr>
          <w:ilvl w:val="0"/>
          <w:numId w:val="1"/>
        </w:numPr>
        <w:rPr>
          <w:shd w:fill="auto" w:val="clear"/>
        </w:rPr>
      </w:pPr>
      <w:r>
        <w:rPr>
          <w:rFonts w:cs="Arial" w:ascii="Arial" w:hAnsi="Arial"/>
          <w:b/>
          <w:sz w:val="20"/>
          <w:szCs w:val="20"/>
          <w:shd w:fill="auto" w:val="clear"/>
        </w:rPr>
        <w:t>Reporting language</w:t>
      </w:r>
      <w:r>
        <w:rPr>
          <w:rFonts w:cs="Arial" w:ascii="Arial" w:hAnsi="Arial"/>
          <w:sz w:val="20"/>
          <w:szCs w:val="20"/>
          <w:shd w:fill="auto" w:val="clear"/>
        </w:rPr>
        <w:t xml:space="preserve"> – Please state the language that is used for reporting using the field on the Intro page accordingly.</w:t>
      </w:r>
    </w:p>
    <w:p>
      <w:pPr>
        <w:pStyle w:val="Normal"/>
        <w:rPr>
          <w:rFonts w:ascii="Arial" w:hAnsi="Arial" w:cs="Arial"/>
          <w:b/>
          <w:b/>
          <w:sz w:val="20"/>
          <w:szCs w:val="20"/>
        </w:rPr>
      </w:pPr>
      <w:r>
        <w:rPr>
          <w:rFonts w:cs="Arial" w:ascii="Arial" w:hAnsi="Arial"/>
          <w:b/>
          <w:sz w:val="20"/>
          <w:szCs w:val="20"/>
        </w:rPr>
        <w:t>Action buttons</w:t>
      </w:r>
    </w:p>
    <w:p>
      <w:pPr>
        <w:pStyle w:val="Normal"/>
        <w:numPr>
          <w:ilvl w:val="0"/>
          <w:numId w:val="1"/>
        </w:numPr>
        <w:rPr>
          <w:rFonts w:ascii="Arial" w:hAnsi="Arial" w:cs="Arial"/>
          <w:sz w:val="20"/>
          <w:szCs w:val="20"/>
        </w:rPr>
      </w:pPr>
      <w:r>
        <w:rPr>
          <w:rFonts w:cs="Arial" w:ascii="Arial" w:hAnsi="Arial"/>
          <w:b/>
          <w:sz w:val="20"/>
          <w:szCs w:val="20"/>
        </w:rPr>
        <w:t xml:space="preserve">Save </w:t>
      </w:r>
      <w:r>
        <w:rPr>
          <w:rFonts w:cs="Arial" w:ascii="Arial" w:hAnsi="Arial"/>
          <w:sz w:val="20"/>
          <w:szCs w:val="20"/>
        </w:rPr>
        <w:t>– saves the data in the CDR envelope in an XML file. All the input fields are validated before saving the file. The form warns you when you try to save invalid data. All errors are displayed in red.</w:t>
      </w:r>
    </w:p>
    <w:p>
      <w:pPr>
        <w:pStyle w:val="Normal"/>
        <w:numPr>
          <w:ilvl w:val="0"/>
          <w:numId w:val="1"/>
        </w:numPr>
        <w:rPr>
          <w:rFonts w:ascii="Arial" w:hAnsi="Arial" w:cs="Arial"/>
          <w:b/>
          <w:b/>
          <w:sz w:val="20"/>
          <w:szCs w:val="20"/>
        </w:rPr>
      </w:pPr>
      <w:r>
        <w:rPr>
          <w:rFonts w:cs="Arial" w:ascii="Arial" w:hAnsi="Arial"/>
          <w:b/>
          <w:sz w:val="20"/>
          <w:szCs w:val="20"/>
        </w:rPr>
        <w:t xml:space="preserve">Validation On/Off – </w:t>
      </w:r>
      <w:r>
        <w:rPr>
          <w:rFonts w:cs="Arial" w:ascii="Arial" w:hAnsi="Arial"/>
          <w:sz w:val="20"/>
          <w:szCs w:val="20"/>
        </w:rPr>
        <w:t>you can turn the validation on and off at any time to see if inserted data follow the rules. Validation is turned on automatically every time you save the form.</w:t>
      </w:r>
    </w:p>
    <w:p>
      <w:pPr>
        <w:pStyle w:val="Normal"/>
        <w:numPr>
          <w:ilvl w:val="0"/>
          <w:numId w:val="1"/>
        </w:numPr>
        <w:rPr>
          <w:rFonts w:ascii="Arial" w:hAnsi="Arial" w:cs="Arial"/>
          <w:b/>
          <w:b/>
          <w:sz w:val="20"/>
          <w:szCs w:val="20"/>
        </w:rPr>
      </w:pPr>
      <w:r>
        <w:rPr>
          <w:rFonts w:cs="Arial" w:ascii="Arial" w:hAnsi="Arial"/>
          <w:b/>
          <w:sz w:val="20"/>
          <w:szCs w:val="20"/>
        </w:rPr>
        <w:t xml:space="preserve">Close </w:t>
      </w:r>
      <w:r>
        <w:rPr>
          <w:rFonts w:cs="Arial" w:ascii="Arial" w:hAnsi="Arial"/>
          <w:sz w:val="20"/>
          <w:szCs w:val="20"/>
        </w:rPr>
        <w:t>– closes the online questionnaire and goes back to CDR envelope, after prompting you to save if necessary.</w:t>
      </w:r>
    </w:p>
    <w:p>
      <w:pPr>
        <w:pStyle w:val="Normal"/>
        <w:numPr>
          <w:ilvl w:val="0"/>
          <w:numId w:val="1"/>
        </w:numPr>
        <w:rPr>
          <w:rFonts w:ascii="Arial" w:hAnsi="Arial" w:cs="Arial"/>
          <w:b/>
          <w:b/>
          <w:sz w:val="20"/>
          <w:szCs w:val="20"/>
        </w:rPr>
      </w:pPr>
      <w:r>
        <w:rPr>
          <w:rFonts w:cs="Arial" w:ascii="Arial" w:hAnsi="Arial"/>
          <w:b/>
          <w:sz w:val="20"/>
          <w:szCs w:val="20"/>
        </w:rPr>
        <w:t>Print</w:t>
      </w:r>
      <w:r>
        <w:rPr>
          <w:rFonts w:cs="Arial" w:ascii="Arial" w:hAnsi="Arial"/>
          <w:sz w:val="20"/>
          <w:szCs w:val="20"/>
        </w:rPr>
        <w:t xml:space="preserve"> –</w:t>
      </w:r>
      <w:r>
        <w:rPr>
          <w:rFonts w:cs="Arial" w:ascii="Arial" w:hAnsi="Arial"/>
          <w:b/>
          <w:sz w:val="20"/>
          <w:szCs w:val="20"/>
        </w:rPr>
        <w:t xml:space="preserve"> </w:t>
      </w:r>
      <w:r>
        <w:rPr>
          <w:rFonts w:cs="Arial" w:ascii="Arial" w:hAnsi="Arial"/>
          <w:sz w:val="20"/>
          <w:szCs w:val="20"/>
        </w:rPr>
        <w:t>opens the questionnaire in printable format in a new window. NB You need to disable the pop-up blocker for this site if it is turned on.</w:t>
      </w:r>
    </w:p>
    <w:p>
      <w:pPr>
        <w:pStyle w:val="Normal"/>
        <w:rPr>
          <w:rFonts w:ascii="Arial" w:hAnsi="Arial" w:cs="Arial"/>
          <w:b/>
          <w:b/>
          <w:sz w:val="20"/>
          <w:szCs w:val="20"/>
        </w:rPr>
      </w:pPr>
      <w:r>
        <w:rPr>
          <w:rFonts w:cs="Arial" w:ascii="Arial" w:hAnsi="Arial"/>
          <w:b/>
          <w:sz w:val="20"/>
          <w:szCs w:val="20"/>
        </w:rPr>
      </w:r>
      <w:r>
        <w:br w:type="page"/>
      </w:r>
    </w:p>
    <w:p>
      <w:pPr>
        <w:pStyle w:val="Normal"/>
        <w:rPr>
          <w:rFonts w:ascii="Arial" w:hAnsi="Arial" w:cs="Arial"/>
          <w:b/>
          <w:b/>
          <w:sz w:val="20"/>
          <w:szCs w:val="20"/>
        </w:rPr>
      </w:pPr>
      <w:r>
        <w:rPr>
          <w:rFonts w:cs="Arial" w:ascii="Arial" w:hAnsi="Arial"/>
          <w:b/>
          <w:sz w:val="20"/>
          <w:szCs w:val="20"/>
        </w:rPr>
        <w:t>Data validation</w:t>
      </w:r>
    </w:p>
    <w:p>
      <w:pPr>
        <w:pStyle w:val="Normal"/>
        <w:rPr/>
      </w:pPr>
      <w:r>
        <w:rPr>
          <w:rFonts w:cs="Arial" w:ascii="Arial" w:hAnsi="Arial"/>
          <w:sz w:val="20"/>
          <w:szCs w:val="20"/>
        </w:rPr>
        <w:t xml:space="preserve">The form validates inserted data instantly. The input field is coloured red and respective error message appear next to the field, if the inserted value does not follow the validation rule. </w:t>
      </w:r>
      <w:r>
        <w:rPr>
          <w:rFonts w:cs="Arial" w:ascii="Arial" w:hAnsi="Arial"/>
          <w:sz w:val="20"/>
          <w:szCs w:val="20"/>
          <w:shd w:fill="9900FF" w:val="clear"/>
        </w:rPr>
        <w:t>The tab on the top navigation bar is coloured red if the respective form contains invalid data</w:t>
      </w:r>
      <w:r>
        <w:rPr>
          <w:rFonts w:cs="Arial" w:ascii="Arial" w:hAnsi="Arial"/>
          <w:sz w:val="20"/>
          <w:szCs w:val="20"/>
        </w:rPr>
        <w:t>. All the mandatory question have to be answered</w:t>
      </w:r>
      <w:r>
        <w:rPr>
          <w:rFonts w:cs="Arial" w:ascii="Arial" w:hAnsi="Arial"/>
          <w:sz w:val="20"/>
          <w:szCs w:val="20"/>
          <w:shd w:fill="auto" w:val="clear"/>
        </w:rPr>
        <w:t xml:space="preserve">. Answers to questions asking for internet links have to be valid URLs. Valid URLs are for example: http://www.google.com, </w:t>
      </w:r>
      <w:hyperlink r:id="rId43">
        <w:r>
          <w:rPr>
            <w:rStyle w:val="InternetLink"/>
            <w:rFonts w:cs="Arial" w:ascii="Arial" w:hAnsi="Arial"/>
            <w:sz w:val="20"/>
            <w:szCs w:val="20"/>
            <w:shd w:fill="auto" w:val="clear"/>
          </w:rPr>
          <w:t>www.google.com</w:t>
        </w:r>
      </w:hyperlink>
      <w:r>
        <w:rPr>
          <w:rFonts w:cs="Arial" w:ascii="Arial" w:hAnsi="Arial"/>
          <w:sz w:val="20"/>
          <w:szCs w:val="20"/>
          <w:shd w:fill="auto" w:val="clear"/>
        </w:rPr>
        <w:t>. Each internet link field can contain only one URL.</w:t>
      </w:r>
    </w:p>
    <w:p>
      <w:pPr>
        <w:pStyle w:val="Normal"/>
        <w:rPr>
          <w:b/>
          <w:b/>
        </w:rPr>
      </w:pPr>
      <w:r>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6120130" cy="216090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44"/>
                    <a:stretch>
                      <a:fillRect/>
                    </a:stretch>
                  </pic:blipFill>
                  <pic:spPr bwMode="auto">
                    <a:xfrm>
                      <a:off x="0" y="0"/>
                      <a:ext cx="6120130" cy="2160905"/>
                    </a:xfrm>
                    <a:prstGeom prst="rect">
                      <a:avLst/>
                    </a:prstGeom>
                    <a:noFill/>
                    <a:ln w="9525">
                      <a:noFill/>
                      <a:miter lim="800000"/>
                      <a:headEnd/>
                      <a:tailEnd/>
                    </a:ln>
                  </pic:spPr>
                </pic:pic>
              </a:graphicData>
            </a:graphic>
          </wp:anchor>
        </w:drawing>
      </w:r>
    </w:p>
    <w:p>
      <w:pPr>
        <w:pStyle w:val="Normal"/>
        <w:rPr>
          <w:rFonts w:ascii="Arial" w:hAnsi="Arial" w:cs="Arial"/>
          <w:b/>
          <w:b/>
          <w:sz w:val="20"/>
          <w:szCs w:val="20"/>
          <w:shd w:fill="FFFF00" w:val="clear"/>
        </w:rPr>
      </w:pPr>
      <w:r>
        <w:rPr>
          <w:rFonts w:cs="Arial" w:ascii="Arial" w:hAnsi="Arial"/>
          <w:b/>
          <w:sz w:val="20"/>
          <w:szCs w:val="20"/>
          <w:shd w:fill="auto" w:val="clear"/>
        </w:rPr>
        <w:t>Add further rows</w:t>
      </w:r>
    </w:p>
    <w:p>
      <w:pPr>
        <w:pStyle w:val="Normal"/>
        <w:rPr>
          <w:shd w:fill="auto" w:val="clear"/>
        </w:rPr>
      </w:pPr>
      <w:r>
        <w:rPr>
          <w:rFonts w:cs="Arial" w:ascii="Arial" w:hAnsi="Arial"/>
          <w:sz w:val="20"/>
          <w:szCs w:val="20"/>
          <w:shd w:fill="auto" w:val="clear"/>
        </w:rPr>
        <w:t xml:space="preserve">It is possible to add multiple rows as an answer to </w:t>
      </w:r>
      <w:r>
        <w:rPr>
          <w:rFonts w:cs="Arial" w:ascii="Arial" w:hAnsi="Arial"/>
          <w:sz w:val="20"/>
          <w:szCs w:val="20"/>
          <w:shd w:fill="auto" w:val="clear"/>
        </w:rPr>
        <w:t>some questions</w:t>
      </w:r>
      <w:r>
        <w:rPr>
          <w:rFonts w:cs="Arial" w:ascii="Arial" w:hAnsi="Arial"/>
          <w:sz w:val="20"/>
          <w:szCs w:val="20"/>
          <w:shd w:fill="auto" w:val="clear"/>
        </w:rPr>
        <w:t>. This can be achieved by clicking the “</w:t>
      </w:r>
      <w:r>
        <w:rPr>
          <w:rFonts w:cs="Arial" w:ascii="Arial" w:hAnsi="Arial"/>
          <w:b/>
          <w:sz w:val="20"/>
          <w:szCs w:val="20"/>
          <w:shd w:fill="auto" w:val="clear"/>
        </w:rPr>
        <w:t>Add</w:t>
      </w:r>
      <w:r>
        <w:rPr>
          <w:rFonts w:cs="Arial" w:ascii="Arial" w:hAnsi="Arial"/>
          <w:sz w:val="20"/>
          <w:szCs w:val="20"/>
          <w:shd w:fill="auto" w:val="clear"/>
        </w:rPr>
        <w:t xml:space="preserve">” button </w:t>
      </w:r>
      <w:r>
        <w:rPr>
          <w:rFonts w:cs="Arial" w:ascii="Arial" w:hAnsi="Arial"/>
          <w:sz w:val="20"/>
          <w:szCs w:val="20"/>
          <w:shd w:fill="auto" w:val="clear"/>
        </w:rPr>
        <w:t>next to</w:t>
      </w:r>
      <w:r>
        <w:rPr>
          <w:rFonts w:cs="Arial" w:ascii="Arial" w:hAnsi="Arial"/>
          <w:sz w:val="20"/>
          <w:szCs w:val="20"/>
          <w:shd w:fill="auto" w:val="clear"/>
        </w:rPr>
        <w:t xml:space="preserve"> the question </w:t>
      </w:r>
      <w:r>
        <w:rPr>
          <w:rFonts w:cs="Arial" w:ascii="Arial" w:hAnsi="Arial"/>
          <w:sz w:val="20"/>
          <w:szCs w:val="20"/>
          <w:shd w:fill="auto" w:val="clear"/>
        </w:rPr>
        <w:t>field</w:t>
      </w:r>
      <w:r>
        <w:rPr>
          <w:rFonts w:cs="Arial" w:ascii="Arial" w:hAnsi="Arial"/>
          <w:sz w:val="20"/>
          <w:szCs w:val="20"/>
          <w:shd w:fill="auto" w:val="clear"/>
        </w:rPr>
        <w:t>. A new empty row will be added to the table. If you have entered any row accidentally and you want to remove it, then press “</w:t>
      </w:r>
      <w:r>
        <w:rPr>
          <w:rFonts w:cs="Arial" w:ascii="Arial" w:hAnsi="Arial"/>
          <w:b/>
          <w:sz w:val="20"/>
          <w:szCs w:val="20"/>
          <w:shd w:fill="auto" w:val="clear"/>
        </w:rPr>
        <w:t>Remove</w:t>
      </w:r>
      <w:r>
        <w:rPr>
          <w:rFonts w:cs="Arial" w:ascii="Arial" w:hAnsi="Arial"/>
          <w:sz w:val="20"/>
          <w:szCs w:val="20"/>
          <w:shd w:fill="auto" w:val="clear"/>
        </w:rPr>
        <w:t>” button. All the data will be removed in selected row after confirmation.</w:t>
      </w:r>
    </w:p>
    <w:p>
      <w:pPr>
        <w:pStyle w:val="Normal"/>
        <w:rPr>
          <w:shd w:fill="FFFF00" w:val="clear"/>
        </w:rPr>
      </w:pPr>
      <w:r>
        <w:rP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6120130" cy="213169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45"/>
                    <a:stretch>
                      <a:fillRect/>
                    </a:stretch>
                  </pic:blipFill>
                  <pic:spPr bwMode="auto">
                    <a:xfrm>
                      <a:off x="0" y="0"/>
                      <a:ext cx="6120130" cy="2131695"/>
                    </a:xfrm>
                    <a:prstGeom prst="rect">
                      <a:avLst/>
                    </a:prstGeom>
                    <a:noFill/>
                    <a:ln w="9525">
                      <a:noFill/>
                      <a:miter lim="800000"/>
                      <a:headEnd/>
                      <a:tailEnd/>
                    </a:ln>
                  </pic:spPr>
                </pic:pic>
              </a:graphicData>
            </a:graphic>
          </wp:anchor>
        </w:drawing>
      </w:r>
    </w:p>
    <w:p>
      <w:pPr>
        <w:pStyle w:val="Normal"/>
        <w:rPr>
          <w:rFonts w:ascii="Arial" w:hAnsi="Arial" w:cs="Arial"/>
          <w:sz w:val="20"/>
          <w:szCs w:val="20"/>
          <w:shd w:fill="FFFF00" w:val="clear"/>
        </w:rPr>
      </w:pPr>
      <w:r>
        <w:rPr>
          <w:rFonts w:cs="Arial" w:ascii="Arial" w:hAnsi="Arial"/>
          <w:sz w:val="20"/>
          <w:szCs w:val="20"/>
          <w:shd w:fill="FFFF00" w:val="clear"/>
        </w:rPr>
      </w:r>
    </w:p>
    <w:p>
      <w:pPr>
        <w:pStyle w:val="Normal"/>
        <w:rPr>
          <w:rFonts w:ascii="Arial" w:hAnsi="Arial" w:cs="Arial"/>
          <w:b/>
          <w:b/>
          <w:sz w:val="20"/>
          <w:szCs w:val="20"/>
          <w:shd w:fill="FFFF00" w:val="clear"/>
        </w:rPr>
      </w:pPr>
      <w:r>
        <w:rPr>
          <w:rFonts w:cs="Arial" w:ascii="Arial" w:hAnsi="Arial"/>
          <w:b/>
          <w:sz w:val="20"/>
          <w:szCs w:val="20"/>
          <w:shd w:fill="auto" w:val="clear"/>
        </w:rPr>
        <w:t>Multiple answers</w:t>
      </w:r>
    </w:p>
    <w:p>
      <w:pPr>
        <w:pStyle w:val="Normal"/>
        <w:rPr>
          <w:shd w:fill="auto" w:val="clear"/>
        </w:rPr>
      </w:pPr>
      <w:r>
        <w:rPr>
          <w:rFonts w:cs="Arial" w:ascii="Arial" w:hAnsi="Arial"/>
          <w:sz w:val="20"/>
          <w:szCs w:val="20"/>
          <w:shd w:fill="auto" w:val="clear"/>
        </w:rPr>
        <w:t>Many Questions</w:t>
      </w:r>
      <w:r>
        <w:rPr>
          <w:rFonts w:cs="Arial" w:ascii="Arial" w:hAnsi="Arial"/>
          <w:sz w:val="20"/>
          <w:szCs w:val="20"/>
          <w:shd w:fill="auto" w:val="clear"/>
        </w:rPr>
        <w:t xml:space="preserve"> allows to select multiple </w:t>
      </w:r>
      <w:r>
        <w:rPr>
          <w:rFonts w:cs="Arial" w:ascii="Arial" w:hAnsi="Arial"/>
          <w:sz w:val="20"/>
          <w:szCs w:val="20"/>
          <w:shd w:fill="auto" w:val="clear"/>
        </w:rPr>
        <w:t>values</w:t>
      </w:r>
      <w:r>
        <w:rPr>
          <w:rFonts w:cs="Arial" w:ascii="Arial" w:hAnsi="Arial"/>
          <w:sz w:val="20"/>
          <w:szCs w:val="20"/>
          <w:shd w:fill="auto" w:val="clear"/>
        </w:rPr>
        <w:t xml:space="preserve"> as an answer to the questions. Click on the "Select" </w:t>
      </w:r>
      <w:r>
        <w:rPr>
          <w:rFonts w:cs="Arial" w:ascii="Arial" w:hAnsi="Arial"/>
          <w:sz w:val="20"/>
          <w:szCs w:val="20"/>
          <w:shd w:fill="auto" w:val="clear"/>
        </w:rPr>
        <w:t>input field</w:t>
      </w:r>
      <w:r>
        <w:rPr>
          <w:rFonts w:cs="Arial" w:ascii="Arial" w:hAnsi="Arial"/>
          <w:sz w:val="20"/>
          <w:szCs w:val="20"/>
          <w:shd w:fill="auto" w:val="clear"/>
        </w:rPr>
        <w:t xml:space="preserve"> to </w:t>
      </w:r>
      <w:r>
        <w:rPr>
          <w:rFonts w:cs="Arial" w:ascii="Arial" w:hAnsi="Arial"/>
          <w:sz w:val="20"/>
          <w:szCs w:val="20"/>
          <w:shd w:fill="auto" w:val="clear"/>
        </w:rPr>
        <w:t>view</w:t>
      </w:r>
      <w:r>
        <w:rPr>
          <w:rFonts w:cs="Arial" w:ascii="Arial" w:hAnsi="Arial"/>
          <w:sz w:val="20"/>
          <w:szCs w:val="20"/>
          <w:shd w:fill="auto" w:val="clear"/>
        </w:rPr>
        <w:t xml:space="preserve"> the relevant </w:t>
      </w:r>
      <w:r>
        <w:rPr>
          <w:rFonts w:cs="Arial" w:ascii="Arial" w:hAnsi="Arial"/>
          <w:sz w:val="20"/>
          <w:szCs w:val="20"/>
          <w:shd w:fill="auto" w:val="clear"/>
        </w:rPr>
        <w:t>values</w:t>
      </w:r>
      <w:r>
        <w:rPr>
          <w:rFonts w:cs="Arial" w:ascii="Arial" w:hAnsi="Arial"/>
          <w:sz w:val="20"/>
          <w:szCs w:val="20"/>
          <w:shd w:fill="auto" w:val="clear"/>
        </w:rPr>
        <w:t xml:space="preserve"> in popup </w:t>
      </w:r>
      <w:r>
        <w:rPr>
          <w:rFonts w:cs="Arial" w:ascii="Arial" w:hAnsi="Arial"/>
          <w:sz w:val="20"/>
          <w:szCs w:val="20"/>
          <w:shd w:fill="auto" w:val="clear"/>
        </w:rPr>
        <w:t>collection choices</w:t>
      </w:r>
      <w:r>
        <w:rPr>
          <w:rFonts w:cs="Arial" w:ascii="Arial" w:hAnsi="Arial"/>
          <w:sz w:val="20"/>
          <w:szCs w:val="20"/>
          <w:shd w:fill="auto" w:val="clear"/>
        </w:rPr>
        <w:t xml:space="preserve">. </w:t>
      </w:r>
      <w:r>
        <w:rPr>
          <w:rFonts w:cs="Arial" w:ascii="Arial" w:hAnsi="Arial"/>
          <w:sz w:val="20"/>
          <w:szCs w:val="20"/>
          <w:shd w:fill="auto" w:val="clear"/>
        </w:rPr>
        <w:t>Click the value to select it and add it to your selection</w:t>
      </w:r>
      <w:r>
        <w:rPr>
          <w:rFonts w:cs="Arial" w:ascii="Arial" w:hAnsi="Arial"/>
          <w:sz w:val="20"/>
          <w:szCs w:val="20"/>
          <w:shd w:fill="auto" w:val="clear"/>
        </w:rPr>
        <w:t xml:space="preserve">. Click on the </w:t>
      </w:r>
      <w:r>
        <w:rPr>
          <w:rFonts w:cs="Arial" w:ascii="Arial" w:hAnsi="Arial"/>
          <w:sz w:val="20"/>
          <w:szCs w:val="20"/>
          <w:shd w:fill="auto" w:val="clear"/>
        </w:rPr>
        <w:t xml:space="preserve">X button next to the selection </w:t>
      </w:r>
      <w:r>
        <w:rPr>
          <w:rFonts w:cs="Arial" w:ascii="Arial" w:hAnsi="Arial"/>
          <w:sz w:val="20"/>
          <w:szCs w:val="20"/>
          <w:shd w:fill="auto" w:val="clear"/>
        </w:rPr>
        <w:t xml:space="preserve">to remove the </w:t>
      </w:r>
      <w:r>
        <w:rPr>
          <w:rFonts w:cs="Arial" w:ascii="Arial" w:hAnsi="Arial"/>
          <w:sz w:val="20"/>
          <w:szCs w:val="20"/>
          <w:shd w:fill="auto" w:val="clear"/>
        </w:rPr>
        <w:t>value</w:t>
      </w:r>
      <w:r>
        <w:rPr>
          <w:rFonts w:cs="Arial" w:ascii="Arial" w:hAnsi="Arial"/>
          <w:sz w:val="20"/>
          <w:szCs w:val="20"/>
          <w:shd w:fill="auto" w:val="clear"/>
        </w:rPr>
        <w:t>.</w:t>
      </w:r>
    </w:p>
    <w:p>
      <w:pPr>
        <w:pStyle w:val="Normal"/>
        <w:rPr/>
      </w:pPr>
      <w:r>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6120130" cy="153797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46"/>
                    <a:stretch>
                      <a:fillRect/>
                    </a:stretch>
                  </pic:blipFill>
                  <pic:spPr bwMode="auto">
                    <a:xfrm>
                      <a:off x="0" y="0"/>
                      <a:ext cx="6120130" cy="1537970"/>
                    </a:xfrm>
                    <a:prstGeom prst="rect">
                      <a:avLst/>
                    </a:prstGeom>
                    <a:noFill/>
                    <a:ln w="9525">
                      <a:noFill/>
                      <a:miter lim="800000"/>
                      <a:headEnd/>
                      <a:tailEnd/>
                    </a:ln>
                  </pic:spPr>
                </pic:pic>
              </a:graphicData>
            </a:graphic>
          </wp:anchor>
        </w:drawing>
      </w:r>
    </w:p>
    <w:p>
      <w:pPr>
        <w:pStyle w:val="Default"/>
        <w:ind w:left="357" w:hanging="0"/>
        <w:jc w:val="both"/>
        <w:rPr>
          <w:rFonts w:cs="Times New Roman"/>
          <w:b/>
          <w:b/>
          <w:bCs/>
          <w:color w:val="00000A"/>
          <w:lang w:eastAsia="en-US"/>
        </w:rPr>
      </w:pPr>
      <w:r>
        <w:rPr>
          <w:rFonts w:cs="Times New Roman"/>
          <w:b/>
          <w:bCs/>
          <w:color w:val="00000A"/>
          <w:lang w:eastAsia="en-US"/>
        </w:rPr>
      </w:r>
    </w:p>
    <w:p>
      <w:pPr>
        <w:pStyle w:val="Default"/>
        <w:numPr>
          <w:ilvl w:val="0"/>
          <w:numId w:val="2"/>
        </w:numPr>
        <w:ind w:left="357" w:hanging="357"/>
        <w:jc w:val="both"/>
        <w:rPr>
          <w:rFonts w:cs="Times New Roman"/>
          <w:b/>
          <w:b/>
          <w:bCs/>
          <w:color w:val="00000A"/>
          <w:lang w:eastAsia="en-US"/>
        </w:rPr>
      </w:pPr>
      <w:r>
        <w:rPr>
          <w:rFonts w:cs="Times New Roman"/>
          <w:b/>
          <w:bCs/>
          <w:color w:val="00000A"/>
          <w:lang w:eastAsia="en-US"/>
        </w:rPr>
        <w:t>Step 6 Save data</w:t>
      </w:r>
    </w:p>
    <w:p>
      <w:pPr>
        <w:pStyle w:val="Normal"/>
        <w:rPr>
          <w:b/>
          <w:b/>
        </w:rPr>
      </w:pPr>
      <w:r>
        <w:rPr>
          <w:b/>
        </w:rPr>
      </w:r>
    </w:p>
    <w:p>
      <w:pPr>
        <w:pStyle w:val="Normal"/>
        <w:rPr/>
      </w:pPr>
      <w:r>
        <w:rPr>
          <w:rFonts w:cs="Arial" w:ascii="Arial" w:hAnsi="Arial"/>
          <w:b/>
          <w:sz w:val="20"/>
          <w:szCs w:val="20"/>
        </w:rPr>
        <w:t xml:space="preserve">NB! The online questionnaire does NOT save your changes automatically. </w:t>
      </w:r>
      <w:r>
        <w:rPr>
          <w:rFonts w:cs="Arial" w:ascii="Arial" w:hAnsi="Arial"/>
          <w:sz w:val="20"/>
          <w:szCs w:val="20"/>
        </w:rPr>
        <w:t>Inserted answers can be saved at any time by clicking on the “</w:t>
      </w:r>
      <w:r>
        <w:rPr>
          <w:rFonts w:cs="Arial" w:ascii="Arial" w:hAnsi="Arial"/>
          <w:b/>
          <w:sz w:val="20"/>
          <w:szCs w:val="20"/>
        </w:rPr>
        <w:t>Save</w:t>
      </w:r>
      <w:r>
        <w:rPr>
          <w:rFonts w:cs="Arial" w:ascii="Arial" w:hAnsi="Arial"/>
          <w:sz w:val="20"/>
          <w:szCs w:val="20"/>
        </w:rPr>
        <w:t xml:space="preserve">” button in the bottom of the page. The data is saved in XML file </w:t>
      </w:r>
      <w:r>
        <w:rPr>
          <w:rFonts w:cs="Arial" w:ascii="Arial" w:hAnsi="Arial"/>
          <w:sz w:val="20"/>
          <w:szCs w:val="20"/>
          <w:shd w:fill="auto" w:val="clear"/>
        </w:rPr>
        <w:t>(</w:t>
      </w:r>
      <w:r>
        <w:rPr>
          <w:rFonts w:cs="Arial" w:ascii="Arial" w:hAnsi="Arial"/>
          <w:sz w:val="20"/>
          <w:szCs w:val="20"/>
          <w:shd w:fill="auto" w:val="clear"/>
        </w:rPr>
        <w:t>MMR</w:t>
      </w:r>
      <w:r>
        <w:rPr>
          <w:rFonts w:cs="Arial" w:ascii="Arial" w:hAnsi="Arial"/>
          <w:sz w:val="20"/>
          <w:szCs w:val="20"/>
          <w:shd w:fill="auto" w:val="clear"/>
        </w:rPr>
        <w:t>_Annex_</w:t>
      </w:r>
      <w:r>
        <w:rPr>
          <w:rFonts w:cs="Arial" w:ascii="Arial" w:hAnsi="Arial"/>
          <w:sz w:val="20"/>
          <w:szCs w:val="20"/>
          <w:shd w:fill="auto" w:val="clear"/>
        </w:rPr>
        <w:t>XI</w:t>
      </w:r>
      <w:r>
        <w:rPr>
          <w:rFonts w:cs="Arial" w:ascii="Arial" w:hAnsi="Arial"/>
          <w:sz w:val="20"/>
          <w:szCs w:val="20"/>
          <w:shd w:fill="auto" w:val="clear"/>
        </w:rPr>
        <w:t>_questionnaire_1.xml)</w:t>
      </w:r>
      <w:r>
        <w:rPr>
          <w:rFonts w:cs="Arial" w:ascii="Arial" w:hAnsi="Arial"/>
          <w:sz w:val="20"/>
          <w:szCs w:val="20"/>
        </w:rPr>
        <w:t xml:space="preserve"> in CDR envelope. The questionnaire warns you if there are missing mandatory fields or some fields are entered incorrectly. All data is still saved in the envelope, </w:t>
      </w:r>
      <w:r>
        <w:rPr>
          <w:rFonts w:cs="Arial" w:ascii="Arial" w:hAnsi="Arial"/>
          <w:sz w:val="20"/>
          <w:szCs w:val="20"/>
        </w:rPr>
        <w:t>even if they don't pass the validation process.</w:t>
      </w:r>
      <w:r>
        <w:rPr>
          <w:rFonts w:cs="Arial" w:ascii="Arial" w:hAnsi="Arial"/>
          <w:sz w:val="20"/>
          <w:szCs w:val="20"/>
        </w:rPr>
        <w:t xml:space="preserve"> </w:t>
      </w:r>
    </w:p>
    <w:p>
      <w:pPr>
        <w:pStyle w:val="Normal"/>
        <w:rPr>
          <w:b/>
          <w:b/>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120130" cy="326072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47"/>
                    <a:stretch>
                      <a:fillRect/>
                    </a:stretch>
                  </pic:blipFill>
                  <pic:spPr bwMode="auto">
                    <a:xfrm>
                      <a:off x="0" y="0"/>
                      <a:ext cx="6120130" cy="3260725"/>
                    </a:xfrm>
                    <a:prstGeom prst="rect">
                      <a:avLst/>
                    </a:prstGeom>
                    <a:noFill/>
                    <a:ln w="9525">
                      <a:noFill/>
                      <a:miter lim="800000"/>
                      <a:headEnd/>
                      <a:tailEnd/>
                    </a:ln>
                  </pic:spPr>
                </pic:pic>
              </a:graphicData>
            </a:graphic>
          </wp:anchor>
        </w:drawing>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t xml:space="preserve">You don’t have to fill in all the questions at one time. You can go back and modify the online questionnaire for completions or amendments later at any time in CDR: </w:t>
      </w:r>
    </w:p>
    <w:p>
      <w:pPr>
        <w:pStyle w:val="Normal"/>
        <w:numPr>
          <w:ilvl w:val="0"/>
          <w:numId w:val="1"/>
        </w:numPr>
        <w:rPr/>
      </w:pPr>
      <w:r>
        <w:rPr>
          <w:rFonts w:cs="Arial" w:ascii="Arial" w:hAnsi="Arial"/>
          <w:sz w:val="20"/>
          <w:szCs w:val="20"/>
        </w:rPr>
        <w:t>either by clicking on the “</w:t>
      </w:r>
      <w:r>
        <w:rPr>
          <w:rFonts w:cs="Arial" w:ascii="Arial" w:hAnsi="Arial"/>
          <w:i/>
          <w:sz w:val="20"/>
          <w:szCs w:val="20"/>
        </w:rPr>
        <w:t xml:space="preserve">Modify the </w:t>
      </w:r>
      <w:r>
        <w:rPr>
          <w:rFonts w:cs="Arial" w:ascii="Arial" w:hAnsi="Arial"/>
          <w:i/>
          <w:sz w:val="20"/>
          <w:szCs w:val="20"/>
        </w:rPr>
        <w:t>MMR</w:t>
      </w:r>
      <w:r>
        <w:rPr>
          <w:rFonts w:cs="Arial" w:ascii="Arial" w:hAnsi="Arial"/>
          <w:i/>
          <w:sz w:val="20"/>
          <w:szCs w:val="20"/>
          <w:shd w:fill="auto" w:val="clear"/>
        </w:rPr>
        <w:t xml:space="preserve"> Annex </w:t>
      </w:r>
      <w:r>
        <w:rPr>
          <w:rFonts w:cs="Arial" w:ascii="Arial" w:hAnsi="Arial"/>
          <w:i/>
          <w:sz w:val="20"/>
          <w:szCs w:val="20"/>
          <w:shd w:fill="auto" w:val="clear"/>
        </w:rPr>
        <w:t>X</w:t>
      </w:r>
      <w:r>
        <w:rPr>
          <w:rFonts w:cs="Arial" w:ascii="Arial" w:hAnsi="Arial"/>
          <w:i/>
          <w:sz w:val="20"/>
          <w:szCs w:val="20"/>
          <w:shd w:fill="auto" w:val="clear"/>
        </w:rPr>
        <w:t xml:space="preserve">I </w:t>
      </w:r>
      <w:r>
        <w:rPr>
          <w:rFonts w:cs="Arial" w:ascii="Arial" w:hAnsi="Arial"/>
          <w:i/>
          <w:sz w:val="20"/>
          <w:szCs w:val="20"/>
        </w:rPr>
        <w:t>questionnaire"</w:t>
      </w:r>
      <w:r>
        <w:rPr>
          <w:rFonts w:cs="Arial" w:ascii="Arial" w:hAnsi="Arial"/>
          <w:sz w:val="20"/>
          <w:szCs w:val="20"/>
        </w:rPr>
        <w:t xml:space="preserve"> link on envelope page</w:t>
      </w:r>
    </w:p>
    <w:p>
      <w:pPr>
        <w:pStyle w:val="Normal"/>
        <w:numPr>
          <w:ilvl w:val="0"/>
          <w:numId w:val="1"/>
        </w:numPr>
        <w:rPr>
          <w:rFonts w:ascii="Arial" w:hAnsi="Arial" w:cs="Arial"/>
          <w:sz w:val="20"/>
          <w:szCs w:val="20"/>
        </w:rPr>
      </w:pPr>
      <w:r>
        <w:rPr>
          <w:rFonts w:cs="Arial" w:ascii="Arial" w:hAnsi="Arial"/>
          <w:sz w:val="20"/>
          <w:szCs w:val="20"/>
        </w:rPr>
        <w:t>or by clicking on the corresponding XML file name in the list of files and then clicking on the “</w:t>
      </w:r>
      <w:r>
        <w:rPr>
          <w:rFonts w:cs="Arial" w:ascii="Arial" w:hAnsi="Arial"/>
          <w:i/>
          <w:sz w:val="20"/>
          <w:szCs w:val="20"/>
        </w:rPr>
        <w:t>Edit with Web form</w:t>
      </w:r>
      <w:r>
        <w:rPr>
          <w:rFonts w:cs="Arial" w:ascii="Arial" w:hAnsi="Arial"/>
          <w:sz w:val="20"/>
          <w:szCs w:val="20"/>
        </w:rPr>
        <w:t>”  link on document details page</w:t>
      </w:r>
    </w:p>
    <w:p>
      <w:pPr>
        <w:pStyle w:val="Normal"/>
        <w:rPr>
          <w:b/>
          <w:b/>
        </w:rPr>
      </w:pPr>
      <w:r>
        <w:rPr/>
        <w:drawing>
          <wp:inline distT="0" distB="0" distL="0" distR="0">
            <wp:extent cx="6118860" cy="3634740"/>
            <wp:effectExtent l="0" t="0" r="0" b="0"/>
            <wp:docPr id="1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pic:cNvPicPr>
                      <a:picLocks noChangeAspect="1" noChangeArrowheads="1"/>
                    </pic:cNvPicPr>
                  </pic:nvPicPr>
                  <pic:blipFill>
                    <a:blip r:embed="rId48"/>
                    <a:stretch>
                      <a:fillRect/>
                    </a:stretch>
                  </pic:blipFill>
                  <pic:spPr bwMode="auto">
                    <a:xfrm>
                      <a:off x="0" y="0"/>
                      <a:ext cx="6118860" cy="3634740"/>
                    </a:xfrm>
                    <a:prstGeom prst="rect">
                      <a:avLst/>
                    </a:prstGeom>
                    <a:noFill/>
                    <a:ln w="9525">
                      <a:noFill/>
                      <a:miter lim="800000"/>
                      <a:headEnd/>
                      <a:tailEnd/>
                    </a:ln>
                  </pic:spPr>
                </pic:pic>
              </a:graphicData>
            </a:graphic>
          </wp:inline>
        </w:drawing>
      </w:r>
      <w:r>
        <w:br w:type="page"/>
      </w:r>
    </w:p>
    <w:p>
      <w:pPr>
        <w:pStyle w:val="Default"/>
        <w:numPr>
          <w:ilvl w:val="0"/>
          <w:numId w:val="2"/>
        </w:numPr>
        <w:ind w:left="357" w:hanging="357"/>
        <w:jc w:val="both"/>
        <w:rPr>
          <w:rFonts w:cs="Times New Roman"/>
          <w:b/>
          <w:b/>
          <w:bCs/>
          <w:color w:val="00000A"/>
          <w:lang w:eastAsia="en-US"/>
        </w:rPr>
      </w:pPr>
      <w:r>
        <w:rPr>
          <w:rFonts w:cs="Times New Roman"/>
          <w:b/>
          <w:bCs/>
          <w:color w:val="00000A"/>
          <w:lang w:eastAsia="en-US"/>
        </w:rPr>
        <w:t xml:space="preserve">Step 7: Upload additional files </w:t>
      </w:r>
    </w:p>
    <w:p>
      <w:pPr>
        <w:pStyle w:val="Default"/>
        <w:numPr>
          <w:ilvl w:val="0"/>
          <w:numId w:val="2"/>
        </w:numPr>
        <w:ind w:left="357" w:hanging="357"/>
        <w:jc w:val="both"/>
        <w:rPr>
          <w:rFonts w:cs="Times New Roman"/>
          <w:b/>
          <w:b/>
          <w:bCs/>
          <w:color w:val="00000A"/>
          <w:lang w:eastAsia="en-US"/>
        </w:rPr>
      </w:pPr>
      <w:r>
        <w:rPr>
          <w:rFonts w:cs="Times New Roman"/>
          <w:b/>
          <w:bCs/>
          <w:color w:val="00000A"/>
          <w:lang w:eastAsia="en-US"/>
        </w:rPr>
      </w:r>
    </w:p>
    <w:p>
      <w:pPr>
        <w:pStyle w:val="Default"/>
        <w:jc w:val="both"/>
        <w:rPr>
          <w:bCs/>
          <w:color w:val="00000A"/>
          <w:sz w:val="20"/>
          <w:szCs w:val="20"/>
          <w:lang w:eastAsia="en-US"/>
        </w:rPr>
      </w:pPr>
      <w:r>
        <w:rPr>
          <w:bCs/>
          <w:color w:val="00000A"/>
          <w:sz w:val="20"/>
          <w:szCs w:val="20"/>
          <w:lang w:eastAsia="en-US"/>
        </w:rPr>
        <w:t xml:space="preserve">You can upload and submit additional files in the envelope. </w:t>
      </w:r>
    </w:p>
    <w:p>
      <w:pPr>
        <w:pStyle w:val="Default"/>
        <w:jc w:val="both"/>
        <w:rPr>
          <w:bCs/>
          <w:color w:val="00000A"/>
          <w:sz w:val="20"/>
          <w:szCs w:val="20"/>
          <w:lang w:eastAsia="en-US"/>
        </w:rPr>
      </w:pPr>
      <w:r>
        <w:rPr>
          <w:bCs/>
          <w:color w:val="00000A"/>
          <w:sz w:val="20"/>
          <w:szCs w:val="20"/>
          <w:lang w:eastAsia="en-US"/>
        </w:rPr>
      </w:r>
    </w:p>
    <w:p>
      <w:pPr>
        <w:pStyle w:val="Default"/>
        <w:jc w:val="both"/>
        <w:rPr>
          <w:bCs/>
          <w:color w:val="00000A"/>
          <w:sz w:val="20"/>
          <w:szCs w:val="20"/>
          <w:lang w:eastAsia="en-US"/>
        </w:rPr>
      </w:pPr>
      <w:r>
        <w:rPr>
          <w:bCs/>
          <w:color w:val="00000A"/>
          <w:sz w:val="20"/>
          <w:szCs w:val="20"/>
          <w:lang w:eastAsia="en-US"/>
        </w:rPr>
        <w:t>You can restrict the uploaded file from public view by ticking the box “</w:t>
      </w:r>
      <w:r>
        <w:rPr>
          <w:bCs/>
          <w:i/>
          <w:color w:val="00000A"/>
          <w:sz w:val="20"/>
          <w:szCs w:val="20"/>
          <w:lang w:eastAsia="en-US"/>
        </w:rPr>
        <w:t>Restricted from public view</w:t>
      </w:r>
      <w:r>
        <w:rPr>
          <w:bCs/>
          <w:color w:val="00000A"/>
          <w:sz w:val="20"/>
          <w:szCs w:val="20"/>
          <w:lang w:eastAsia="en-US"/>
        </w:rPr>
        <w:t>”.</w:t>
      </w:r>
    </w:p>
    <w:p>
      <w:pPr>
        <w:pStyle w:val="Default"/>
        <w:jc w:val="both"/>
        <w:rPr>
          <w:bCs/>
          <w:color w:val="00000A"/>
          <w:sz w:val="20"/>
          <w:szCs w:val="20"/>
          <w:lang w:eastAsia="en-US"/>
        </w:rPr>
      </w:pPr>
      <w:r>
        <w:rPr>
          <w:bCs/>
          <w:color w:val="00000A"/>
          <w:sz w:val="20"/>
          <w:szCs w:val="20"/>
          <w:lang w:eastAsia="en-US"/>
        </w:rPr>
      </w:r>
    </w:p>
    <w:p>
      <w:pPr>
        <w:pStyle w:val="Default"/>
        <w:jc w:val="both"/>
        <w:rPr>
          <w:bCs/>
          <w:color w:val="00000A"/>
          <w:sz w:val="20"/>
          <w:szCs w:val="20"/>
          <w:lang w:eastAsia="en-US"/>
        </w:rPr>
      </w:pPr>
      <w:r>
        <w:rPr/>
        <w:drawing>
          <wp:inline distT="0" distB="0" distL="0" distR="0">
            <wp:extent cx="6118860" cy="3634740"/>
            <wp:effectExtent l="0" t="0" r="0" b="0"/>
            <wp:docPr id="1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pic:cNvPicPr>
                      <a:picLocks noChangeAspect="1" noChangeArrowheads="1"/>
                    </pic:cNvPicPr>
                  </pic:nvPicPr>
                  <pic:blipFill>
                    <a:blip r:embed="rId49"/>
                    <a:stretch>
                      <a:fillRect/>
                    </a:stretch>
                  </pic:blipFill>
                  <pic:spPr bwMode="auto">
                    <a:xfrm>
                      <a:off x="0" y="0"/>
                      <a:ext cx="6118860" cy="3634740"/>
                    </a:xfrm>
                    <a:prstGeom prst="rect">
                      <a:avLst/>
                    </a:prstGeom>
                    <a:noFill/>
                    <a:ln w="9525">
                      <a:noFill/>
                      <a:miter lim="800000"/>
                      <a:headEnd/>
                      <a:tailEnd/>
                    </a:ln>
                  </pic:spPr>
                </pic:pic>
              </a:graphicData>
            </a:graphic>
          </wp:inline>
        </w:drawing>
      </w:r>
    </w:p>
    <w:p>
      <w:pPr>
        <w:pStyle w:val="Default"/>
        <w:jc w:val="both"/>
        <w:rPr/>
      </w:pPr>
      <w:r>
        <w:rPr/>
      </w:r>
      <w:r>
        <w:br w:type="page"/>
      </w:r>
    </w:p>
    <w:p>
      <w:pPr>
        <w:pStyle w:val="Default"/>
        <w:numPr>
          <w:ilvl w:val="0"/>
          <w:numId w:val="2"/>
        </w:numPr>
        <w:ind w:left="357" w:hanging="357"/>
        <w:jc w:val="both"/>
        <w:rPr/>
      </w:pPr>
      <w:r>
        <w:rPr>
          <w:rFonts w:cs="Times New Roman"/>
          <w:b/>
          <w:bCs/>
          <w:color w:val="00000A"/>
          <w:lang w:eastAsia="en-US"/>
        </w:rPr>
        <w:t>Step 8: Download or print out the report (optional)</w:t>
      </w:r>
    </w:p>
    <w:p>
      <w:pPr>
        <w:pStyle w:val="Default"/>
        <w:jc w:val="both"/>
        <w:rPr>
          <w:rFonts w:cs="Times New Roman"/>
          <w:b/>
          <w:b/>
          <w:bCs/>
          <w:color w:val="00000A"/>
          <w:lang w:eastAsia="en-US"/>
        </w:rPr>
      </w:pPr>
      <w:r>
        <w:rPr>
          <w:rFonts w:cs="Times New Roman"/>
          <w:b/>
          <w:bCs/>
          <w:color w:val="00000A"/>
          <w:lang w:eastAsia="en-US"/>
        </w:rPr>
      </w:r>
    </w:p>
    <w:p>
      <w:pPr>
        <w:pStyle w:val="Default"/>
        <w:jc w:val="both"/>
        <w:rPr>
          <w:rFonts w:cs="Times New Roman"/>
          <w:bCs/>
          <w:color w:val="00000A"/>
          <w:sz w:val="20"/>
          <w:szCs w:val="20"/>
          <w:lang w:eastAsia="en-US"/>
        </w:rPr>
      </w:pPr>
      <w:r>
        <w:rPr>
          <w:rFonts w:cs="Times New Roman"/>
          <w:bCs/>
          <w:color w:val="00000A"/>
          <w:sz w:val="20"/>
          <w:szCs w:val="20"/>
          <w:lang w:eastAsia="en-US"/>
        </w:rPr>
        <w:t xml:space="preserve">You can download or print out the report in CDR. This functionality is available on the </w:t>
      </w:r>
      <w:r>
        <w:rPr>
          <w:sz w:val="20"/>
          <w:szCs w:val="20"/>
          <w:lang w:val="et-EE"/>
        </w:rPr>
        <w:t xml:space="preserve">document details </w:t>
      </w:r>
      <w:r>
        <w:rPr>
          <w:rFonts w:cs="Times New Roman"/>
          <w:bCs/>
          <w:color w:val="00000A"/>
          <w:sz w:val="20"/>
          <w:szCs w:val="20"/>
          <w:lang w:eastAsia="en-US"/>
        </w:rPr>
        <w:t xml:space="preserve">page. Click on the XML file name in the CDR envelope to open the </w:t>
      </w:r>
      <w:r>
        <w:rPr>
          <w:b/>
          <w:sz w:val="20"/>
          <w:szCs w:val="20"/>
          <w:lang w:val="et-EE"/>
        </w:rPr>
        <w:t>Document details</w:t>
      </w:r>
      <w:r>
        <w:rPr>
          <w:sz w:val="20"/>
          <w:szCs w:val="20"/>
          <w:lang w:val="et-EE"/>
        </w:rPr>
        <w:t xml:space="preserve"> </w:t>
      </w:r>
      <w:r>
        <w:rPr>
          <w:rFonts w:cs="Times New Roman"/>
          <w:bCs/>
          <w:color w:val="00000A"/>
          <w:sz w:val="20"/>
          <w:szCs w:val="20"/>
          <w:lang w:eastAsia="en-US"/>
        </w:rPr>
        <w:t xml:space="preserve">page. All available formats are available at the top of the page in “View file as“ area. </w:t>
      </w:r>
    </w:p>
    <w:p>
      <w:pPr>
        <w:pStyle w:val="Default"/>
        <w:jc w:val="both"/>
        <w:rPr>
          <w:rFonts w:cs="Times New Roman"/>
          <w:bCs/>
          <w:color w:val="00000A"/>
          <w:sz w:val="20"/>
          <w:szCs w:val="20"/>
          <w:lang w:eastAsia="en-US"/>
        </w:rPr>
      </w:pPr>
      <w:r>
        <w:rPr>
          <w:rFonts w:cs="Times New Roman"/>
          <w:bCs/>
          <w:color w:val="00000A"/>
          <w:sz w:val="20"/>
          <w:szCs w:val="20"/>
          <w:lang w:eastAsia="en-US"/>
        </w:rPr>
      </w:r>
    </w:p>
    <w:p>
      <w:pPr>
        <w:pStyle w:val="Default"/>
        <w:jc w:val="both"/>
        <w:rPr>
          <w:rFonts w:cs="Times New Roman"/>
          <w:bCs/>
          <w:color w:val="00000A"/>
          <w:sz w:val="20"/>
          <w:szCs w:val="20"/>
          <w:lang w:eastAsia="en-US"/>
        </w:rPr>
      </w:pPr>
      <w:r>
        <w:rPr>
          <w:rFonts w:cs="Times New Roman"/>
          <w:bCs/>
          <w:color w:val="00000A"/>
          <w:sz w:val="20"/>
          <w:szCs w:val="20"/>
          <w:lang w:eastAsia="en-US"/>
        </w:rPr>
        <w:t>Click on the “</w:t>
      </w:r>
      <w:r>
        <w:rPr>
          <w:rFonts w:cs="Times New Roman"/>
          <w:b/>
          <w:bCs/>
          <w:color w:val="00000A"/>
          <w:sz w:val="20"/>
          <w:szCs w:val="20"/>
          <w:lang w:eastAsia="en-US"/>
        </w:rPr>
        <w:t>HTML report</w:t>
      </w:r>
      <w:r>
        <w:rPr>
          <w:rFonts w:cs="Times New Roman"/>
          <w:bCs/>
          <w:color w:val="00000A"/>
          <w:sz w:val="20"/>
          <w:szCs w:val="20"/>
          <w:lang w:eastAsia="en-US"/>
        </w:rPr>
        <w:t>” link to download in HTML format or print the report.</w:t>
      </w:r>
    </w:p>
    <w:p>
      <w:pPr>
        <w:pStyle w:val="Default"/>
        <w:jc w:val="both"/>
        <w:rPr>
          <w:rFonts w:cs="Times New Roman"/>
          <w:bCs/>
          <w:color w:val="00000A"/>
          <w:sz w:val="20"/>
          <w:szCs w:val="20"/>
          <w:lang w:eastAsia="en-US"/>
        </w:rPr>
      </w:pPr>
      <w:r>
        <w:rPr>
          <w:rFonts w:cs="Times New Roman"/>
          <w:bCs/>
          <w:color w:val="00000A"/>
          <w:sz w:val="20"/>
          <w:szCs w:val="20"/>
          <w:lang w:eastAsia="en-US"/>
        </w:rPr>
      </w:r>
    </w:p>
    <w:p>
      <w:pPr>
        <w:pStyle w:val="Default"/>
        <w:jc w:val="both"/>
        <w:rPr>
          <w:sz w:val="20"/>
          <w:szCs w:val="20"/>
          <w:lang w:val="et-EE"/>
        </w:rPr>
      </w:pPr>
      <w:r>
        <w:rPr>
          <w:sz w:val="20"/>
          <w:szCs w:val="20"/>
          <w:lang w:val="et-EE"/>
        </w:rPr>
        <w:t xml:space="preserve">Click on the </w:t>
      </w:r>
      <w:r>
        <w:rPr>
          <w:rFonts w:cs="Times New Roman"/>
          <w:bCs/>
          <w:color w:val="00000A"/>
          <w:sz w:val="20"/>
          <w:szCs w:val="20"/>
          <w:lang w:eastAsia="en-US"/>
        </w:rPr>
        <w:t>“</w:t>
      </w:r>
      <w:r>
        <w:rPr>
          <w:b/>
          <w:sz w:val="20"/>
          <w:szCs w:val="20"/>
          <w:lang w:val="et-EE"/>
        </w:rPr>
        <w:t>Original</w:t>
      </w:r>
      <w:r>
        <w:rPr>
          <w:sz w:val="20"/>
          <w:szCs w:val="20"/>
          <w:lang w:val="et-EE"/>
        </w:rPr>
        <w:t>“ link to open the raw XML file in your browser.</w:t>
      </w:r>
    </w:p>
    <w:p>
      <w:pPr>
        <w:pStyle w:val="Default"/>
        <w:tabs>
          <w:tab w:val="left" w:pos="1440" w:leader="none"/>
        </w:tabs>
        <w:jc w:val="both"/>
        <w:rPr>
          <w:sz w:val="20"/>
          <w:szCs w:val="20"/>
          <w:lang w:val="et-EE"/>
        </w:rPr>
      </w:pPr>
      <w:r>
        <w:rPr>
          <w:sz w:val="20"/>
          <w:szCs w:val="20"/>
          <w:lang w:val="et-EE"/>
        </w:rPr>
        <w:tab/>
      </w:r>
    </w:p>
    <w:p>
      <w:pPr>
        <w:pStyle w:val="Default"/>
        <w:jc w:val="both"/>
        <w:rPr>
          <w:sz w:val="20"/>
          <w:szCs w:val="20"/>
          <w:lang w:val="et-EE"/>
        </w:rPr>
      </w:pPr>
      <w:r>
        <w:rPr>
          <w:sz w:val="20"/>
          <w:szCs w:val="20"/>
          <w:lang w:val="et-EE"/>
        </w:rPr>
        <w:t>The Document details page contains also a link to the online questionnaire. Just click on the link “</w:t>
      </w:r>
      <w:r>
        <w:rPr>
          <w:i/>
          <w:sz w:val="20"/>
          <w:szCs w:val="20"/>
          <w:lang w:val="et-EE"/>
        </w:rPr>
        <w:t>Edit file with Web form</w:t>
      </w:r>
      <w:r>
        <w:rPr>
          <w:sz w:val="20"/>
          <w:szCs w:val="20"/>
          <w:lang w:val="et-EE"/>
        </w:rPr>
        <w:t>” if you have found something to change or amend in the answers and you are able to edit all the answers.</w:t>
      </w:r>
    </w:p>
    <w:p>
      <w:pPr>
        <w:pStyle w:val="Default"/>
        <w:ind w:left="357" w:hanging="0"/>
        <w:jc w:val="both"/>
        <w:rPr/>
      </w:pPr>
      <w:r>
        <w:rPr/>
      </w:r>
    </w:p>
    <w:p>
      <w:pPr>
        <w:pStyle w:val="Default"/>
        <w:jc w:val="both"/>
        <w:rPr/>
      </w:pPr>
      <w:r>
        <w:rPr/>
        <w:drawing>
          <wp:inline distT="0" distB="0" distL="0" distR="0">
            <wp:extent cx="6118860" cy="3185160"/>
            <wp:effectExtent l="0" t="0" r="0" b="0"/>
            <wp:docPr id="1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descr=""/>
                    <pic:cNvPicPr>
                      <a:picLocks noChangeAspect="1" noChangeArrowheads="1"/>
                    </pic:cNvPicPr>
                  </pic:nvPicPr>
                  <pic:blipFill>
                    <a:blip r:embed="rId50"/>
                    <a:stretch>
                      <a:fillRect/>
                    </a:stretch>
                  </pic:blipFill>
                  <pic:spPr bwMode="auto">
                    <a:xfrm>
                      <a:off x="0" y="0"/>
                      <a:ext cx="6118860" cy="3185160"/>
                    </a:xfrm>
                    <a:prstGeom prst="rect">
                      <a:avLst/>
                    </a:prstGeom>
                    <a:noFill/>
                    <a:ln w="9525">
                      <a:noFill/>
                      <a:miter lim="800000"/>
                      <a:headEnd/>
                      <a:tailEnd/>
                    </a:ln>
                  </pic:spPr>
                </pic:pic>
              </a:graphicData>
            </a:graphic>
          </wp:inline>
        </w:drawing>
      </w:r>
    </w:p>
    <w:p>
      <w:pPr>
        <w:pStyle w:val="Default"/>
        <w:ind w:left="357" w:hanging="0"/>
        <w:jc w:val="both"/>
        <w:rPr/>
      </w:pPr>
      <w:r>
        <w:rPr/>
      </w:r>
    </w:p>
    <w:p>
      <w:pPr>
        <w:pStyle w:val="Default"/>
        <w:jc w:val="both"/>
        <w:rPr>
          <w:rFonts w:cs="Times New Roman"/>
          <w:b/>
          <w:b/>
          <w:bCs/>
          <w:color w:val="00000A"/>
          <w:lang w:eastAsia="en-US"/>
        </w:rPr>
      </w:pPr>
      <w:r>
        <w:rPr>
          <w:rFonts w:cs="Times New Roman"/>
          <w:b/>
          <w:bCs/>
          <w:color w:val="00000A"/>
          <w:lang w:eastAsia="en-US"/>
        </w:rPr>
      </w:r>
      <w:r>
        <w:br w:type="page"/>
      </w:r>
    </w:p>
    <w:p>
      <w:pPr>
        <w:pStyle w:val="Normal"/>
        <w:rPr>
          <w:rFonts w:ascii="Arial" w:hAnsi="Arial" w:cs="Arial"/>
          <w:b/>
          <w:b/>
          <w:sz w:val="20"/>
          <w:lang w:eastAsia="en-US"/>
        </w:rPr>
      </w:pPr>
      <w:r>
        <w:rPr>
          <w:rFonts w:cs="Arial" w:ascii="Arial" w:hAnsi="Arial"/>
          <w:b/>
          <w:sz w:val="20"/>
          <w:lang w:eastAsia="en-US"/>
        </w:rPr>
        <w:t>Example of Print preview:</w:t>
      </w:r>
    </w:p>
    <w:p>
      <w:pPr>
        <w:pStyle w:val="Default"/>
        <w:jc w:val="both"/>
        <w:rPr/>
      </w:pPr>
      <w:r>
        <w:rPr>
          <w:rFonts w:cs="Times New Roman"/>
          <w:b/>
          <w:bCs/>
          <w:color w:val="00000A"/>
          <w:lang w:eastAsia="en-US"/>
        </w:rPr>
        <w:t>(IMAGE HERE)</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r>
        <w:br w:type="page"/>
      </w:r>
    </w:p>
    <w:p>
      <w:pPr>
        <w:pStyle w:val="Default"/>
        <w:ind w:left="357" w:hanging="0"/>
        <w:jc w:val="both"/>
        <w:rPr/>
      </w:pPr>
      <w:r>
        <w:rPr/>
      </w:r>
    </w:p>
    <w:p>
      <w:pPr>
        <w:pStyle w:val="Default"/>
        <w:numPr>
          <w:ilvl w:val="0"/>
          <w:numId w:val="2"/>
        </w:numPr>
        <w:ind w:left="357" w:hanging="357"/>
        <w:jc w:val="both"/>
        <w:rPr/>
      </w:pPr>
      <w:r>
        <w:rPr>
          <w:rFonts w:cs="Times New Roman"/>
          <w:b/>
          <w:bCs/>
          <w:color w:val="00000A"/>
          <w:lang w:eastAsia="en-US"/>
        </w:rPr>
        <w:t>Step 9: Complete task</w:t>
      </w:r>
    </w:p>
    <w:p>
      <w:pPr>
        <w:pStyle w:val="Default"/>
        <w:jc w:val="both"/>
        <w:rPr>
          <w:sz w:val="20"/>
          <w:szCs w:val="20"/>
        </w:rPr>
      </w:pPr>
      <w:r>
        <w:rPr>
          <w:sz w:val="20"/>
          <w:szCs w:val="20"/>
        </w:rPr>
      </w:r>
    </w:p>
    <w:p>
      <w:pPr>
        <w:pStyle w:val="Default"/>
        <w:jc w:val="both"/>
        <w:rPr>
          <w:sz w:val="20"/>
          <w:szCs w:val="20"/>
        </w:rPr>
      </w:pPr>
      <w:r>
        <w:rPr>
          <w:sz w:val="20"/>
          <w:szCs w:val="20"/>
        </w:rPr>
        <w:t>When you finish the drafting of your work, you need to click on the right side button “</w:t>
      </w:r>
      <w:r>
        <w:rPr>
          <w:b/>
          <w:sz w:val="20"/>
          <w:szCs w:val="20"/>
        </w:rPr>
        <w:t>Release envelope</w:t>
      </w:r>
      <w:r>
        <w:rPr>
          <w:sz w:val="20"/>
          <w:szCs w:val="20"/>
        </w:rPr>
        <w:t xml:space="preserve">”. </w:t>
      </w:r>
    </w:p>
    <w:p>
      <w:pPr>
        <w:pStyle w:val="Default"/>
        <w:jc w:val="both"/>
        <w:rPr/>
      </w:pPr>
      <w:r>
        <w:rPr/>
        <w:drawing>
          <wp:inline distT="0" distB="0" distL="0" distR="0">
            <wp:extent cx="6118860" cy="3634740"/>
            <wp:effectExtent l="0" t="0" r="0" b="0"/>
            <wp:docPr id="1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
                    <pic:cNvPicPr>
                      <a:picLocks noChangeAspect="1" noChangeArrowheads="1"/>
                    </pic:cNvPicPr>
                  </pic:nvPicPr>
                  <pic:blipFill>
                    <a:blip r:embed="rId51"/>
                    <a:stretch>
                      <a:fillRect/>
                    </a:stretch>
                  </pic:blipFill>
                  <pic:spPr bwMode="auto">
                    <a:xfrm>
                      <a:off x="0" y="0"/>
                      <a:ext cx="6118860" cy="3634740"/>
                    </a:xfrm>
                    <a:prstGeom prst="rect">
                      <a:avLst/>
                    </a:prstGeom>
                    <a:noFill/>
                    <a:ln w="9525">
                      <a:noFill/>
                      <a:miter lim="800000"/>
                      <a:headEnd/>
                      <a:tailEnd/>
                    </a:ln>
                  </pic:spPr>
                </pic:pic>
              </a:graphicData>
            </a:graphic>
          </wp:inline>
        </w:drawing>
      </w:r>
    </w:p>
    <w:p>
      <w:pPr>
        <w:pStyle w:val="Default"/>
        <w:jc w:val="both"/>
        <w:rPr>
          <w:rFonts w:cs="Times New Roman"/>
          <w:b/>
          <w:b/>
          <w:bCs/>
          <w:color w:val="00000A"/>
          <w:lang w:eastAsia="en-US"/>
        </w:rPr>
      </w:pPr>
      <w:r>
        <w:rPr>
          <w:rFonts w:cs="Times New Roman"/>
          <w:b/>
          <w:bCs/>
          <w:color w:val="00000A"/>
          <w:lang w:eastAsia="en-US"/>
        </w:rPr>
      </w:r>
    </w:p>
    <w:p>
      <w:pPr>
        <w:pStyle w:val="Default"/>
        <w:jc w:val="both"/>
        <w:rPr>
          <w:sz w:val="20"/>
          <w:szCs w:val="20"/>
        </w:rPr>
      </w:pPr>
      <w:r>
        <w:rPr>
          <w:sz w:val="20"/>
          <w:szCs w:val="20"/>
        </w:rPr>
        <w:t>Now the report is submitted and received by the EU and the</w:t>
      </w:r>
      <w:r>
        <w:rPr>
          <w:rFonts w:ascii="Calibri" w:hAnsi="Calibri"/>
          <w:color w:val="1F497D"/>
          <w:sz w:val="18"/>
          <w:szCs w:val="18"/>
          <w:shd w:fill="FFFFFF" w:val="clear"/>
        </w:rPr>
        <w:t xml:space="preserve"> </w:t>
      </w:r>
      <w:r>
        <w:rPr>
          <w:sz w:val="20"/>
          <w:szCs w:val="20"/>
        </w:rPr>
        <w:t>envelope is available to the public. After a few minutes, confirmation of receipt message and automatic feedback is stored automatically in the envelope's feedback area. Additional feedback might be provided by the Commission or EEA.</w:t>
      </w:r>
    </w:p>
    <w:p>
      <w:pPr>
        <w:pStyle w:val="Default"/>
        <w:jc w:val="both"/>
        <w:rPr>
          <w:sz w:val="20"/>
          <w:szCs w:val="20"/>
        </w:rPr>
      </w:pPr>
      <w:r>
        <w:rPr>
          <w:sz w:val="20"/>
          <w:szCs w:val="20"/>
        </w:rPr>
        <w:t>The result of the automatic quality assessment contains technical information about the validity of reported data and is useful for data receivers.</w:t>
      </w:r>
    </w:p>
    <w:p>
      <w:pPr>
        <w:pStyle w:val="Default"/>
        <w:jc w:val="both"/>
        <w:rPr>
          <w:rFonts w:cs="Times New Roman"/>
          <w:b/>
          <w:b/>
          <w:bCs/>
          <w:color w:val="00000A"/>
          <w:lang w:eastAsia="en-US"/>
        </w:rPr>
      </w:pPr>
      <w:r>
        <w:rPr>
          <w:rFonts w:cs="Times New Roman"/>
          <w:b/>
          <w:bCs/>
          <w:color w:val="00000A"/>
          <w:lang w:eastAsia="en-US"/>
        </w:rPr>
      </w:r>
    </w:p>
    <w:p>
      <w:pPr>
        <w:pStyle w:val="Default"/>
        <w:jc w:val="both"/>
        <w:rPr>
          <w:rFonts w:cs="Times New Roman"/>
          <w:b/>
          <w:b/>
          <w:bCs/>
          <w:color w:val="00000A"/>
          <w:lang w:eastAsia="en-US"/>
        </w:rPr>
      </w:pPr>
      <w:r>
        <w:rPr/>
      </w:r>
    </w:p>
    <w:p>
      <w:pPr>
        <w:pStyle w:val="Heading1"/>
        <w:rPr>
          <w:lang w:val="en-GB"/>
        </w:rPr>
      </w:pPr>
      <w:r>
        <w:rPr>
          <w:lang w:val="en-GB"/>
        </w:rPr>
        <w:t>Getting help</w:t>
      </w:r>
    </w:p>
    <w:p>
      <w:pPr>
        <w:pStyle w:val="Default"/>
        <w:rPr>
          <w:color w:val="00000A"/>
          <w:sz w:val="20"/>
          <w:szCs w:val="20"/>
        </w:rPr>
      </w:pPr>
      <w:r>
        <w:rPr>
          <w:color w:val="00000A"/>
          <w:sz w:val="20"/>
          <w:szCs w:val="20"/>
        </w:rPr>
      </w:r>
    </w:p>
    <w:p>
      <w:pPr>
        <w:pStyle w:val="Default"/>
        <w:rPr/>
      </w:pPr>
      <w:r>
        <w:rPr>
          <w:color w:val="00000A"/>
          <w:sz w:val="20"/>
          <w:szCs w:val="20"/>
        </w:rPr>
        <w:t xml:space="preserve">CDR help and the reporting manual is available at: </w:t>
      </w:r>
      <w:hyperlink r:id="rId52">
        <w:r>
          <w:rPr>
            <w:rStyle w:val="InternetLink"/>
            <w:rFonts w:cs="Arial"/>
            <w:sz w:val="20"/>
            <w:szCs w:val="20"/>
          </w:rPr>
          <w:t>http://cdr.eionet.europa.eu/help</w:t>
        </w:r>
      </w:hyperlink>
    </w:p>
    <w:p>
      <w:pPr>
        <w:pStyle w:val="Default"/>
        <w:rPr>
          <w:color w:val="00000A"/>
          <w:sz w:val="20"/>
          <w:szCs w:val="20"/>
        </w:rPr>
      </w:pPr>
      <w:r>
        <w:rPr>
          <w:color w:val="00000A"/>
          <w:sz w:val="20"/>
          <w:szCs w:val="20"/>
        </w:rPr>
      </w:r>
    </w:p>
    <w:tbl>
      <w:tblPr>
        <w:tblW w:w="883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1e0" w:noVBand="0" w:noHBand="0" w:lastColumn="1" w:firstColumn="1" w:lastRow="1" w:firstRow="1"/>
      </w:tblPr>
      <w:tblGrid>
        <w:gridCol w:w="4417"/>
        <w:gridCol w:w="4416"/>
      </w:tblGrid>
      <w:tr>
        <w:trPr>
          <w:trHeight w:val="858" w:hRule="atLeast"/>
        </w:trPr>
        <w:tc>
          <w:tcPr>
            <w:tcW w:w="4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60" w:after="60"/>
              <w:rPr>
                <w:rFonts w:ascii="Arial" w:hAnsi="Arial" w:cs="Arial"/>
                <w:sz w:val="20"/>
                <w:szCs w:val="20"/>
              </w:rPr>
            </w:pPr>
            <w:r>
              <w:rPr>
                <w:rFonts w:cs="Arial" w:ascii="Arial" w:hAnsi="Arial"/>
                <w:sz w:val="20"/>
                <w:szCs w:val="20"/>
              </w:rPr>
              <w:t xml:space="preserve">For technical assistance with access to CDR and the submission process. </w:t>
            </w:r>
          </w:p>
          <w:p>
            <w:pPr>
              <w:pStyle w:val="Normal"/>
              <w:spacing w:before="60" w:after="60"/>
              <w:rPr>
                <w:rFonts w:ascii="Arial" w:hAnsi="Arial" w:cs="Arial"/>
                <w:sz w:val="20"/>
                <w:szCs w:val="20"/>
              </w:rPr>
            </w:pPr>
            <w:r>
              <w:rPr>
                <w:rFonts w:cs="Arial" w:ascii="Arial" w:hAnsi="Arial"/>
                <w:sz w:val="20"/>
                <w:szCs w:val="20"/>
              </w:rPr>
              <w:t>Questions related to IED Annex I questionnaire reporting</w:t>
            </w:r>
            <w:r>
              <w:rPr>
                <w:rFonts w:cs="Arial" w:ascii="Arial" w:hAnsi="Arial"/>
                <w:sz w:val="20"/>
                <w:szCs w:val="20"/>
                <w:lang w:val="en-US"/>
              </w:rPr>
              <w:t xml:space="preserve"> will be forwarded to the technical team.</w:t>
            </w:r>
          </w:p>
        </w:tc>
        <w:tc>
          <w:tcPr>
            <w:tcW w:w="4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60" w:after="60"/>
              <w:rPr/>
            </w:pPr>
            <w:hyperlink r:id="rId53">
              <w:r>
                <w:rPr>
                  <w:rStyle w:val="InternetLink"/>
                  <w:rFonts w:cs="Arial" w:ascii="Arial" w:hAnsi="Arial"/>
                  <w:sz w:val="20"/>
                  <w:szCs w:val="20"/>
                </w:rPr>
                <w:t>helpdesk@eionet.europa.eu</w:t>
              </w:r>
            </w:hyperlink>
          </w:p>
        </w:tc>
      </w:tr>
    </w:tbl>
    <w:p>
      <w:pPr>
        <w:pStyle w:val="Default"/>
        <w:rPr>
          <w:sz w:val="20"/>
          <w:szCs w:val="20"/>
        </w:rPr>
      </w:pPr>
      <w:r>
        <w:rPr>
          <w:sz w:val="20"/>
          <w:szCs w:val="20"/>
        </w:rPr>
      </w:r>
    </w:p>
    <w:p>
      <w:pPr>
        <w:pStyle w:val="Default"/>
        <w:rPr>
          <w:sz w:val="20"/>
          <w:szCs w:val="20"/>
        </w:rPr>
      </w:pPr>
      <w:r>
        <w:rPr>
          <w:sz w:val="20"/>
          <w:szCs w:val="20"/>
        </w:rPr>
      </w:r>
    </w:p>
    <w:p>
      <w:pPr>
        <w:pStyle w:val="Normal"/>
        <w:spacing w:before="0" w:after="200"/>
        <w:rPr/>
      </w:pPr>
      <w:r>
        <w:rPr/>
      </w:r>
    </w:p>
    <w:sectPr>
      <w:headerReference w:type="default" r:id="rId54"/>
      <w:footerReference w:type="default" r:id="rId55"/>
      <w:type w:val="nextPage"/>
      <w:pgSz w:w="11906" w:h="16838"/>
      <w:pgMar w:left="1134" w:right="1134" w:header="708" w:top="1440" w:footer="708"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DejaVu Sans">
    <w:charset w:val="01"/>
    <w:family w:val="swiss"/>
    <w:pitch w:val="variable"/>
  </w:font>
  <w:font w:name="Arial">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Default"/>
      <w:jc w:val="right"/>
      <w:rPr>
        <w:i/>
        <w:i/>
        <w:sz w:val="16"/>
        <w:szCs w:val="16"/>
      </w:rPr>
    </w:pPr>
    <w:r>
      <w:rPr>
        <w:i/>
        <w:sz w:val="16"/>
        <w:szCs w:val="16"/>
      </w:rPr>
    </w:r>
  </w:p>
  <w:p>
    <w:pPr>
      <w:pStyle w:val="Default"/>
      <w:jc w:val="right"/>
      <w:rPr/>
    </w:pPr>
    <w:r>
      <w:rPr>
        <w:i/>
        <w:sz w:val="16"/>
        <w:szCs w:val="16"/>
      </w:rPr>
      <w:t xml:space="preserve"> </w:t>
    </w:r>
    <w:r>
      <w:rPr>
        <w:i/>
        <w:sz w:val="16"/>
        <w:szCs w:val="16"/>
      </w:rPr>
      <w:t xml:space="preserve">Monitoring Mechanism Regulation (EU) No 749/2014 </w:t>
    </w:r>
    <w:r>
      <w:rPr>
        <w:i/>
        <w:sz w:val="16"/>
        <w:szCs w:val="16"/>
      </w:rPr>
      <w:t xml:space="preserve"> Annex </w:t>
    </w:r>
    <w:r>
      <w:rPr>
        <w:i/>
        <w:sz w:val="16"/>
        <w:szCs w:val="16"/>
      </w:rPr>
      <w:t>XI</w:t>
    </w:r>
    <w:r>
      <w:rPr>
        <w:i/>
        <w:sz w:val="16"/>
        <w:szCs w:val="16"/>
      </w:rPr>
      <w:t xml:space="preserve"> Reporting Manual 1.0 – </w:t>
    </w:r>
    <w:r>
      <w:rPr>
        <w:i/>
        <w:sz w:val="16"/>
        <w:szCs w:val="16"/>
      </w:rPr>
      <w:t>March 2015</w:t>
    </w:r>
    <w:r>
      <w:rPr>
        <w:sz w:val="18"/>
        <w:szCs w:val="18"/>
      </w:rPr>
      <w:tab/>
      <w:tab/>
      <w:tab/>
      <w:tab/>
      <w:tab/>
      <w:tab/>
      <w:tab/>
      <w:tab/>
      <w:tab/>
      <w:t xml:space="preserve"> </w:t>
    </w:r>
    <w:r>
      <w:rPr>
        <w:sz w:val="18"/>
        <w:szCs w:val="18"/>
      </w:rPr>
      <w:fldChar w:fldCharType="begin"/>
    </w:r>
    <w:r>
      <w:instrText> PAGE </w:instrText>
    </w:r>
    <w:r>
      <w:fldChar w:fldCharType="separate"/>
    </w:r>
    <w:r>
      <w:t>15</w:t>
    </w:r>
    <w:r>
      <w:fldChar w:fldCharType="end"/>
    </w:r>
  </w:p>
  <w:p>
    <w:pPr>
      <w:pStyle w:val="Default"/>
      <w:jc w:val="both"/>
      <w:rPr>
        <w:i/>
        <w:i/>
        <w:sz w:val="18"/>
        <w:szCs w:val="18"/>
      </w:rPr>
    </w:pPr>
    <w:r>
      <w:rPr>
        <w:i/>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114300" distR="114300" simplePos="0" locked="0" layoutInCell="1" allowOverlap="1" relativeHeight="16">
          <wp:simplePos x="0" y="0"/>
          <wp:positionH relativeFrom="page">
            <wp:posOffset>4695190</wp:posOffset>
          </wp:positionH>
          <wp:positionV relativeFrom="page">
            <wp:posOffset>330835</wp:posOffset>
          </wp:positionV>
          <wp:extent cx="2601595" cy="664210"/>
          <wp:effectExtent l="0" t="0" r="0" b="0"/>
          <wp:wrapNone/>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1"/>
                  <a:stretch>
                    <a:fillRect/>
                  </a:stretch>
                </pic:blipFill>
                <pic:spPr bwMode="auto">
                  <a:xfrm>
                    <a:off x="0" y="0"/>
                    <a:ext cx="2601595" cy="664210"/>
                  </a:xfrm>
                  <a:prstGeom prst="rect">
                    <a:avLst/>
                  </a:prstGeom>
                  <a:noFill/>
                  <a:ln w="9525">
                    <a:noFill/>
                    <a:miter lim="800000"/>
                    <a:headEnd/>
                    <a:tailEnd/>
                  </a:ln>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Arial" w:hAnsi="Arial" w:cs="Arial" w:hint="default"/>
        <w:sz w:val="20"/>
        <w:b/>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t-E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t-EE" w:eastAsia="et-EE"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d6c1c"/>
    <w:pPr>
      <w:widowControl/>
      <w:suppressAutoHyphens w:val="true"/>
      <w:bidi w:val="0"/>
      <w:spacing w:lineRule="auto" w:line="276" w:before="0" w:after="200"/>
      <w:jc w:val="left"/>
    </w:pPr>
    <w:rPr>
      <w:rFonts w:ascii="Calibri" w:hAnsi="Calibri" w:eastAsia="Times New Roman" w:cs="Times New Roman"/>
      <w:color w:val="auto"/>
      <w:sz w:val="22"/>
      <w:szCs w:val="22"/>
      <w:lang w:val="en-GB" w:eastAsia="en-GB" w:bidi="ar-SA"/>
    </w:rPr>
  </w:style>
  <w:style w:type="paragraph" w:styleId="Heading1">
    <w:name w:val="Heading 1"/>
    <w:basedOn w:val="Normal"/>
    <w:next w:val="Normal"/>
    <w:link w:val="Heading1Char"/>
    <w:qFormat/>
    <w:rsid w:val="00993bd6"/>
    <w:pPr>
      <w:keepNext/>
      <w:spacing w:lineRule="auto" w:line="240" w:before="240" w:after="60"/>
      <w:outlineLvl w:val="0"/>
    </w:pPr>
    <w:rPr>
      <w:rFonts w:ascii="Arial" w:hAnsi="Arial"/>
      <w:b/>
      <w:bCs/>
      <w:sz w:val="32"/>
      <w:szCs w:val="32"/>
      <w:lang w:val="en-US" w:eastAsia="en-US"/>
    </w:rPr>
  </w:style>
  <w:style w:type="paragraph" w:styleId="Heading2">
    <w:name w:val="Heading 2"/>
    <w:basedOn w:val="Normal"/>
    <w:next w:val="Normal"/>
    <w:link w:val="Heading2Char"/>
    <w:qFormat/>
    <w:rsid w:val="00f85d5f"/>
    <w:pPr>
      <w:keepNext/>
      <w:spacing w:lineRule="auto" w:line="240" w:before="240" w:after="60"/>
      <w:outlineLvl w:val="1"/>
    </w:pPr>
    <w:rPr>
      <w:rFonts w:ascii="Arial" w:hAnsi="Arial"/>
      <w:b/>
      <w:bCs/>
      <w:i/>
      <w:iCs/>
      <w:sz w:val="28"/>
      <w:szCs w:val="28"/>
      <w:lang w:val="en-US" w:eastAsia="en-US"/>
    </w:rPr>
  </w:style>
  <w:style w:type="paragraph" w:styleId="Heading3">
    <w:name w:val="Heading 3"/>
    <w:basedOn w:val="Normal"/>
    <w:next w:val="Normal"/>
    <w:link w:val="Heading3Char"/>
    <w:qFormat/>
    <w:rsid w:val="004d6def"/>
    <w:pPr>
      <w:keepNext/>
      <w:spacing w:lineRule="auto" w:line="240" w:before="240" w:after="60"/>
      <w:outlineLvl w:val="2"/>
    </w:pPr>
    <w:rPr>
      <w:rFonts w:ascii="Arial" w:hAnsi="Arial"/>
      <w:b/>
      <w:bCs/>
      <w:sz w:val="26"/>
      <w:szCs w:val="26"/>
      <w:lang w:val="en-US" w:eastAsia="en-US"/>
    </w:rPr>
  </w:style>
  <w:style w:type="character" w:styleId="DefaultParagraphFont" w:default="1">
    <w:name w:val="Default Paragraph Font"/>
    <w:uiPriority w:val="1"/>
    <w:semiHidden/>
    <w:unhideWhenUsed/>
    <w:qFormat/>
    <w:rPr/>
  </w:style>
  <w:style w:type="character" w:styleId="HeaderChar" w:customStyle="1">
    <w:name w:val="Header Char"/>
    <w:link w:val="Header"/>
    <w:qFormat/>
    <w:locked/>
    <w:rsid w:val="006d6c1c"/>
    <w:rPr>
      <w:rFonts w:ascii="Calibri" w:hAnsi="Calibri" w:cs="Times New Roman"/>
      <w:sz w:val="22"/>
      <w:szCs w:val="22"/>
    </w:rPr>
  </w:style>
  <w:style w:type="character" w:styleId="FooterChar" w:customStyle="1">
    <w:name w:val="Footer Char"/>
    <w:link w:val="Footer"/>
    <w:qFormat/>
    <w:locked/>
    <w:rsid w:val="006d6c1c"/>
    <w:rPr>
      <w:rFonts w:ascii="Calibri" w:hAnsi="Calibri" w:cs="Times New Roman"/>
      <w:sz w:val="22"/>
      <w:szCs w:val="22"/>
    </w:rPr>
  </w:style>
  <w:style w:type="character" w:styleId="BalloonTextChar" w:customStyle="1">
    <w:name w:val="Balloon Text Char"/>
    <w:link w:val="BalloonText"/>
    <w:qFormat/>
    <w:locked/>
    <w:rsid w:val="006d6c1c"/>
    <w:rPr>
      <w:rFonts w:ascii="Tahoma" w:hAnsi="Tahoma" w:cs="Tahoma"/>
      <w:sz w:val="16"/>
      <w:szCs w:val="16"/>
    </w:rPr>
  </w:style>
  <w:style w:type="character" w:styleId="Annotationreference">
    <w:name w:val="annotation reference"/>
    <w:uiPriority w:val="99"/>
    <w:qFormat/>
    <w:rsid w:val="00e145d9"/>
    <w:rPr>
      <w:rFonts w:cs="Times New Roman"/>
      <w:sz w:val="16"/>
      <w:szCs w:val="16"/>
    </w:rPr>
  </w:style>
  <w:style w:type="character" w:styleId="CommentTextChar" w:customStyle="1">
    <w:name w:val="Comment Text Char"/>
    <w:link w:val="CommentText"/>
    <w:uiPriority w:val="99"/>
    <w:qFormat/>
    <w:locked/>
    <w:rsid w:val="00e145d9"/>
    <w:rPr>
      <w:rFonts w:ascii="Calibri" w:hAnsi="Calibri" w:cs="Times New Roman"/>
    </w:rPr>
  </w:style>
  <w:style w:type="character" w:styleId="CommentSubjectChar" w:customStyle="1">
    <w:name w:val="Comment Subject Char"/>
    <w:link w:val="CommentSubject"/>
    <w:qFormat/>
    <w:locked/>
    <w:rsid w:val="00e145d9"/>
    <w:rPr>
      <w:rFonts w:ascii="Calibri" w:hAnsi="Calibri" w:cs="Times New Roman"/>
      <w:b/>
      <w:bCs/>
    </w:rPr>
  </w:style>
  <w:style w:type="character" w:styleId="InternetLink">
    <w:name w:val="Internet Link"/>
    <w:rsid w:val="00c85708"/>
    <w:rPr>
      <w:rFonts w:cs="Times New Roman"/>
      <w:color w:val="0000FF"/>
      <w:u w:val="single"/>
    </w:rPr>
  </w:style>
  <w:style w:type="character" w:styleId="Heading1Char" w:customStyle="1">
    <w:name w:val="Heading 1 Char"/>
    <w:link w:val="Heading1"/>
    <w:qFormat/>
    <w:locked/>
    <w:rsid w:val="00993bd6"/>
    <w:rPr>
      <w:rFonts w:ascii="Arial" w:hAnsi="Arial" w:cs="Arial"/>
      <w:b/>
      <w:bCs/>
      <w:sz w:val="32"/>
      <w:szCs w:val="32"/>
      <w:lang w:val="en-US" w:eastAsia="en-US"/>
    </w:rPr>
  </w:style>
  <w:style w:type="character" w:styleId="Heading3Char" w:customStyle="1">
    <w:name w:val="Heading 3 Char"/>
    <w:link w:val="Heading3"/>
    <w:qFormat/>
    <w:locked/>
    <w:rsid w:val="004d6def"/>
    <w:rPr>
      <w:rFonts w:ascii="Arial" w:hAnsi="Arial" w:cs="Arial"/>
      <w:b/>
      <w:bCs/>
      <w:sz w:val="26"/>
      <w:szCs w:val="26"/>
      <w:lang w:val="en-US" w:eastAsia="en-US"/>
    </w:rPr>
  </w:style>
  <w:style w:type="character" w:styleId="Emphasis">
    <w:name w:val="Emphasis"/>
    <w:uiPriority w:val="20"/>
    <w:qFormat/>
    <w:rsid w:val="005c7df0"/>
    <w:rPr>
      <w:i/>
    </w:rPr>
  </w:style>
  <w:style w:type="character" w:styleId="BodyTextChar" w:customStyle="1">
    <w:name w:val="Body Text Char"/>
    <w:link w:val="BodyText"/>
    <w:qFormat/>
    <w:locked/>
    <w:rsid w:val="005c7df0"/>
    <w:rPr>
      <w:rFonts w:eastAsia="Times New Roman" w:cs="Tahoma"/>
      <w:sz w:val="24"/>
      <w:szCs w:val="24"/>
      <w:lang w:val="en-US"/>
    </w:rPr>
  </w:style>
  <w:style w:type="character" w:styleId="Heading2Char" w:customStyle="1">
    <w:name w:val="Heading 2 Char"/>
    <w:link w:val="Heading2"/>
    <w:qFormat/>
    <w:locked/>
    <w:rsid w:val="00f85d5f"/>
    <w:rPr>
      <w:rFonts w:ascii="Arial" w:hAnsi="Arial" w:cs="Arial"/>
      <w:b/>
      <w:bCs/>
      <w:i/>
      <w:iCs/>
      <w:sz w:val="28"/>
      <w:szCs w:val="28"/>
      <w:lang w:val="en-US" w:eastAsia="en-US"/>
    </w:rPr>
  </w:style>
  <w:style w:type="character" w:styleId="Strong">
    <w:name w:val="Strong"/>
    <w:uiPriority w:val="22"/>
    <w:qFormat/>
    <w:rsid w:val="00f85d5f"/>
    <w:rPr>
      <w:b/>
    </w:rPr>
  </w:style>
  <w:style w:type="character" w:styleId="Linksize" w:customStyle="1">
    <w:name w:val="link-size"/>
    <w:qFormat/>
    <w:rsid w:val="0095707a"/>
    <w:rPr>
      <w:rFonts w:cs="Times New Roman"/>
    </w:rPr>
  </w:style>
  <w:style w:type="character" w:styleId="FollowedHyperlink">
    <w:name w:val="FollowedHyperlink"/>
    <w:qFormat/>
    <w:rsid w:val="0095707a"/>
    <w:rPr>
      <w:rFonts w:cs="Times New Roman"/>
      <w:color w:val="800080"/>
      <w:u w:val="single"/>
    </w:rPr>
  </w:style>
  <w:style w:type="character" w:styleId="Ngscope" w:customStyle="1">
    <w:name w:val="ng-scope"/>
    <w:basedOn w:val="DefaultParagraphFont"/>
    <w:qFormat/>
    <w:rsid w:val="0023140e"/>
    <w:rPr/>
  </w:style>
  <w:style w:type="character" w:styleId="Appleconvertedspace" w:customStyle="1">
    <w:name w:val="apple-converted-space"/>
    <w:basedOn w:val="DefaultParagraphFont"/>
    <w:qFormat/>
    <w:rsid w:val="00c871cb"/>
    <w:rPr/>
  </w:style>
  <w:style w:type="character" w:styleId="Il" w:customStyle="1">
    <w:name w:val="il"/>
    <w:basedOn w:val="DefaultParagraphFont"/>
    <w:qFormat/>
    <w:rsid w:val="00670d1d"/>
    <w:rPr/>
  </w:style>
  <w:style w:type="character" w:styleId="ListLabel1">
    <w:name w:val="ListLabel 1"/>
    <w:qFormat/>
    <w:rPr>
      <w:sz w:val="20"/>
    </w:rPr>
  </w:style>
  <w:style w:type="character" w:styleId="ListLabel2">
    <w:name w:val="ListLabel 2"/>
    <w:qFormat/>
    <w:rPr>
      <w:rFonts w:ascii="Arial" w:hAnsi="Arial" w:eastAsia="Times New Roman"/>
      <w:b/>
      <w:sz w:val="20"/>
    </w:rPr>
  </w:style>
  <w:style w:type="character" w:styleId="ListLabel3">
    <w:name w:val="ListLabel 3"/>
    <w:qFormat/>
    <w:rPr>
      <w:sz w:val="18"/>
    </w:rPr>
  </w:style>
  <w:style w:type="character" w:styleId="ListLabel4">
    <w:name w:val="ListLabel 4"/>
    <w:qFormat/>
    <w:rPr>
      <w:rFonts w:cs="Times New Roman"/>
    </w:rPr>
  </w:style>
  <w:style w:type="character" w:styleId="ListLabel5">
    <w:name w:val="ListLabel 5"/>
    <w:qFormat/>
    <w:rPr>
      <w:color w:val="FF6600"/>
      <w:sz w:val="24"/>
    </w:rPr>
  </w:style>
  <w:style w:type="character" w:styleId="ListLabel6">
    <w:name w:val="ListLabel 6"/>
    <w:qFormat/>
    <w:rPr>
      <w:rFonts w:cs="Courier New"/>
    </w:rPr>
  </w:style>
  <w:style w:type="character" w:styleId="ListLabel7">
    <w:name w:val="ListLabel 7"/>
    <w:qFormat/>
    <w:rPr>
      <w:rFonts w:eastAsia="Times New Roman" w:cs="Arial"/>
      <w:i w:val="false"/>
    </w:rPr>
  </w:style>
  <w:style w:type="character" w:styleId="StrongEmphasis">
    <w:name w:val="Strong Emphasis"/>
    <w:rPr>
      <w:b/>
      <w:bCs/>
    </w:rPr>
  </w:style>
  <w:style w:type="paragraph" w:styleId="Heading">
    <w:name w:val="Heading"/>
    <w:basedOn w:val="Normal"/>
    <w:next w:val="TextBody"/>
    <w:qFormat/>
    <w:pPr>
      <w:keepNext/>
      <w:spacing w:before="240" w:after="120"/>
    </w:pPr>
    <w:rPr>
      <w:rFonts w:ascii="DejaVu Sans" w:hAnsi="DejaVu Sans" w:eastAsia="DejaVu Sans" w:cs="DejaVu Sans"/>
      <w:sz w:val="28"/>
      <w:szCs w:val="28"/>
    </w:rPr>
  </w:style>
  <w:style w:type="paragraph" w:styleId="TextBody">
    <w:name w:val="Text Body"/>
    <w:basedOn w:val="Normal"/>
    <w:link w:val="BodyTextChar"/>
    <w:rsid w:val="005c7df0"/>
    <w:pPr>
      <w:widowControl w:val="false"/>
      <w:suppressAutoHyphens w:val="true"/>
      <w:spacing w:lineRule="auto" w:line="240" w:before="0" w:after="120"/>
    </w:pPr>
    <w:rPr>
      <w:rFonts w:ascii="Times New Roman" w:hAnsi="Times New Roman"/>
      <w:sz w:val="24"/>
      <w:szCs w:val="24"/>
      <w:lang w:val="en-US"/>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Default" w:customStyle="1">
    <w:name w:val="Default"/>
    <w:qFormat/>
    <w:rsid w:val="006d6c1c"/>
    <w:pPr>
      <w:widowControl w:val="false"/>
      <w:suppressAutoHyphens w:val="true"/>
      <w:bidi w:val="0"/>
      <w:jc w:val="left"/>
    </w:pPr>
    <w:rPr>
      <w:rFonts w:ascii="Arial" w:hAnsi="Arial" w:cs="Arial" w:eastAsia="Times New Roman"/>
      <w:color w:val="000000"/>
      <w:sz w:val="24"/>
      <w:szCs w:val="24"/>
      <w:lang w:val="en-GB" w:eastAsia="en-GB" w:bidi="ar-SA"/>
    </w:rPr>
  </w:style>
  <w:style w:type="paragraph" w:styleId="Header">
    <w:name w:val="Header"/>
    <w:basedOn w:val="Normal"/>
    <w:link w:val="HeaderChar"/>
    <w:rsid w:val="006d6c1c"/>
    <w:pPr>
      <w:tabs>
        <w:tab w:val="center" w:pos="4513" w:leader="none"/>
        <w:tab w:val="right" w:pos="9026" w:leader="none"/>
      </w:tabs>
      <w:spacing w:lineRule="auto" w:line="240" w:before="0" w:after="0"/>
    </w:pPr>
    <w:rPr/>
  </w:style>
  <w:style w:type="paragraph" w:styleId="Footer">
    <w:name w:val="Footer"/>
    <w:basedOn w:val="Normal"/>
    <w:link w:val="FooterChar"/>
    <w:rsid w:val="006d6c1c"/>
    <w:pPr>
      <w:tabs>
        <w:tab w:val="center" w:pos="4513" w:leader="none"/>
        <w:tab w:val="right" w:pos="9026" w:leader="none"/>
      </w:tabs>
      <w:spacing w:lineRule="auto" w:line="240" w:before="0" w:after="0"/>
    </w:pPr>
    <w:rPr/>
  </w:style>
  <w:style w:type="paragraph" w:styleId="BalloonText">
    <w:name w:val="Balloon Text"/>
    <w:basedOn w:val="Normal"/>
    <w:link w:val="BalloonTextChar"/>
    <w:qFormat/>
    <w:rsid w:val="006d6c1c"/>
    <w:pPr>
      <w:spacing w:lineRule="auto" w:line="240" w:before="0" w:after="0"/>
    </w:pPr>
    <w:rPr>
      <w:rFonts w:ascii="Tahoma" w:hAnsi="Tahoma"/>
      <w:sz w:val="16"/>
      <w:szCs w:val="16"/>
    </w:rPr>
  </w:style>
  <w:style w:type="paragraph" w:styleId="Annotationtext">
    <w:name w:val="annotation text"/>
    <w:basedOn w:val="Normal"/>
    <w:link w:val="CommentTextChar"/>
    <w:uiPriority w:val="99"/>
    <w:qFormat/>
    <w:rsid w:val="00e145d9"/>
    <w:pPr>
      <w:spacing w:lineRule="auto" w:line="240"/>
    </w:pPr>
    <w:rPr>
      <w:sz w:val="20"/>
      <w:szCs w:val="20"/>
    </w:rPr>
  </w:style>
  <w:style w:type="paragraph" w:styleId="Annotationsubject">
    <w:name w:val="annotation subject"/>
    <w:basedOn w:val="Annotationtext"/>
    <w:link w:val="CommentSubjectChar"/>
    <w:qFormat/>
    <w:rsid w:val="00e145d9"/>
    <w:pPr/>
    <w:rPr>
      <w:b/>
      <w:bCs/>
    </w:rPr>
  </w:style>
  <w:style w:type="paragraph" w:styleId="NormalWeb">
    <w:name w:val="Normal (Web)"/>
    <w:basedOn w:val="Normal"/>
    <w:qFormat/>
    <w:rsid w:val="00c85708"/>
    <w:pPr>
      <w:spacing w:lineRule="auto" w:line="240" w:beforeAutospacing="1" w:afterAutospacing="1"/>
    </w:pPr>
    <w:rPr>
      <w:rFonts w:ascii="Times New Roman" w:hAnsi="Times New Roman"/>
      <w:sz w:val="24"/>
      <w:szCs w:val="24"/>
    </w:rPr>
  </w:style>
  <w:style w:type="paragraph" w:styleId="ListParagraph">
    <w:name w:val="List Paragraph"/>
    <w:basedOn w:val="Normal"/>
    <w:qFormat/>
    <w:rsid w:val="005c7df0"/>
    <w:pPr>
      <w:spacing w:before="0" w:after="200"/>
      <w:ind w:left="720" w:hanging="0"/>
      <w:contextualSpacing/>
    </w:pPr>
    <w:rPr/>
  </w:style>
  <w:style w:type="paragraph" w:styleId="ListBullet">
    <w:name w:val="List Bullet"/>
    <w:basedOn w:val="Normal"/>
    <w:qFormat/>
    <w:rsid w:val="005b56b2"/>
    <w:pPr>
      <w:spacing w:lineRule="auto" w:line="240" w:before="0" w:after="240"/>
      <w:jc w:val="both"/>
    </w:pPr>
    <w:rPr>
      <w:rFonts w:ascii="Times New Roman" w:hAnsi="Times New Roman"/>
      <w:sz w:val="24"/>
      <w:szCs w:val="20"/>
      <w:lang w:eastAsia="en-US"/>
    </w:rPr>
  </w:style>
  <w:style w:type="paragraph" w:styleId="Revision">
    <w:name w:val="Revision"/>
    <w:uiPriority w:val="99"/>
    <w:semiHidden/>
    <w:qFormat/>
    <w:rsid w:val="003f69f2"/>
    <w:pPr>
      <w:widowControl/>
      <w:suppressAutoHyphens w:val="true"/>
      <w:bidi w:val="0"/>
      <w:jc w:val="left"/>
    </w:pPr>
    <w:rPr>
      <w:rFonts w:ascii="Calibri" w:hAnsi="Calibri" w:eastAsia="Times New Roman" w:cs="Times New Roman"/>
      <w:color w:val="auto"/>
      <w:sz w:val="22"/>
      <w:szCs w:val="22"/>
      <w:lang w:val="en-GB" w:eastAsia="en-GB" w:bidi="ar-SA"/>
    </w:rPr>
  </w:style>
  <w:style w:type="paragraph" w:styleId="FrameContents">
    <w:name w:val="Frame Content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3d66f0"/>
    <w:rPr>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helpdesk@eionet.europa.eu" TargetMode="External"/><Relationship Id="rId4" Type="http://schemas.openxmlformats.org/officeDocument/2006/relationships/hyperlink" Target="http://cdr.eionet.europa.eu/" TargetMode="External"/><Relationship Id="rId5" Type="http://schemas.openxmlformats.org/officeDocument/2006/relationships/image" Target="media/image2.png"/><Relationship Id="rId6" Type="http://schemas.openxmlformats.org/officeDocument/2006/relationships/hyperlink" Target="http://cdr.eionet.europa.eu/at/eu/ied/annex1" TargetMode="External"/><Relationship Id="rId7" Type="http://schemas.openxmlformats.org/officeDocument/2006/relationships/hyperlink" Target="http://cdr.eionet.europa.eu/be/eu/ied/annex1" TargetMode="External"/><Relationship Id="rId8" Type="http://schemas.openxmlformats.org/officeDocument/2006/relationships/hyperlink" Target="http://cdr.eionet.europa.eu/bg/eu/ied/annex1" TargetMode="External"/><Relationship Id="rId9" Type="http://schemas.openxmlformats.org/officeDocument/2006/relationships/hyperlink" Target="http://cdr.eionet.europa.eu/hr/eu/ied/annex1" TargetMode="External"/><Relationship Id="rId10" Type="http://schemas.openxmlformats.org/officeDocument/2006/relationships/hyperlink" Target="http://cdr.eionet.europa.eu/cy/eu/ied/annex1" TargetMode="External"/><Relationship Id="rId11" Type="http://schemas.openxmlformats.org/officeDocument/2006/relationships/hyperlink" Target="http://cdr.eionet.europa.eu/cz/eu/ied/annex1" TargetMode="External"/><Relationship Id="rId12" Type="http://schemas.openxmlformats.org/officeDocument/2006/relationships/hyperlink" Target="http://cdr.eionet.europa.eu/dk/eu/ied/annex1" TargetMode="External"/><Relationship Id="rId13" Type="http://schemas.openxmlformats.org/officeDocument/2006/relationships/hyperlink" Target="http://cdr.eionet.europa.eu/ee/eu/ied/annex1" TargetMode="External"/><Relationship Id="rId14" Type="http://schemas.openxmlformats.org/officeDocument/2006/relationships/hyperlink" Target="http://cdr.eionet.europa.eu/fi/eu/ied/annex1" TargetMode="External"/><Relationship Id="rId15" Type="http://schemas.openxmlformats.org/officeDocument/2006/relationships/hyperlink" Target="http://cdr.eionet.europa.eu/fr/eu/ied/annex1" TargetMode="External"/><Relationship Id="rId16" Type="http://schemas.openxmlformats.org/officeDocument/2006/relationships/hyperlink" Target="http://cdr.eionet.europa.eu/de/eu/ied/annex1" TargetMode="External"/><Relationship Id="rId17" Type="http://schemas.openxmlformats.org/officeDocument/2006/relationships/hyperlink" Target="http://cdr.eionet.europa.eu/gr/eu/ied/annex1" TargetMode="External"/><Relationship Id="rId18" Type="http://schemas.openxmlformats.org/officeDocument/2006/relationships/hyperlink" Target="http://cdr.eionet.europa.eu/hu/eu/ied/annex1" TargetMode="External"/><Relationship Id="rId19" Type="http://schemas.openxmlformats.org/officeDocument/2006/relationships/hyperlink" Target="http://cdr.eionet.europa.eu/is/eu/ied/annex1" TargetMode="External"/><Relationship Id="rId20" Type="http://schemas.openxmlformats.org/officeDocument/2006/relationships/hyperlink" Target="http://cdr.eionet.europa.eu/ie/eu/ied/annex1" TargetMode="External"/><Relationship Id="rId21" Type="http://schemas.openxmlformats.org/officeDocument/2006/relationships/hyperlink" Target="http://cdr.eionet.europa.eu/it/eu/ied/annex1" TargetMode="External"/><Relationship Id="rId22" Type="http://schemas.openxmlformats.org/officeDocument/2006/relationships/hyperlink" Target="http://cdr.eionet.europa.eu/lv/eu/ied/annex1" TargetMode="External"/><Relationship Id="rId23" Type="http://schemas.openxmlformats.org/officeDocument/2006/relationships/hyperlink" Target="http://cdr.eionet.europa.eu/li/eu/ied/annex1" TargetMode="External"/><Relationship Id="rId24" Type="http://schemas.openxmlformats.org/officeDocument/2006/relationships/hyperlink" Target="http://cdr.eionet.europa.eu/lt/eu/ied/annex1" TargetMode="External"/><Relationship Id="rId25" Type="http://schemas.openxmlformats.org/officeDocument/2006/relationships/hyperlink" Target="http://cdr.eionet.europa.eu/lu/eu/ied/annex1" TargetMode="External"/><Relationship Id="rId26" Type="http://schemas.openxmlformats.org/officeDocument/2006/relationships/hyperlink" Target="http://cdr.eionet.europa.eu/mt/eu/ied/annex1" TargetMode="External"/><Relationship Id="rId27" Type="http://schemas.openxmlformats.org/officeDocument/2006/relationships/hyperlink" Target="http://cdr.eionet.europa.eu/nl/eu/ied/annex1" TargetMode="External"/><Relationship Id="rId28" Type="http://schemas.openxmlformats.org/officeDocument/2006/relationships/hyperlink" Target="http://cdr.eionet.europa.eu/no/eu/ied/annex1" TargetMode="External"/><Relationship Id="rId29" Type="http://schemas.openxmlformats.org/officeDocument/2006/relationships/hyperlink" Target="http://cdr.eionet.europa.eu/pl/eu/ied/annex1" TargetMode="External"/><Relationship Id="rId30" Type="http://schemas.openxmlformats.org/officeDocument/2006/relationships/hyperlink" Target="http://cdr.eionet.europa.eu/pt/eu/ied/annex1" TargetMode="External"/><Relationship Id="rId31" Type="http://schemas.openxmlformats.org/officeDocument/2006/relationships/hyperlink" Target="http://cdr.eionet.europa.eu/ro/eu/ied/annex1" TargetMode="External"/><Relationship Id="rId32" Type="http://schemas.openxmlformats.org/officeDocument/2006/relationships/hyperlink" Target="http://cdr.eionet.europa.eu/sk/eu/ied/annex1" TargetMode="External"/><Relationship Id="rId33" Type="http://schemas.openxmlformats.org/officeDocument/2006/relationships/hyperlink" Target="http://cdr.eionet.europa.eu/si/eu/ied/annex1" TargetMode="External"/><Relationship Id="rId34" Type="http://schemas.openxmlformats.org/officeDocument/2006/relationships/hyperlink" Target="http://cdr.eionet.europa.eu/es/eu/ied/annex1" TargetMode="External"/><Relationship Id="rId35" Type="http://schemas.openxmlformats.org/officeDocument/2006/relationships/hyperlink" Target="http://cdr.eionet.europa.eu/se/eu/ied/annex1" TargetMode="External"/><Relationship Id="rId36" Type="http://schemas.openxmlformats.org/officeDocument/2006/relationships/hyperlink" Target="http://cdr.eionet.europa.eu/gb/eu/ied/annex1" TargetMode="External"/><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hyperlink" Target="http://www.google.com/" TargetMode="External"/><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hyperlink" Target="http://cdr.eionet.europa.eu/help" TargetMode="External"/><Relationship Id="rId53" Type="http://schemas.openxmlformats.org/officeDocument/2006/relationships/hyperlink" Target="mailto:helpdesk@eionet.europa.eu"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7.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95881D-C6ED-4593-9592-AB5077947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5674</TotalTime>
  <Application>LibreOffice/4.4.0.3$Linux_X86_64 LibreOffice_project/40m0$Build-3</Application>
  <Paragraphs>187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2015-01-14T10:37:00Z</dcterms:created>
  <dc:creator>European Environment Agency</dc:creator>
  <dc:language>en-US</dc:language>
  <cp:lastPrinted>2014-07-04T14:37:00Z</cp:lastPrinted>
  <dcterms:modified xsi:type="dcterms:W3CDTF">2015-02-25T13:20:56Z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