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0"/>
      </w:pPr>
    </w:p>
    <w:p>
      <w:pPr>
        <w:spacing w:after="360"/>
        <w:jc w:val="center"/>
      </w:pPr>
      <w:r>
        <w:rPr>
          <w:rFonts w:ascii="Calibri" w:hAnsi="Calibri" w:eastAsia="Calibri"/>
          <w:b/>
          <w:color w:val="7A5A00"/>
          <w:sz w:val="21"/>
        </w:rPr>
        <w:t>BESTANDSANALYSE</w:t>
      </w:r>
    </w:p>
    <w:p>
      <w:pPr>
        <w:pStyle w:val="Title"/>
        <w:jc w:val="center"/>
      </w:pPr>
      <w:r>
        <w:t>Zeitreise - Die Geschichte des Lebens</w:t>
      </w:r>
    </w:p>
    <w:p>
      <w:pPr>
        <w:pStyle w:val="Subtitle"/>
        <w:jc w:val="center"/>
      </w:pPr>
      <w:r>
        <w:t>Konsolidierte Analyse des aktuellen Projektstands</w:t>
      </w:r>
    </w:p>
    <w:p>
      <w:pPr>
        <w:spacing w:before="240" w:after="960"/>
        <w:jc w:val="center"/>
      </w:pPr>
      <w:r>
        <w:rPr>
          <w:rFonts w:ascii="Calibri" w:hAnsi="Calibri" w:eastAsia="Calibri"/>
          <w:i/>
          <w:color w:val="5B6573"/>
          <w:sz w:val="22"/>
        </w:rPr>
        <w:t>Grundlagen, Überschneidungen, Konflikte und empfohlener Fahrplan</w:t>
      </w:r>
    </w:p>
    <w:p>
      <w:pPr>
        <w:spacing w:after="100"/>
        <w:jc w:val="center"/>
      </w:pPr>
      <w:r>
        <w:rPr>
          <w:rFonts w:ascii="Calibri" w:hAnsi="Calibri" w:eastAsia="Calibri"/>
          <w:b/>
          <w:color w:val="0B2545"/>
          <w:sz w:val="21"/>
        </w:rPr>
        <w:t>Dokumentbasis: fünf vorliegende Word-Dateien</w:t>
      </w:r>
    </w:p>
    <w:p>
      <w:pPr>
        <w:spacing w:after="80"/>
        <w:jc w:val="center"/>
      </w:pPr>
      <w:r>
        <w:rPr>
          <w:rFonts w:ascii="Calibri" w:hAnsi="Calibri" w:eastAsia="Calibri"/>
          <w:color w:val="5B6573"/>
          <w:sz w:val="20"/>
        </w:rPr>
        <w:t>Stand: 27. Juli 2026</w:t>
      </w:r>
    </w:p>
    <w:p>
      <w:pPr>
        <w:spacing w:before="840" w:after="0"/>
        <w:jc w:val="center"/>
      </w:pPr>
      <w:r>
        <w:rPr>
          <w:rFonts w:ascii="Calibri" w:hAnsi="Calibri" w:eastAsia="Calibri"/>
          <w:b/>
          <w:color w:val="7A5A00"/>
          <w:sz w:val="19"/>
        </w:rPr>
        <w:t>Nur Konsolidierung und Analyse - keine Überarbeitung der Episoden</w:t>
      </w:r>
    </w:p>
    <w:p>
      <w:r>
        <w:br w:type="page"/>
      </w:r>
    </w:p>
    <w:p>
      <w:pPr>
        <w:pStyle w:val="Heading1"/>
      </w:pPr>
      <w:r>
        <w:t>Gesamturteil</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Kernaussage</w:t>
        <w:br/>
      </w:r>
      <w:r>
        <w:rPr>
          <w:rFonts w:ascii="Calibri" w:hAnsi="Calibri" w:eastAsia="Calibri"/>
          <w:color w:val="1A1A1A"/>
          <w:sz w:val="22"/>
        </w:rPr>
        <w:t>Das Projekt ist konzeptionell weit fortgeschritten, aber noch nicht produktionsreif konsolidiert. Der derzeitige Engpass ist nicht Ideenmangel, sondern das Fehlen einer verbindlichen Single Source of Truth. Dateinamen, Ordnerstruktur, technische Formate und Zuständigkeiten werden in mehreren Dokumenten unterschiedlich definiert.</w:t>
      </w:r>
    </w:p>
    <w:p>
      <w:pPr>
        <w:spacing w:after="160"/>
      </w:pPr>
      <w:r>
        <w:t>Vorhanden sind eine Grundstruktur für die Production Bible, umfangreiche Entwürfe für wiederverwendbare Assets, ein Sound- und ein Animationskatalog sowie eine vollständige dramaturgische Grobfolge für Episode 1 mit 22 Szenen.</w:t>
      </w:r>
    </w:p>
    <w:p>
      <w:r>
        <w:rPr>
          <w:rFonts w:ascii="Calibri" w:hAnsi="Calibri" w:eastAsia="Calibri"/>
          <w:b/>
          <w:color w:val="0B2545"/>
        </w:rPr>
        <w:t xml:space="preserve">Wichtige Abgrenzung: </w:t>
      </w:r>
      <w:r>
        <w:rPr>
          <w:rFonts w:ascii="Calibri" w:hAnsi="Calibri" w:eastAsia="Calibri"/>
        </w:rPr>
        <w:t>Die vorliegenden Dateien dokumentieren geplante Assets. Sie belegen nicht, dass die genannten Bilder, Sounds, Animationen oder HTML-Komponenten bereits produziert wurden.</w:t>
      </w:r>
    </w:p>
    <w:p>
      <w:pPr>
        <w:pStyle w:val="Heading2"/>
      </w:pPr>
      <w:r>
        <w:t>Dokumentstatus</w:t>
      </w:r>
    </w:p>
    <w:tbl>
      <w:tblPr>
        <w:tblW w:type="dxa" w:w="9360"/>
        <w:jc w:val="left"/>
        <w:tblLayout w:type="fixed"/>
        <w:tblLook w:firstColumn="1" w:firstRow="1" w:lastColumn="0" w:lastRow="0" w:noHBand="0" w:noVBand="1" w:val="04A0"/>
        <w:tblInd w:type="dxa" w:w="120"/>
        <w:tblBorders>
          <w:top w:val="single" w:sz="4" w:space="0" w:color="CAD1DA"/>
          <w:start w:val="single" w:sz="4" w:space="0" w:color="CAD1DA"/>
          <w:bottom w:val="single" w:sz="4" w:space="0" w:color="CAD1DA"/>
          <w:end w:val="single" w:sz="4" w:space="0" w:color="CAD1DA"/>
          <w:insideH w:val="single" w:sz="4" w:space="0" w:color="CAD1DA"/>
          <w:insideV w:val="single" w:sz="4" w:space="0" w:color="CAD1DA"/>
        </w:tblBorders>
      </w:tblPr>
      <w:tblGrid>
        <w:gridCol w:w="2700"/>
        <w:gridCol w:w="6660"/>
      </w:tblGrid>
      <w:tr>
        <w:trPr>
          <w:tblHeader w:val="true"/>
        </w:trPr>
        <w:tc>
          <w:tcPr>
            <w:tcW w:type="dxa" w:w="2700"/>
            <w:shd w:fill="F2F4F7"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Dokument</w:t>
            </w:r>
          </w:p>
        </w:tc>
        <w:tc>
          <w:tcPr>
            <w:tcW w:type="dxa" w:w="6660"/>
            <w:shd w:fill="F2F4F7"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Tatsächlicher Stand</w:t>
            </w:r>
          </w:p>
        </w:tc>
      </w:tr>
      <w:tr>
        <w:trPr/>
        <w:tc>
          <w:tcPr>
            <w:tcW w:type="dxa" w:w="27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Production Bible Band 1, V0.1</w:t>
            </w:r>
          </w:p>
        </w:tc>
        <w:tc>
          <w:tcPr>
            <w:tcW w:type="dxa" w:w="66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Belastbares Grundgerüst mit zehn Kapiteln, aber noch keine vollständige Produktionsspezifikation.</w:t>
            </w:r>
          </w:p>
        </w:tc>
      </w:tr>
      <w:tr>
        <w:trPr/>
        <w:tc>
          <w:tcPr>
            <w:tcW w:type="dxa" w:w="27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Asset-Bibliothek V1.0</w:t>
            </w:r>
          </w:p>
        </w:tc>
        <w:tc>
          <w:tcPr>
            <w:tcW w:type="dxa" w:w="66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Umfangreiche Soll-Liste - unter anderem rund 208 Overlay-Varianten -, aber kein verifizierter Assetbestand.</w:t>
            </w:r>
          </w:p>
        </w:tc>
      </w:tr>
      <w:tr>
        <w:trPr/>
        <w:tc>
          <w:tcPr>
            <w:tcW w:type="dxa" w:w="27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Soundbibliothek V1</w:t>
            </w:r>
          </w:p>
        </w:tc>
        <w:tc>
          <w:tcPr>
            <w:tcW w:type="dxa" w:w="66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25 konkret benannte Sounds und brauchbare Qualitätsregeln; die Benennung kollidiert mit anderen Dokumenten.</w:t>
            </w:r>
          </w:p>
        </w:tc>
      </w:tr>
      <w:tr>
        <w:trPr/>
        <w:tc>
          <w:tcPr>
            <w:tcW w:type="dxa" w:w="27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Animationskatalog V1.0</w:t>
            </w:r>
          </w:p>
        </w:tc>
        <w:tc>
          <w:tcPr>
            <w:tcW w:type="dxa" w:w="66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24 wiederverwendbare Bewegungs- und Übergangstypen sowie allgemeine Bewegungsregeln; noch keine technische Implementierungsspezifikation.</w:t>
            </w:r>
          </w:p>
        </w:tc>
      </w:tr>
      <w:tr>
        <w:trPr/>
        <w:tc>
          <w:tcPr>
            <w:tcW w:type="dxa" w:w="27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Episoden und mehr</w:t>
            </w:r>
          </w:p>
        </w:tc>
        <w:tc>
          <w:tcPr>
            <w:tcW w:type="dxa" w:w="66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Gewachsenes Sammeldokument aus Episode-1-Entwurf, Regieideen, Entscheidungen und GPT-Work-Arbeitsauftrag; kein sauberes Episodenhandbuch.</w:t>
            </w:r>
          </w:p>
        </w:tc>
      </w:tr>
    </w:tbl>
    <w:p>
      <w:pPr>
        <w:spacing w:before="40" w:after="0"/>
      </w:pPr>
    </w:p>
    <w:p>
      <w:pPr>
        <w:pStyle w:val="Heading1"/>
      </w:pPr>
      <w:r>
        <w:t>1. Was bereits fertig ist und unverändert bleiben sollte</w:t>
      </w:r>
    </w:p>
    <w:p>
      <w:pPr>
        <w:spacing w:after="160"/>
      </w:pPr>
      <w:r>
        <w:t>Keines der fünf Dokumente ist als Ganzes freigabereif. Mehrere inhaltliche Grundentscheidungen sind jedoch stabil genug, um sie als Freeze-Kandidaten zu behandeln:</w:t>
      </w:r>
    </w:p>
    <w:p>
      <w:pPr>
        <w:pStyle w:val="ListNumber"/>
        <w:numPr>
          <w:ilvl w:val="0"/>
          <w:numId w:val="10"/>
        </w:numPr>
      </w:pPr>
      <w:r>
        <w:rPr>
          <w:rFonts w:ascii="Calibri" w:hAnsi="Calibri" w:eastAsia="Calibri"/>
          <w:b/>
        </w:rPr>
        <w:t>Projektvision</w:t>
      </w:r>
      <w:r>
        <w:rPr>
          <w:rFonts w:ascii="Calibri" w:hAnsi="Calibri" w:eastAsia="Calibri"/>
        </w:rPr>
        <w:t>: Interaktive HTML5-Zeitreise, dokumentarische Qualität, wissenschaftliche Genauigkeit, fotorealistische Gestaltung und hohe Wiederverwendbarkeit.</w:t>
      </w:r>
    </w:p>
    <w:p>
      <w:pPr>
        <w:pStyle w:val="ListNumber"/>
        <w:numPr>
          <w:ilvl w:val="0"/>
          <w:numId w:val="10"/>
        </w:numPr>
      </w:pPr>
      <w:r>
        <w:rPr>
          <w:rFonts w:ascii="Calibri" w:hAnsi="Calibri" w:eastAsia="Calibri"/>
          <w:b/>
        </w:rPr>
        <w:t>Gestalterische Grundhaltung</w:t>
      </w:r>
      <w:r>
        <w:rPr>
          <w:rFonts w:ascii="Calibri" w:hAnsi="Calibri" w:eastAsia="Calibri"/>
        </w:rPr>
        <w:t>: Ruhige Kameraführung, natürliche Farben, glaubwürdige Bewegungen, keine hektischen Computerspieleffekte und Orientierung an hochwertiger Naturdokumentation.</w:t>
      </w:r>
    </w:p>
    <w:p>
      <w:pPr>
        <w:pStyle w:val="ListNumber"/>
        <w:numPr>
          <w:ilvl w:val="0"/>
          <w:numId w:val="10"/>
        </w:numPr>
      </w:pPr>
      <w:r>
        <w:rPr>
          <w:rFonts w:ascii="Calibri" w:hAnsi="Calibri" w:eastAsia="Calibri"/>
          <w:b/>
        </w:rPr>
        <w:t>Bibliotheksprinzip</w:t>
      </w:r>
      <w:r>
        <w:rPr>
          <w:rFonts w:ascii="Calibri" w:hAnsi="Calibri" w:eastAsia="Calibri"/>
        </w:rPr>
        <w:t>: Wiederkehrende Assets sollen zentral, modular und möglichst episodenunabhängig verwaltet werden. Neue Assets sollen nur entstehen, wenn kein geeigneter Bibliotheksbestand vorhanden ist.</w:t>
      </w:r>
    </w:p>
    <w:p>
      <w:pPr>
        <w:pStyle w:val="ListNumber"/>
        <w:numPr>
          <w:ilvl w:val="0"/>
          <w:numId w:val="10"/>
        </w:numPr>
      </w:pPr>
      <w:r>
        <w:rPr>
          <w:rFonts w:ascii="Calibri" w:hAnsi="Calibri" w:eastAsia="Calibri"/>
          <w:b/>
        </w:rPr>
        <w:t>Grundsätzliche Produktionspipeline</w:t>
      </w:r>
      <w:r>
        <w:rPr>
          <w:rFonts w:ascii="Calibri" w:hAnsi="Calibri" w:eastAsia="Calibri"/>
        </w:rPr>
        <w:t>: Regiebuch, Storyboard, Panorama, Overlays, Audio, Animation, HTML5, Test und Release.</w:t>
      </w:r>
    </w:p>
    <w:p>
      <w:pPr>
        <w:pStyle w:val="ListNumber"/>
        <w:numPr>
          <w:ilvl w:val="0"/>
          <w:numId w:val="10"/>
        </w:numPr>
      </w:pPr>
      <w:r>
        <w:rPr>
          <w:rFonts w:ascii="Calibri" w:hAnsi="Calibri" w:eastAsia="Calibri"/>
          <w:b/>
        </w:rPr>
        <w:t>Sound-Grundstandard</w:t>
      </w:r>
      <w:r>
        <w:rPr>
          <w:rFonts w:ascii="Calibri" w:hAnsi="Calibri" w:eastAsia="Calibri"/>
        </w:rPr>
        <w:t>: 48 kHz/24 Bit als Master, weboptimierte Ableitungen, nahtlose Loops, keine abrupten Übergänge und klare Verständlichkeit des Sprechers.</w:t>
      </w:r>
    </w:p>
    <w:p>
      <w:pPr>
        <w:pStyle w:val="ListNumber"/>
        <w:numPr>
          <w:ilvl w:val="0"/>
          <w:numId w:val="10"/>
        </w:numPr>
      </w:pPr>
      <w:r>
        <w:rPr>
          <w:rFonts w:ascii="Calibri" w:hAnsi="Calibri" w:eastAsia="Calibri"/>
          <w:b/>
        </w:rPr>
        <w:t>Animationsgrundregeln</w:t>
      </w:r>
      <w:r>
        <w:rPr>
          <w:rFonts w:ascii="Calibri" w:hAnsi="Calibri" w:eastAsia="Calibri"/>
        </w:rPr>
        <w:t>: Ruhig, physikalisch plausibel, unauffällig, möglichst nahtlos und mit höchstens drei Overlay-Animationen pro Szene.</w:t>
      </w:r>
    </w:p>
    <w:p>
      <w:pPr>
        <w:pStyle w:val="ListNumber"/>
        <w:numPr>
          <w:ilvl w:val="0"/>
          <w:numId w:val="10"/>
        </w:numPr>
      </w:pPr>
      <w:r>
        <w:rPr>
          <w:rFonts w:ascii="Calibri" w:hAnsi="Calibri" w:eastAsia="Calibri"/>
          <w:b/>
        </w:rPr>
        <w:t>Dramaturgische Grundfolge von Episode 1</w:t>
      </w:r>
      <w:r>
        <w:rPr>
          <w:rFonts w:ascii="Calibri" w:hAnsi="Calibri" w:eastAsia="Calibri"/>
        </w:rPr>
        <w:t>: Die Reise von der jungen Erde bis zur Gegenwart ist als vollständiger 22-Szenen-Bogen vorhanden. Diese Abfolge ist ein tragfähiger Arbeitsstand, aber die einzelnen Texte sind noch nicht vollständig freigabereif.</w:t>
      </w:r>
    </w:p>
    <w:p>
      <w:pPr>
        <w:pStyle w:val="ListNumber"/>
        <w:numPr>
          <w:ilvl w:val="0"/>
          <w:numId w:val="10"/>
        </w:numPr>
      </w:pPr>
      <w:r>
        <w:rPr>
          <w:rFonts w:ascii="Calibri" w:hAnsi="Calibri" w:eastAsia="Calibri"/>
          <w:b/>
        </w:rPr>
        <w:t>Rollenmodell auf hoher Ebene</w:t>
      </w:r>
      <w:r>
        <w:rPr>
          <w:rFonts w:ascii="Calibri" w:hAnsi="Calibri" w:eastAsia="Calibri"/>
        </w:rPr>
        <w:t>: ChatGPT verantwortet Konzeption, Regie, Texte und Dramaturgie; GPT Work übernimmt Produktion, Assetverwaltung, technische Optimierung, Qualitätskontrolle und HTML-Erzeugung; der Mensch trifft die verbindlichen kreativen Entscheidungen.</w:t>
      </w:r>
    </w:p>
    <w:p>
      <w:pPr>
        <w:pStyle w:val="Heading1"/>
      </w:pPr>
      <w:r>
        <w:t>2. Überschneidungen und doppelte Inhalte</w:t>
      </w:r>
    </w:p>
    <w:p>
      <w:pPr>
        <w:pStyle w:val="Heading2"/>
      </w:pPr>
      <w:r>
        <w:t>Dokumentübergreifend</w:t>
      </w:r>
    </w:p>
    <w:p>
      <w:pPr>
        <w:pStyle w:val="ListBullet"/>
      </w:pPr>
      <w:r>
        <w:rPr>
          <w:rFonts w:ascii="Calibri" w:hAnsi="Calibri" w:eastAsia="Calibri"/>
          <w:b/>
        </w:rPr>
        <w:t>Production Bible und Asset-Bibliothek</w:t>
      </w:r>
      <w:r>
        <w:rPr>
          <w:rFonts w:ascii="Calibri" w:hAnsi="Calibri" w:eastAsia="Calibri"/>
        </w:rPr>
        <w:t>: Die Production Bible beschreibt Asset-System und Namenskonventionen; die Asset-Bibliothek definiert dieselben Bereiche ausführlicher.</w:t>
      </w:r>
    </w:p>
    <w:p>
      <w:pPr>
        <w:pStyle w:val="ListBullet"/>
      </w:pPr>
      <w:r>
        <w:rPr>
          <w:rFonts w:ascii="Calibri" w:hAnsi="Calibri" w:eastAsia="Calibri"/>
          <w:b/>
        </w:rPr>
        <w:t>Asset-Bibliothek und Soundbibliothek</w:t>
      </w:r>
      <w:r>
        <w:rPr>
          <w:rFonts w:ascii="Calibri" w:hAnsi="Calibri" w:eastAsia="Calibri"/>
        </w:rPr>
        <w:t>: Die Asset-Bibliothek enthält eigene Sound- und Musiklisten; die Soundbibliothek behandelt denselben Bestand mit einer anderen Klassifikation.</w:t>
      </w:r>
    </w:p>
    <w:p>
      <w:pPr>
        <w:pStyle w:val="ListBullet"/>
      </w:pPr>
      <w:r>
        <w:rPr>
          <w:rFonts w:ascii="Calibri" w:hAnsi="Calibri" w:eastAsia="Calibri"/>
          <w:b/>
        </w:rPr>
        <w:t>Production Bible und Animationskatalog</w:t>
      </w:r>
      <w:r>
        <w:rPr>
          <w:rFonts w:ascii="Calibri" w:hAnsi="Calibri" w:eastAsia="Calibri"/>
        </w:rPr>
        <w:t>: Die Production Bible enthält Animationsbeispiele; der Animationskatalog definiert dafür eine eigene Bibliothek.</w:t>
      </w:r>
    </w:p>
    <w:p>
      <w:pPr>
        <w:pStyle w:val="ListBullet"/>
      </w:pPr>
      <w:r>
        <w:rPr>
          <w:rFonts w:ascii="Calibri" w:hAnsi="Calibri" w:eastAsia="Calibri"/>
          <w:b/>
        </w:rPr>
        <w:t>Production Bible und GPT-Work-Arbeitsauftrag</w:t>
      </w:r>
      <w:r>
        <w:rPr>
          <w:rFonts w:ascii="Calibri" w:hAnsi="Calibri" w:eastAsia="Calibri"/>
        </w:rPr>
        <w:t>: Produktionsstruktur, Qualitätskontrolle und Rollenverteilung stehen in beiden Dokumenten.</w:t>
      </w:r>
    </w:p>
    <w:p>
      <w:pPr>
        <w:pStyle w:val="ListBullet"/>
      </w:pPr>
      <w:r>
        <w:rPr>
          <w:rFonts w:ascii="Calibri" w:hAnsi="Calibri" w:eastAsia="Calibri"/>
          <w:b/>
        </w:rPr>
        <w:t>Episodenszenen und zentrale Bibliotheken</w:t>
      </w:r>
      <w:r>
        <w:rPr>
          <w:rFonts w:ascii="Calibri" w:hAnsi="Calibri" w:eastAsia="Calibri"/>
        </w:rPr>
        <w:t>: Jede Szene wiederholt Asset-, Sound- und Animationsangaben, ohne verbindlich auf die zentralen Bibliotheken zu verweisen.</w:t>
      </w:r>
    </w:p>
    <w:p>
      <w:pPr>
        <w:pStyle w:val="Heading2"/>
      </w:pPr>
      <w:r>
        <w:t>Innerhalb von „Episoden und mehr“</w:t>
      </w:r>
    </w:p>
    <w:p>
      <w:pPr>
        <w:pStyle w:val="ListBullet"/>
      </w:pPr>
      <w:r>
        <w:rPr>
          <w:rFonts w:ascii="Calibri" w:hAnsi="Calibri" w:eastAsia="Calibri"/>
          <w:b/>
        </w:rPr>
        <w:t>Vollständige Dublette</w:t>
      </w:r>
      <w:r>
        <w:rPr>
          <w:rFonts w:ascii="Calibri" w:hAnsi="Calibri" w:eastAsia="Calibri"/>
        </w:rPr>
        <w:t>: Szene 4 „Die Ursuppe - Wo alles begann“ ist vollständig und nahezu wortgleich doppelt enthalten.</w:t>
      </w:r>
    </w:p>
    <w:p>
      <w:pPr>
        <w:pStyle w:val="ListBullet"/>
      </w:pPr>
      <w:r>
        <w:rPr>
          <w:rFonts w:ascii="Calibri" w:hAnsi="Calibri" w:eastAsia="Calibri"/>
          <w:b/>
        </w:rPr>
        <w:t>Strukturelle Wiederholung</w:t>
      </w:r>
      <w:r>
        <w:rPr>
          <w:rFonts w:ascii="Calibri" w:hAnsi="Calibri" w:eastAsia="Calibri"/>
        </w:rPr>
        <w:t>: Szene 5 wird zunächst als Regieüberleitung angekündigt und danach erneut als formale Szenenbeschreibung begonnen.</w:t>
      </w:r>
    </w:p>
    <w:p>
      <w:pPr>
        <w:pStyle w:val="ListBullet"/>
      </w:pPr>
      <w:r>
        <w:rPr>
          <w:rFonts w:ascii="Calibri" w:hAnsi="Calibri" w:eastAsia="Calibri"/>
          <w:b/>
        </w:rPr>
        <w:t>Dramaturgische Überschneidung</w:t>
      </w:r>
      <w:r>
        <w:rPr>
          <w:rFonts w:ascii="Calibri" w:hAnsi="Calibri" w:eastAsia="Calibri"/>
        </w:rPr>
        <w:t>: Szene 20 und Szene 21 behandeln beide die Ausbreitung kleiner Säugetiere nach dem Ende der Dinosaurier. Die zeitliche Staffelung ist nachvollziehbar, die dramaturgische Funktion überschneidet sich jedoch stark.</w:t>
      </w:r>
    </w:p>
    <w:p>
      <w:pPr>
        <w:pStyle w:val="ListBullet"/>
      </w:pPr>
      <w:r>
        <w:rPr>
          <w:rFonts w:ascii="Calibri" w:hAnsi="Calibri" w:eastAsia="Calibri"/>
          <w:b/>
        </w:rPr>
        <w:t>Zeitfelsen</w:t>
      </w:r>
      <w:r>
        <w:rPr>
          <w:rFonts w:ascii="Calibri" w:hAnsi="Calibri" w:eastAsia="Calibri"/>
        </w:rPr>
        <w:t>: Das Motiv wird zuerst nach Szene 20 als neue Idee beschrieben und anschließend rückwirkend als durchgängiges Motiv für den Beginn und frühere Evolutionssprünge vorgesehen. Die älteren Szenen wurden daran noch nicht angepasst.</w:t>
      </w:r>
    </w:p>
    <w:p>
      <w:pPr>
        <w:pStyle w:val="ListBullet"/>
      </w:pPr>
      <w:r>
        <w:rPr>
          <w:rFonts w:ascii="Calibri" w:hAnsi="Calibri" w:eastAsia="Calibri"/>
          <w:b/>
        </w:rPr>
        <w:t>Dokumentfremder Inhalt</w:t>
      </w:r>
      <w:r>
        <w:rPr>
          <w:rFonts w:ascii="Calibri" w:hAnsi="Calibri" w:eastAsia="Calibri"/>
        </w:rPr>
        <w:t>: Der GPT-Work-Arbeitsauftrag gehört organisatorisch nicht in dasselbe Dokument wie das Episoden-Regiebuch.</w:t>
      </w:r>
    </w:p>
    <w:p>
      <w:r>
        <w:br w:type="page"/>
      </w:r>
    </w:p>
    <w:p>
      <w:pPr>
        <w:pStyle w:val="Heading1"/>
      </w:pPr>
      <w:r>
        <w:t>3. Widersprüche und unterschiedliche Standards</w:t>
      </w:r>
    </w:p>
    <w:tbl>
      <w:tblPr>
        <w:tblW w:type="dxa" w:w="9360"/>
        <w:jc w:val="left"/>
        <w:tblLayout w:type="fixed"/>
        <w:tblLook w:firstColumn="1" w:firstRow="1" w:lastColumn="0" w:lastRow="0" w:noHBand="0" w:noVBand="1" w:val="04A0"/>
        <w:tblInd w:type="dxa" w:w="120"/>
        <w:tblBorders>
          <w:top w:val="single" w:sz="4" w:space="0" w:color="CAD1DA"/>
          <w:start w:val="single" w:sz="4" w:space="0" w:color="CAD1DA"/>
          <w:bottom w:val="single" w:sz="4" w:space="0" w:color="CAD1DA"/>
          <w:end w:val="single" w:sz="4" w:space="0" w:color="CAD1DA"/>
          <w:insideH w:val="single" w:sz="4" w:space="0" w:color="CAD1DA"/>
          <w:insideV w:val="single" w:sz="4" w:space="0" w:color="CAD1DA"/>
        </w:tblBorders>
      </w:tblPr>
      <w:tblGrid>
        <w:gridCol w:w="1780"/>
        <w:gridCol w:w="4520"/>
        <w:gridCol w:w="3060"/>
      </w:tblGrid>
      <w:tr>
        <w:trPr>
          <w:tblHeader w:val="true"/>
        </w:trPr>
        <w:tc>
          <w:tcPr>
            <w:tcW w:type="dxa" w:w="1780"/>
            <w:shd w:fill="F2F4F7"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Bereich</w:t>
            </w:r>
          </w:p>
        </w:tc>
        <w:tc>
          <w:tcPr>
            <w:tcW w:type="dxa" w:w="4520"/>
            <w:shd w:fill="F2F4F7"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Unterschiedliche Vorgaben</w:t>
            </w:r>
          </w:p>
        </w:tc>
        <w:tc>
          <w:tcPr>
            <w:tcW w:type="dxa" w:w="3060"/>
            <w:shd w:fill="F2F4F7"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Auswirkung</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Ordnerstruktur</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Production Bible: audio, animation, metadata, DOCS, BUILD. Work-Auftrag: sounds, transitions, fonts; jedoch ohne animation, metadata, DOCS und BUILD.</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Automatisierung und Ablage sind nicht eindeutig.</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Hintergrundnamen</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Production Bible und Episode: bg_ep01_s01.jpg. Asset-Bibliothek: motivbezogene Namen wie bg_junge_erde und ausdrücklicher Verzicht auf Episodennummern.</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Unklar, ob Hintergründe szenenspezifisch oder wiederverwendbar benannt werden.</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Audiopräfixe</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audio_*, amb_*, fx_*, geo_*, wat_*, wea_* und mu_* werden parallel benutzt.</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Derselbe Sound kann mehrere Namen erhalten.</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Audioformate</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Episode verwendet MP3; die Soundbibliothek definiert WAV als Master und 44,1 kHz als mögliche Webversion.</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Master- und Auslieferungsformat sind in den Szenen nicht getrennt.</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Animationen</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anim_camera_zoom_slow.json versus camera_slow_zoom_in; anim_smoke_drift.json versus smoke_drift.</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eindeutige technische ID.</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Overlaynamen</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overlay_dampf_01.png versus overlay_dampf_boden_01-10; overlay_regen_stark_01.png versus overlay_regen_01-05; overlay_glutspalten.png ohne Versionsnummer.</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Szenen lassen sich nicht sicher gegen den Katalog validieren.</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Bewegungsparameter</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Der Animationskatalog setzt den Standardzoom auf 5-15 Prozent; Szene 4 verwendet 4 Prozent.</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Der Parameterstandard ist nicht durchgängig.</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Animationspolitik</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individuellen Animationen mehr“ steht besonderen Szenenanimationen wie Zellteilung, Endosymbiose, Sauerstoffbläschen und Meteoriteneinschlag gegenüber.</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Abgrenzung zwischen Preset, kombinierter Inszenierung und Sonderanimation fehlt.</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Episodenstandard</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Szenen 1-10 sind überwiegend detailliert spezifiziert; Szenen 11-22 tragen häufig den Status „Arbeitsfassung“ und enthalten weniger technische Felder.</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Episode 1 hat mindestens zwei unterschiedliche Reife- und Dokumentationsstandards.</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Erzählton</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Frühe Szenen sind sachlich-dokumentarisch; spätere Szenen deutlich direkter, humorvoller und dialogischer.</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Eine verbindliche Sprecherstimme ist noch nicht festgelegt.</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Episodenplanung</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Zwischenplanung nennt Szene 21 „Der Mensch erscheint“; später wird entschieden, keinen Menschen, sondern nur eine Kinderhand zu zeigen.</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spätere Entscheidung ist erkennbar, die überholte Planung steht weiterhin im Dokument.</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KI-Governance</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Production Bible reserviert kreative Entscheidungen für ChatGPT und Mensch; der Work-Auftrag erlaubt GPT Work, fehlende Inhalte zu ergänzen und Verbesserungen eigenständig umzusetzen.</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GPT Work könnte Standards oder kreative Inhalte ohne Freigabe verändern.</w:t>
            </w:r>
          </w:p>
        </w:tc>
      </w:tr>
      <w:tr>
        <w:trPr/>
        <w:tc>
          <w:tcPr>
            <w:tcW w:type="dxa" w:w="17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Dokumentstandard</w:t>
            </w:r>
          </w:p>
        </w:tc>
        <w:tc>
          <w:tcPr>
            <w:tcW w:type="dxa" w:w="45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Drei Dokumente verwenden strukturierte Überschriften und Listen; „Episoden und mehr“ und der Animationskatalog sind weitgehend direkt formatiert. Letter- und A4-Formate werden gemischt.</w:t>
            </w:r>
          </w:p>
        </w:tc>
        <w:tc>
          <w:tcPr>
            <w:tcW w:type="dxa" w:w="30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Pflege, Navigation und automatisierte Auswertung werden erschwert.</w:t>
            </w:r>
          </w:p>
        </w:tc>
      </w:tr>
    </w:tbl>
    <w:p>
      <w:pPr>
        <w:spacing w:before="40" w:after="0"/>
      </w:pPr>
    </w:p>
    <w:p>
      <w:r>
        <w:br w:type="page"/>
      </w:r>
    </w:p>
    <w:p>
      <w:pPr>
        <w:pStyle w:val="Heading1"/>
      </w:pPr>
      <w:r>
        <w:t>4. Fehlende Dokumente für eine professionelle Produktionsbasis</w:t>
      </w:r>
    </w:p>
    <w:p>
      <w:pPr>
        <w:spacing w:after="160"/>
      </w:pPr>
      <w:r>
        <w:t>Im vorgelegten Bestand fehlen beziehungsweise sind nicht als eigenständige, freigegebene Unterlagen erkennbar:</w:t>
      </w:r>
    </w:p>
    <w:p>
      <w:pPr>
        <w:pStyle w:val="ListNumber"/>
        <w:numPr>
          <w:ilvl w:val="0"/>
          <w:numId w:val="11"/>
        </w:numPr>
      </w:pPr>
      <w:r>
        <w:rPr>
          <w:rFonts w:ascii="Calibri" w:hAnsi="Calibri" w:eastAsia="Calibri"/>
          <w:b/>
        </w:rPr>
        <w:t>Dokumentenregister und Quellenhierarchie</w:t>
      </w:r>
      <w:r>
        <w:rPr>
          <w:rFonts w:ascii="Calibri" w:hAnsi="Calibri" w:eastAsia="Calibri"/>
        </w:rPr>
        <w:t>: Version, Status, Eigentümer, Freigabe, Änderungsdatum und die Festlegung, welches Dokument bei Konflikten maßgeblich ist.</w:t>
      </w:r>
    </w:p>
    <w:p>
      <w:pPr>
        <w:pStyle w:val="ListNumber"/>
        <w:numPr>
          <w:ilvl w:val="0"/>
          <w:numId w:val="11"/>
        </w:numPr>
      </w:pPr>
      <w:r>
        <w:rPr>
          <w:rFonts w:ascii="Calibri" w:hAnsi="Calibri" w:eastAsia="Calibri"/>
          <w:b/>
        </w:rPr>
        <w:t>Entscheidungs- und Änderungsprotokoll</w:t>
      </w:r>
      <w:r>
        <w:rPr>
          <w:rFonts w:ascii="Calibri" w:hAnsi="Calibri" w:eastAsia="Calibri"/>
        </w:rPr>
        <w:t>: Insbesondere für Namenssystem, Ordnerstruktur, Zeitfelsen, Sprecherstil und technische Formate.</w:t>
      </w:r>
    </w:p>
    <w:p>
      <w:pPr>
        <w:pStyle w:val="ListNumber"/>
        <w:numPr>
          <w:ilvl w:val="0"/>
          <w:numId w:val="11"/>
        </w:numPr>
      </w:pPr>
      <w:r>
        <w:rPr>
          <w:rFonts w:ascii="Calibri" w:hAnsi="Calibri" w:eastAsia="Calibri"/>
          <w:b/>
        </w:rPr>
        <w:t>Verbindlicher Naming-, Ordner- und Metadatenstandard</w:t>
      </w:r>
      <w:r>
        <w:rPr>
          <w:rFonts w:ascii="Calibri" w:hAnsi="Calibri" w:eastAsia="Calibri"/>
        </w:rPr>
        <w:t>: Eine einzige Taxonomie für Bilder, Audio, Animation, Szenen und Auslieferungsdateien.</w:t>
      </w:r>
    </w:p>
    <w:p>
      <w:pPr>
        <w:pStyle w:val="ListNumber"/>
        <w:numPr>
          <w:ilvl w:val="0"/>
          <w:numId w:val="11"/>
        </w:numPr>
      </w:pPr>
      <w:r>
        <w:rPr>
          <w:rFonts w:ascii="Calibri" w:hAnsi="Calibri" w:eastAsia="Calibri"/>
          <w:b/>
        </w:rPr>
        <w:t>Zentraler Asset-Manifeststandard</w:t>
      </w:r>
      <w:r>
        <w:rPr>
          <w:rFonts w:ascii="Calibri" w:hAnsi="Calibri" w:eastAsia="Calibri"/>
        </w:rPr>
        <w:t>: Asset-ID, Dateiname, Kategorie, Status, Format, Abmessungen, Transparenz, Herkunft, Lizenz, Version, Einsatz und Abhängigkeiten. Der aktuelle Assetkatalog erfüllt diese Funktion noch nicht.</w:t>
      </w:r>
    </w:p>
    <w:p>
      <w:pPr>
        <w:pStyle w:val="ListNumber"/>
        <w:numPr>
          <w:ilvl w:val="0"/>
          <w:numId w:val="11"/>
        </w:numPr>
      </w:pPr>
      <w:r>
        <w:rPr>
          <w:rFonts w:ascii="Calibri" w:hAnsi="Calibri" w:eastAsia="Calibri"/>
          <w:b/>
        </w:rPr>
        <w:t>Technische Medienspezifikation</w:t>
      </w:r>
      <w:r>
        <w:rPr>
          <w:rFonts w:ascii="Calibri" w:hAnsi="Calibri" w:eastAsia="Calibri"/>
        </w:rPr>
        <w:t>: Bildauflösung, Seitenverhältnis, Farbraum, PNG-Alpha, Kompression, Audio-Lautheit, Master- und Webformate, Animationsparameter und Performancegrenzen.</w:t>
      </w:r>
    </w:p>
    <w:p>
      <w:pPr>
        <w:pStyle w:val="ListNumber"/>
        <w:numPr>
          <w:ilvl w:val="0"/>
          <w:numId w:val="11"/>
        </w:numPr>
      </w:pPr>
      <w:r>
        <w:rPr>
          <w:rFonts w:ascii="Calibri" w:hAnsi="Calibri" w:eastAsia="Calibri"/>
          <w:b/>
        </w:rPr>
        <w:t>Episodenhandbuch beziehungsweise verbindliche Szenenvorlage</w:t>
      </w:r>
      <w:r>
        <w:rPr>
          <w:rFonts w:ascii="Calibri" w:hAnsi="Calibri" w:eastAsia="Calibri"/>
        </w:rPr>
        <w:t>: Der Work-Auftrag setzt ein Episodenhandbuch voraus; das Sammeldokument „Episoden und mehr“ ist dafür nicht ausreichend standardisiert.</w:t>
      </w:r>
    </w:p>
    <w:p>
      <w:pPr>
        <w:pStyle w:val="ListNumber"/>
        <w:numPr>
          <w:ilvl w:val="0"/>
          <w:numId w:val="11"/>
        </w:numPr>
      </w:pPr>
      <w:r>
        <w:rPr>
          <w:rFonts w:ascii="Calibri" w:hAnsi="Calibri" w:eastAsia="Calibri"/>
          <w:b/>
        </w:rPr>
        <w:t>Serienübersicht für alle 30 Episoden</w:t>
      </w:r>
      <w:r>
        <w:rPr>
          <w:rFonts w:ascii="Calibri" w:hAnsi="Calibri" w:eastAsia="Calibri"/>
        </w:rPr>
        <w:t>: Titel, Umfang, Zeitabschnitt, Lernziele, Abgrenzung und Status sind in den vorgelegten Dateien nicht enthalten.</w:t>
      </w:r>
    </w:p>
    <w:p>
      <w:pPr>
        <w:pStyle w:val="ListNumber"/>
        <w:numPr>
          <w:ilvl w:val="0"/>
          <w:numId w:val="11"/>
        </w:numPr>
      </w:pPr>
      <w:r>
        <w:rPr>
          <w:rFonts w:ascii="Calibri" w:hAnsi="Calibri" w:eastAsia="Calibri"/>
          <w:b/>
        </w:rPr>
        <w:t>Storyboard- und Regiebuchstandard</w:t>
      </w:r>
      <w:r>
        <w:rPr>
          <w:rFonts w:ascii="Calibri" w:hAnsi="Calibri" w:eastAsia="Calibri"/>
        </w:rPr>
        <w:t>: Beides wird in der Pipeline verlangt, liegt aber nicht als freigegebene Vorlage vor.</w:t>
      </w:r>
    </w:p>
    <w:p>
      <w:pPr>
        <w:pStyle w:val="ListNumber"/>
        <w:numPr>
          <w:ilvl w:val="0"/>
          <w:numId w:val="11"/>
        </w:numPr>
      </w:pPr>
      <w:r>
        <w:rPr>
          <w:rFonts w:ascii="Calibri" w:hAnsi="Calibri" w:eastAsia="Calibri"/>
          <w:b/>
        </w:rPr>
        <w:t>Wissenschaftliches Quellen- und Freigabeverfahren</w:t>
      </w:r>
      <w:r>
        <w:rPr>
          <w:rFonts w:ascii="Calibri" w:hAnsi="Calibri" w:eastAsia="Calibri"/>
        </w:rPr>
        <w:t>: Quellenangaben, Umgang mit Unsicherheiten, fachliche Prüfung und dokumentierte Freigabe wissenschaftlicher Aussagen.</w:t>
      </w:r>
    </w:p>
    <w:p>
      <w:pPr>
        <w:pStyle w:val="ListNumber"/>
        <w:numPr>
          <w:ilvl w:val="0"/>
          <w:numId w:val="11"/>
        </w:numPr>
      </w:pPr>
      <w:r>
        <w:rPr>
          <w:rFonts w:ascii="Calibri" w:hAnsi="Calibri" w:eastAsia="Calibri"/>
          <w:b/>
        </w:rPr>
        <w:t>UI-, Interaktions- und Barrierefreiheitsstandard</w:t>
      </w:r>
      <w:r>
        <w:rPr>
          <w:rFonts w:ascii="Calibri" w:hAnsi="Calibri" w:eastAsia="Calibri"/>
        </w:rPr>
        <w:t>: Hotspots, Quiz, Forscheraufträge, Zeiteinblendungen, Navigation, Untertitel, Tastaturbedienung und mobile Nutzung sind vorgesehen, aber technisch nicht definiert.</w:t>
      </w:r>
    </w:p>
    <w:p>
      <w:pPr>
        <w:pStyle w:val="ListNumber"/>
        <w:numPr>
          <w:ilvl w:val="0"/>
          <w:numId w:val="11"/>
        </w:numPr>
      </w:pPr>
      <w:r>
        <w:rPr>
          <w:rFonts w:ascii="Calibri" w:hAnsi="Calibri" w:eastAsia="Calibri"/>
          <w:b/>
        </w:rPr>
        <w:t>HTML5-/Build- und Zielplattform-Spezifikation</w:t>
      </w:r>
      <w:r>
        <w:rPr>
          <w:rFonts w:ascii="Calibri" w:hAnsi="Calibri" w:eastAsia="Calibri"/>
        </w:rPr>
        <w:t>: Browser, Geräte, Bildschirmgrößen, Ladezeiten, Offline- und Online-Betrieb, Datenformate und Releaseverfahren.</w:t>
      </w:r>
    </w:p>
    <w:p>
      <w:pPr>
        <w:pStyle w:val="ListNumber"/>
        <w:numPr>
          <w:ilvl w:val="0"/>
          <w:numId w:val="11"/>
        </w:numPr>
      </w:pPr>
      <w:r>
        <w:rPr>
          <w:rFonts w:ascii="Calibri" w:hAnsi="Calibri" w:eastAsia="Calibri"/>
          <w:b/>
        </w:rPr>
        <w:t>QA- und Abnahmematrix</w:t>
      </w:r>
      <w:r>
        <w:rPr>
          <w:rFonts w:ascii="Calibri" w:hAnsi="Calibri" w:eastAsia="Calibri"/>
        </w:rPr>
        <w:t>: Wissenschaft, Text, Bild, Audio, Animation, Funktion, Performance, Barrierefreiheit und Freigabestatus.</w:t>
      </w:r>
    </w:p>
    <w:p>
      <w:pPr>
        <w:pStyle w:val="ListNumber"/>
        <w:numPr>
          <w:ilvl w:val="0"/>
          <w:numId w:val="11"/>
        </w:numPr>
      </w:pPr>
      <w:r>
        <w:rPr>
          <w:rFonts w:ascii="Calibri" w:hAnsi="Calibri" w:eastAsia="Calibri"/>
          <w:b/>
        </w:rPr>
        <w:t>Rechte-, Lizenz- und Herkunftsdokumentation</w:t>
      </w:r>
      <w:r>
        <w:rPr>
          <w:rFonts w:ascii="Calibri" w:hAnsi="Calibri" w:eastAsia="Calibri"/>
        </w:rPr>
        <w:t>: Besonders für KI-generierte, zugekaufte oder extern bezogene Bilder, Sounds, Musik und Schriften.</w:t>
      </w:r>
    </w:p>
    <w:p>
      <w:pPr>
        <w:pStyle w:val="ListNumber"/>
        <w:numPr>
          <w:ilvl w:val="0"/>
          <w:numId w:val="11"/>
        </w:numPr>
      </w:pPr>
      <w:r>
        <w:rPr>
          <w:rFonts w:ascii="Calibri" w:hAnsi="Calibri" w:eastAsia="Calibri"/>
          <w:b/>
        </w:rPr>
        <w:t>Eigenständige Bestandskataloge für Musik, UI, Icons, Schriften und Übergänge</w:t>
      </w:r>
      <w:r>
        <w:rPr>
          <w:rFonts w:ascii="Calibri" w:hAnsi="Calibri" w:eastAsia="Calibri"/>
        </w:rPr>
        <w:t>: Diese Kategorien werden erwähnt, sind aber entweder nur als Namensliste oder gar nicht ausgearbeitet.</w:t>
      </w:r>
    </w:p>
    <w:p>
      <w:r>
        <w:br w:type="page"/>
      </w:r>
    </w:p>
    <w:p>
      <w:pPr>
        <w:pStyle w:val="Heading1"/>
      </w:pPr>
      <w:r>
        <w:t>5. Empfohlene Reihenfolge der weiteren Arbeit</w:t>
      </w:r>
    </w:p>
    <w:p>
      <w:pPr>
        <w:pStyle w:val="ListNumber"/>
        <w:numPr>
          <w:ilvl w:val="0"/>
          <w:numId w:val="12"/>
        </w:numPr>
      </w:pPr>
      <w:r>
        <w:rPr>
          <w:rFonts w:ascii="Calibri" w:hAnsi="Calibri" w:eastAsia="Calibri"/>
          <w:b/>
        </w:rPr>
        <w:t>Aktuellen Bestand einfrieren</w:t>
      </w:r>
      <w:r>
        <w:rPr>
          <w:rFonts w:ascii="Calibri" w:hAnsi="Calibri" w:eastAsia="Calibri"/>
        </w:rPr>
        <w:t>: Die fünf Originaldateien unverändert archivieren und als Ausgangsstand kennzeichnen.</w:t>
      </w:r>
    </w:p>
    <w:p>
      <w:pPr>
        <w:pStyle w:val="ListNumber"/>
        <w:numPr>
          <w:ilvl w:val="0"/>
          <w:numId w:val="12"/>
        </w:numPr>
      </w:pPr>
      <w:r>
        <w:rPr>
          <w:rFonts w:ascii="Calibri" w:hAnsi="Calibri" w:eastAsia="Calibri"/>
          <w:b/>
        </w:rPr>
        <w:t>Quellenhierarchie festlegen</w:t>
      </w:r>
      <w:r>
        <w:rPr>
          <w:rFonts w:ascii="Calibri" w:hAnsi="Calibri" w:eastAsia="Calibri"/>
        </w:rPr>
        <w:t>: Entscheiden, welches Dokument künftig Vision, Standards, Bibliotheken und Episoden verbindlich regelt.</w:t>
      </w:r>
    </w:p>
    <w:p>
      <w:pPr>
        <w:pStyle w:val="ListNumber"/>
        <w:numPr>
          <w:ilvl w:val="0"/>
          <w:numId w:val="12"/>
        </w:numPr>
      </w:pPr>
      <w:r>
        <w:rPr>
          <w:rFonts w:ascii="Calibri" w:hAnsi="Calibri" w:eastAsia="Calibri"/>
          <w:b/>
        </w:rPr>
        <w:t>Konflikte entscheiden</w:t>
      </w:r>
      <w:r>
        <w:rPr>
          <w:rFonts w:ascii="Calibri" w:hAnsi="Calibri" w:eastAsia="Calibri"/>
        </w:rPr>
        <w:t>: Zuerst Ordnerstruktur, Dateinamen, Präfixe, Master- und Webformate, Animations-IDs und Statusbegriffe festlegen. Vorher sollte keine Massenproduktion beginnen.</w:t>
      </w:r>
    </w:p>
    <w:p>
      <w:pPr>
        <w:pStyle w:val="ListNumber"/>
        <w:numPr>
          <w:ilvl w:val="0"/>
          <w:numId w:val="12"/>
        </w:numPr>
      </w:pPr>
      <w:r>
        <w:rPr>
          <w:rFonts w:ascii="Calibri" w:hAnsi="Calibri" w:eastAsia="Calibri"/>
          <w:b/>
        </w:rPr>
        <w:t>Production Bible konsolidieren</w:t>
      </w:r>
      <w:r>
        <w:rPr>
          <w:rFonts w:ascii="Calibri" w:hAnsi="Calibri" w:eastAsia="Calibri"/>
        </w:rPr>
        <w:t>: Nur übergreifende Regeln dort belassen. Detailkataloge sollen referenziert und nicht erneut ausgeschrieben werden.</w:t>
      </w:r>
    </w:p>
    <w:p>
      <w:pPr>
        <w:pStyle w:val="ListNumber"/>
        <w:numPr>
          <w:ilvl w:val="0"/>
          <w:numId w:val="12"/>
        </w:numPr>
      </w:pPr>
      <w:r>
        <w:rPr>
          <w:rFonts w:ascii="Calibri" w:hAnsi="Calibri" w:eastAsia="Calibri"/>
          <w:b/>
        </w:rPr>
        <w:t>Asset-, Sound- und Animationskataloge vereinheitlichen</w:t>
      </w:r>
      <w:r>
        <w:rPr>
          <w:rFonts w:ascii="Calibri" w:hAnsi="Calibri" w:eastAsia="Calibri"/>
        </w:rPr>
        <w:t>: Ein gemeinsames Metadatenschema und eindeutige IDs einführen; gleiche Assets zusammenführen und Abweichungen als Alias beziehungsweise offene Entscheidung markieren.</w:t>
      </w:r>
    </w:p>
    <w:p>
      <w:pPr>
        <w:pStyle w:val="ListNumber"/>
        <w:numPr>
          <w:ilvl w:val="0"/>
          <w:numId w:val="12"/>
        </w:numPr>
      </w:pPr>
      <w:r>
        <w:rPr>
          <w:rFonts w:ascii="Calibri" w:hAnsi="Calibri" w:eastAsia="Calibri"/>
          <w:b/>
        </w:rPr>
        <w:t>Fehlende Produktionsgrundlagen schließen</w:t>
      </w:r>
      <w:r>
        <w:rPr>
          <w:rFonts w:ascii="Calibri" w:hAnsi="Calibri" w:eastAsia="Calibri"/>
        </w:rPr>
        <w:t>: Szenenvorlage, technische Spezifikation, wissenschaftlicher Prüfprozess, UI-/HTML5-Standard sowie QA- und Rechteverfahren fertigstellen.</w:t>
      </w:r>
    </w:p>
    <w:p>
      <w:pPr>
        <w:pStyle w:val="ListNumber"/>
        <w:numPr>
          <w:ilvl w:val="0"/>
          <w:numId w:val="12"/>
        </w:numPr>
      </w:pPr>
      <w:r>
        <w:rPr>
          <w:rFonts w:ascii="Calibri" w:hAnsi="Calibri" w:eastAsia="Calibri"/>
          <w:b/>
        </w:rPr>
        <w:t>Tatsächlichen Assetbestand inventarisieren</w:t>
      </w:r>
      <w:r>
        <w:rPr>
          <w:rFonts w:ascii="Calibri" w:hAnsi="Calibri" w:eastAsia="Calibri"/>
        </w:rPr>
        <w:t>: Erst dann lässt sich feststellen, welche dokumentierten Assets wirklich existieren, doppelt sind, fehlen oder technisch unbrauchbar sind.</w:t>
      </w:r>
    </w:p>
    <w:p>
      <w:pPr>
        <w:pStyle w:val="ListNumber"/>
        <w:numPr>
          <w:ilvl w:val="0"/>
          <w:numId w:val="12"/>
        </w:numPr>
      </w:pPr>
      <w:r>
        <w:rPr>
          <w:rFonts w:ascii="Calibri" w:hAnsi="Calibri" w:eastAsia="Calibri"/>
          <w:b/>
        </w:rPr>
        <w:t>Eine bestehende Szene als End-to-End-Produktionsprobe verwenden</w:t>
      </w:r>
      <w:r>
        <w:rPr>
          <w:rFonts w:ascii="Calibri" w:hAnsi="Calibri" w:eastAsia="Calibri"/>
        </w:rPr>
        <w:t>: Damit werden Bibliothek, Audio, Animation, Metadaten, HTML5 und QA praktisch validiert, bevor 30 Episoden skaliert werden.</w:t>
      </w:r>
    </w:p>
    <w:p>
      <w:pPr>
        <w:pStyle w:val="ListNumber"/>
        <w:numPr>
          <w:ilvl w:val="0"/>
          <w:numId w:val="12"/>
        </w:numPr>
      </w:pPr>
      <w:r>
        <w:rPr>
          <w:rFonts w:ascii="Calibri" w:hAnsi="Calibri" w:eastAsia="Calibri"/>
          <w:b/>
        </w:rPr>
        <w:t>Erst danach Episode 1 überarbeiten</w:t>
      </w:r>
      <w:r>
        <w:rPr>
          <w:rFonts w:ascii="Calibri" w:hAnsi="Calibri" w:eastAsia="Calibri"/>
        </w:rPr>
        <w:t>: Dann Szene 4 deduplizieren, die Szene-20/21-Abgrenzung prüfen, die spätere Zeitfelsen-Entscheidung sauber einarbeiten und alle 22 Szenen in dieselbe Vorlage überführen.</w:t>
      </w:r>
    </w:p>
    <w:p>
      <w:pPr>
        <w:pStyle w:val="ListNumber"/>
        <w:numPr>
          <w:ilvl w:val="0"/>
          <w:numId w:val="12"/>
        </w:numPr>
      </w:pPr>
      <w:r>
        <w:rPr>
          <w:rFonts w:ascii="Calibri" w:hAnsi="Calibri" w:eastAsia="Calibri"/>
          <w:b/>
        </w:rPr>
        <w:t>Nach Freigabe von Episode 1 auf die Serie skalieren</w:t>
      </w:r>
      <w:r>
        <w:rPr>
          <w:rFonts w:ascii="Calibri" w:hAnsi="Calibri" w:eastAsia="Calibri"/>
        </w:rPr>
        <w:t>: Erst auf Basis der getesteten Standards sollten weitere Episoden und große Assetmengen produziert werden.</w:t>
      </w:r>
    </w:p>
    <w:p>
      <w:pPr>
        <w:pStyle w:val="Heading1"/>
      </w:pPr>
      <w:r>
        <w:t>6. Aufgabenverteilung zwischen GPT Work und ChatGPT</w:t>
      </w:r>
    </w:p>
    <w:tbl>
      <w:tblPr>
        <w:tblW w:type="dxa" w:w="9360"/>
        <w:jc w:val="left"/>
        <w:tblLayout w:type="fixed"/>
        <w:tblLook w:firstColumn="1" w:firstRow="1" w:lastColumn="0" w:lastRow="0" w:noHBand="0" w:noVBand="1" w:val="04A0"/>
        <w:tblInd w:type="dxa" w:w="120"/>
        <w:tblBorders>
          <w:top w:val="single" w:sz="4" w:space="0" w:color="CAD1DA"/>
          <w:start w:val="single" w:sz="4" w:space="0" w:color="CAD1DA"/>
          <w:bottom w:val="single" w:sz="4" w:space="0" w:color="CAD1DA"/>
          <w:end w:val="single" w:sz="4" w:space="0" w:color="CAD1DA"/>
          <w:insideH w:val="single" w:sz="4" w:space="0" w:color="CAD1DA"/>
          <w:insideV w:val="single" w:sz="4" w:space="0" w:color="CAD1DA"/>
        </w:tblBorders>
      </w:tblPr>
      <w:tblGrid>
        <w:gridCol w:w="4680"/>
        <w:gridCol w:w="4680"/>
      </w:tblGrid>
      <w:tr>
        <w:trPr>
          <w:tblHeader w:val="true"/>
        </w:trPr>
        <w:tc>
          <w:tcPr>
            <w:tcW w:type="dxa" w:w="4680"/>
            <w:shd w:fill="F2F4F7"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ChatGPT</w:t>
            </w:r>
          </w:p>
        </w:tc>
        <w:tc>
          <w:tcPr>
            <w:tcW w:type="dxa" w:w="4680"/>
            <w:shd w:fill="F2F4F7"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GPT Work</w:t>
            </w:r>
          </w:p>
        </w:tc>
      </w:tr>
      <w:tr>
        <w:trPr/>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Projektlogik und Entscheidungen mit dem Projektleiter klären.</w:t>
            </w:r>
          </w:p>
        </w:tc>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Gesamte Datei- und Assetbestände technisch inventarisieren.</w:t>
            </w:r>
          </w:p>
        </w:tc>
      </w:tr>
      <w:tr>
        <w:trPr/>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Dramaturgie, Sprecherstil, Regie und Lernziele bearbeiten.</w:t>
            </w:r>
          </w:p>
        </w:tc>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Dateien, Metadaten und Manifeste nach freigegebenem Schema erzeugen.</w:t>
            </w:r>
          </w:p>
        </w:tc>
      </w:tr>
      <w:tr>
        <w:trPr/>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Wissenschaftliche Aussagen recherchieren, formulieren und redaktionell prüfen.</w:t>
            </w:r>
          </w:p>
        </w:tc>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Dubletten per Hash- und Ähnlichkeitsanalyse erkennen.</w:t>
            </w:r>
          </w:p>
        </w:tc>
      </w:tr>
      <w:tr>
        <w:trPr/>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Hotspots, Quizfragen und Erklärtexte entwickeln beziehungsweise prüfen.</w:t>
            </w:r>
          </w:p>
        </w:tc>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Benennungs-, Format- und Vollständigkeitsprüfungen automatisieren.</w:t>
            </w:r>
          </w:p>
        </w:tc>
      </w:tr>
      <w:tr>
        <w:trPr/>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Konflikte bewerten, bei denen kreative oder didaktische Entscheidungen erforderlich sind.</w:t>
            </w:r>
          </w:p>
        </w:tc>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Bilder, Audio und Animationen technisch konvertieren und optimieren.</w:t>
            </w:r>
          </w:p>
        </w:tc>
      </w:tr>
      <w:tr>
        <w:trPr/>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Standards entwerfen und dem Menschen zur Entscheidung vorlegen.</w:t>
            </w:r>
          </w:p>
        </w:tc>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HTML5-Builds, Datenstrukturen, Validierungen und Testberichte erzeugen.</w:t>
            </w:r>
          </w:p>
        </w:tc>
      </w:tr>
      <w:tr>
        <w:trPr/>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Ergebnisse inhaltlich und dramaturgisch abnehmen.</w:t>
            </w:r>
          </w:p>
        </w:tc>
        <w:tc>
          <w:tcPr>
            <w:tcW w:type="dxa" w:w="46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Wiederkehrende Produktionsschritte reproduzierbar ausführen.</w:t>
            </w:r>
          </w:p>
        </w:tc>
      </w:tr>
    </w:tbl>
    <w:p>
      <w:pPr>
        <w:spacing w:before="40" w:after="0"/>
      </w:pPr>
    </w:p>
    <w:p>
      <w:pPr>
        <w:pStyle w:val="Heading2"/>
      </w:pPr>
      <w:r>
        <w:t>Verbindlicher Übergabepunkt</w:t>
      </w:r>
    </w:p>
    <w:p>
      <w:pPr>
        <w:spacing w:after="200"/>
      </w:pPr>
      <w:r>
        <w:t>ChatGPT und der Projektleiter definieren und genehmigen Standard, Inhalt und Abnahmekriterien. GPT Work setzt diese anschließend reproduzierbar um. Bei kreativen oder wissenschaftlichen Abweichungen soll GPT Work einen Befund und einen Vorschlag liefern, aber nicht stillschweigend neue Standards oder Inhalte einführen.</w:t>
      </w:r>
    </w:p>
    <w:p>
      <w:pPr>
        <w:pStyle w:val="Heading1"/>
      </w:pPr>
      <w:r>
        <w:t>Schlussfolgerung</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Empfohlener nächster Schritt</w:t>
        <w:br/>
      </w:r>
      <w:r>
        <w:rPr>
          <w:rFonts w:ascii="Calibri" w:hAnsi="Calibri" w:eastAsia="Calibri"/>
          <w:color w:val="1A1A1A"/>
          <w:sz w:val="22"/>
        </w:rPr>
        <w:t>Nicht die Episoden überarbeiten, sondern zuerst Dokumentenhoheit, Benennung, Ordnerstruktur und technische Standards entscheiden. Sobald diese Basis feststeht, kann GPT Work effizient automatisieren, ohne dass ChatGPT oder der Projektleiter dieselben Inhalte später erneut konsolidieren müssen.</w:t>
      </w:r>
    </w:p>
    <w:p>
      <w:pPr>
        <w:spacing w:before="240" w:after="0"/>
        <w:jc w:val="center"/>
      </w:pPr>
      <w:r>
        <w:rPr>
          <w:rFonts w:ascii="Calibri" w:hAnsi="Calibri" w:eastAsia="Calibri"/>
          <w:b/>
          <w:color w:val="7A5A00"/>
          <w:sz w:val="20"/>
        </w:rPr>
        <w:t>An den Episoden wurde im Rahmen dieser Analyse nichts verändert.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B6573"/>
        <w:sz w:val="17"/>
      </w:rPr>
      <w:t xml:space="preserve">Seite </w:t>
    </w:r>
    <w:r>
      <w:rPr>
        <w:rFonts w:ascii="Calibri" w:hAnsi="Calibri" w:eastAsia="Calibri"/>
        <w:color w:val="5B6573"/>
        <w:sz w:val="17"/>
      </w:rPr>
      <w:fldChar w:fldCharType="begin"/>
      <w:instrText xml:space="preserve"> PAGE </w:instrText>
      <w:fldChar w:fldCharType="separate"/>
      <w:t>1</w:t>
      <w:fldChar w:fldCharType="end"/>
    </w:r>
    <w:r>
      <w:rPr>
        <w:rFonts w:ascii="Calibri" w:hAnsi="Calibri" w:eastAsia="Calibri"/>
        <w:color w:val="5B6573"/>
        <w:sz w:val="17"/>
      </w:rPr>
      <w:t xml:space="preserve"> von </w:t>
    </w:r>
    <w:r>
      <w:rPr>
        <w:rFonts w:ascii="Calibri" w:hAnsi="Calibri" w:eastAsia="Calibri"/>
        <w:color w:val="5B6573"/>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0"/>
    </w:pPr>
    <w:r>
      <w:rPr>
        <w:rFonts w:ascii="Calibri" w:hAnsi="Calibri" w:eastAsia="Calibri"/>
        <w:b/>
        <w:color w:val="5B6573"/>
        <w:sz w:val="17"/>
      </w:rPr>
      <w:t>ZEITREISE  |  PROJEKTSTAND</w:t>
    </w:r>
    <w:r>
      <w:rPr>
        <w:rFonts w:ascii="Calibri" w:hAnsi="Calibri" w:eastAsia="Calibri"/>
        <w:color w:val="5B6573"/>
        <w:sz w:val="17"/>
      </w:rPr>
      <w:tab/>
      <w:t>KONSOLIDIERTE ANALYSE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80" w:line="264" w:lineRule="auto"/>
      </w:pPr>
      <w:rPr>
        <w:rFonts w:ascii="Calibri" w:hAnsi="Calibri"/>
        <w:sz w:val="21"/>
      </w:r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52" w:lineRule="auto"/>
    </w:pPr>
    <w:rPr>
      <w:rFonts w:asciiTheme="majorHAnsi" w:eastAsiaTheme="majorEastAsia" w:hAnsiTheme="majorHAnsi" w:cstheme="majorBidi" w:ascii="Calibri" w:hAnsi="Calibri"/>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64" w:lineRule="auto"/>
      <w:ind w:left="720" w:hanging="360"/>
      <w:contextualSpacing/>
    </w:pPr>
    <w:rPr>
      <w:rFonts w:ascii="Calibri" w:hAnsi="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264" w:lineRule="auto"/>
      <w:ind w:left="720" w:hanging="360"/>
      <w:contextualSpacing/>
    </w:pPr>
    <w:rPr>
      <w:rFonts w:ascii="Calibri" w:hAnsi="Calibri"/>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Konsolidierte Analyse des aktuellen Projektstands</dc:title>
  <dc:subject>Bestandsanalyse und Projektfahrplan</dc:subject>
  <dc:creator>OpenAI Codex</dc:creator>
  <cp:keywords>Zeitreise, Production Bible, Asset-Bibliothek, Konsolidierung</cp:keywords>
  <dc:description>Erstellt aus den fünf vom Projektleiter bereitgestellten Word-Dokumenten.</dc:description>
  <cp:lastModifiedBy/>
  <cp:revision>1</cp:revision>
  <dcterms:created xsi:type="dcterms:W3CDTF">2013-12-23T23:15:00Z</dcterms:created>
  <dcterms:modified xsi:type="dcterms:W3CDTF">2013-12-23T23:15:00Z</dcterms:modified>
  <cp:category/>
</cp:coreProperties>
</file>